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46C" w:rsidRDefault="00400CB8" w:rsidP="00C6446C">
      <w:pPr>
        <w:pStyle w:val="PlainText"/>
      </w:pPr>
      <w:r>
        <w:t>CQL 2 Query Related Issues</w:t>
      </w:r>
    </w:p>
    <w:p w:rsidR="00C6446C" w:rsidRDefault="00C6446C" w:rsidP="00C6446C">
      <w:pPr>
        <w:pStyle w:val="PlainText"/>
      </w:pPr>
    </w:p>
    <w:p w:rsidR="00C6446C" w:rsidRDefault="00C6446C" w:rsidP="00C6446C">
      <w:pPr>
        <w:pStyle w:val="PlainText"/>
      </w:pPr>
      <w:r>
        <w:t>Please refer attached "model.jpg" for these queries.</w:t>
      </w:r>
      <w:r w:rsidRPr="00C6446C">
        <w:rPr>
          <w:noProof/>
        </w:rPr>
        <w:t xml:space="preserve"> </w:t>
      </w:r>
      <w:r>
        <w:rPr>
          <w:noProof/>
        </w:rPr>
        <w:drawing>
          <wp:inline distT="0" distB="0" distL="0" distR="0">
            <wp:extent cx="5351145" cy="4572000"/>
            <wp:effectExtent l="19050" t="0" r="1905" b="0"/>
            <wp:docPr id="2" name="Picture 1" descr="C:\Users\David\AppData\Local\Microsoft\Windows\Temporary Internet Files\Content.Wor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Temporary Internet Files\Content.Word\model.jpg"/>
                    <pic:cNvPicPr>
                      <a:picLocks noChangeAspect="1" noChangeArrowheads="1"/>
                    </pic:cNvPicPr>
                  </pic:nvPicPr>
                  <pic:blipFill>
                    <a:blip r:embed="rId5"/>
                    <a:srcRect/>
                    <a:stretch>
                      <a:fillRect/>
                    </a:stretch>
                  </pic:blipFill>
                  <pic:spPr bwMode="auto">
                    <a:xfrm>
                      <a:off x="0" y="0"/>
                      <a:ext cx="5351145" cy="4572000"/>
                    </a:xfrm>
                    <a:prstGeom prst="rect">
                      <a:avLst/>
                    </a:prstGeom>
                    <a:noFill/>
                    <a:ln w="9525">
                      <a:noFill/>
                      <a:miter lim="800000"/>
                      <a:headEnd/>
                      <a:tailEnd/>
                    </a:ln>
                  </pic:spPr>
                </pic:pic>
              </a:graphicData>
            </a:graphic>
          </wp:inline>
        </w:drawing>
      </w:r>
    </w:p>
    <w:p w:rsidR="00C6446C" w:rsidRDefault="00C6446C" w:rsidP="00C6446C">
      <w:pPr>
        <w:pStyle w:val="PlainText"/>
      </w:pPr>
      <w:r>
        <w:t xml:space="preserve">Note that first two queries are related to Specimen's self-association with the </w:t>
      </w:r>
      <w:proofErr w:type="spellStart"/>
      <w:r>
        <w:t>roleName</w:t>
      </w:r>
      <w:proofErr w:type="spellEnd"/>
      <w:r>
        <w:t xml:space="preserve"> "</w:t>
      </w:r>
      <w:proofErr w:type="spellStart"/>
      <w:r>
        <w:t>childSpecimen</w:t>
      </w:r>
      <w:proofErr w:type="spellEnd"/>
      <w:r>
        <w:t>".</w:t>
      </w:r>
    </w:p>
    <w:p w:rsidR="00C6446C" w:rsidRDefault="00C6446C" w:rsidP="00C6446C">
      <w:pPr>
        <w:pStyle w:val="PlainText"/>
      </w:pPr>
    </w:p>
    <w:p w:rsidR="00C6446C" w:rsidRDefault="00C6446C" w:rsidP="00C6446C">
      <w:pPr>
        <w:pStyle w:val="PlainText"/>
      </w:pPr>
      <w:r>
        <w:t>"Elaboration" specifies the query in an SQL-like language.</w:t>
      </w:r>
    </w:p>
    <w:p w:rsidR="00C6446C" w:rsidRDefault="00C6446C" w:rsidP="00C6446C">
      <w:pPr>
        <w:pStyle w:val="PlainText"/>
      </w:pPr>
    </w:p>
    <w:p w:rsidR="00C6446C" w:rsidRDefault="00C6446C" w:rsidP="00C6446C">
      <w:pPr>
        <w:pStyle w:val="PlainText"/>
      </w:pPr>
      <w:r>
        <w:t>1. Specimens with more than 2 aliquots</w:t>
      </w:r>
    </w:p>
    <w:p w:rsidR="00C6446C" w:rsidRDefault="00C6446C" w:rsidP="00C6446C">
      <w:pPr>
        <w:pStyle w:val="PlainText"/>
      </w:pPr>
      <w:r>
        <w:tab/>
      </w:r>
      <w:proofErr w:type="gramStart"/>
      <w:r>
        <w:t>elaboration</w:t>
      </w:r>
      <w:proofErr w:type="gramEnd"/>
      <w:r>
        <w:t>: select * from Specimen where (select count(*) from</w:t>
      </w:r>
    </w:p>
    <w:p w:rsidR="00C6446C" w:rsidRDefault="00C6446C" w:rsidP="00C6446C">
      <w:pPr>
        <w:pStyle w:val="PlainText"/>
      </w:pPr>
      <w:proofErr w:type="spellStart"/>
      <w:proofErr w:type="gramStart"/>
      <w:r>
        <w:t>childSpecimen</w:t>
      </w:r>
      <w:proofErr w:type="spellEnd"/>
      <w:proofErr w:type="gramEnd"/>
      <w:r>
        <w:t>) &gt; 2</w:t>
      </w:r>
    </w:p>
    <w:p w:rsidR="00C6446C" w:rsidRDefault="00C6446C" w:rsidP="00C6446C">
      <w:pPr>
        <w:pStyle w:val="PlainText"/>
      </w:pPr>
      <w:r>
        <w:tab/>
        <w:t xml:space="preserve">From CQL2 schema perspective, the constraint (count &gt; 2) is logically a part of the class </w:t>
      </w:r>
      <w:proofErr w:type="spellStart"/>
      <w:r>
        <w:t>CQLAssociatedObject</w:t>
      </w:r>
      <w:proofErr w:type="spellEnd"/>
      <w:r>
        <w:t>.</w:t>
      </w:r>
    </w:p>
    <w:p w:rsidR="00C6446C" w:rsidRDefault="00C6446C" w:rsidP="00C6446C">
      <w:pPr>
        <w:pStyle w:val="PlainText"/>
        <w:rPr>
          <w:rFonts w:asciiTheme="majorHAnsi" w:hAnsiTheme="majorHAnsi"/>
          <w:color w:val="FF0000"/>
          <w:sz w:val="22"/>
        </w:rPr>
      </w:pPr>
    </w:p>
    <w:p w:rsidR="00BC5260" w:rsidRDefault="00BC5260" w:rsidP="00C6446C">
      <w:pPr>
        <w:pStyle w:val="PlainText"/>
        <w:rPr>
          <w:rFonts w:asciiTheme="majorHAnsi" w:hAnsiTheme="majorHAnsi"/>
          <w:color w:val="FF0000"/>
          <w:sz w:val="22"/>
        </w:rPr>
      </w:pPr>
      <w:r>
        <w:rPr>
          <w:rFonts w:asciiTheme="majorHAnsi" w:hAnsiTheme="majorHAnsi"/>
          <w:color w:val="FF0000"/>
          <w:sz w:val="22"/>
        </w:rPr>
        <w:t>This kind of functionality unfortunately makes the query language highly ambiguous and difficult to implement.  Say you place additional query constraints after the count… are we counting objects first and then restricting further, or performing the restriction and counting the result?  Nested counts get even uglier.</w:t>
      </w:r>
    </w:p>
    <w:p w:rsidR="00BC5260" w:rsidRDefault="00BC5260" w:rsidP="00C6446C">
      <w:pPr>
        <w:pStyle w:val="PlainText"/>
      </w:pPr>
      <w:r>
        <w:t xml:space="preserve"> </w:t>
      </w:r>
    </w:p>
    <w:p w:rsidR="00C6446C" w:rsidRDefault="00C6446C" w:rsidP="00C6446C">
      <w:pPr>
        <w:pStyle w:val="PlainText"/>
      </w:pPr>
      <w:r>
        <w:t>2. Specimens from which a DNA specimen was derived (recursive query)</w:t>
      </w:r>
    </w:p>
    <w:p w:rsidR="00C6446C" w:rsidRDefault="00C6446C" w:rsidP="00C6446C">
      <w:pPr>
        <w:pStyle w:val="PlainText"/>
      </w:pPr>
      <w:r>
        <w:tab/>
        <w:t>Elaboration: select * from Specimen where (exists a "derived"</w:t>
      </w:r>
    </w:p>
    <w:p w:rsidR="00C6446C" w:rsidRDefault="00C6446C" w:rsidP="00C6446C">
      <w:pPr>
        <w:pStyle w:val="PlainText"/>
      </w:pPr>
      <w:proofErr w:type="gramStart"/>
      <w:r>
        <w:t>specimen</w:t>
      </w:r>
      <w:proofErr w:type="gramEnd"/>
      <w:r>
        <w:t xml:space="preserve"> of type 'DNA')</w:t>
      </w:r>
    </w:p>
    <w:p w:rsidR="00C6446C" w:rsidRDefault="00C6446C" w:rsidP="00C6446C">
      <w:pPr>
        <w:pStyle w:val="PlainText"/>
      </w:pPr>
    </w:p>
    <w:p w:rsidR="00C6446C" w:rsidRDefault="00C6446C" w:rsidP="00C6446C">
      <w:pPr>
        <w:pStyle w:val="PlainText"/>
      </w:pPr>
      <w:r>
        <w:lastRenderedPageBreak/>
        <w:tab/>
        <w:t xml:space="preserve">Here, "derived" means we need to traverse the </w:t>
      </w:r>
      <w:proofErr w:type="spellStart"/>
      <w:r>
        <w:t>childSpecimen</w:t>
      </w:r>
      <w:proofErr w:type="spellEnd"/>
      <w:r>
        <w:t xml:space="preserve"> association to indefinite depth recursively (till we encounter a Specimen with type='DNA').</w:t>
      </w:r>
    </w:p>
    <w:p w:rsidR="00C6446C" w:rsidRDefault="00C6446C" w:rsidP="00C6446C">
      <w:pPr>
        <w:pStyle w:val="PlainText"/>
      </w:pPr>
    </w:p>
    <w:p w:rsidR="0047107E" w:rsidRDefault="0047107E" w:rsidP="00C6446C">
      <w:pPr>
        <w:pStyle w:val="PlainText"/>
        <w:rPr>
          <w:rFonts w:asciiTheme="majorHAnsi" w:hAnsiTheme="majorHAnsi"/>
          <w:color w:val="FF0000"/>
          <w:sz w:val="22"/>
        </w:rPr>
      </w:pPr>
      <w:r>
        <w:rPr>
          <w:rFonts w:asciiTheme="majorHAnsi" w:hAnsiTheme="majorHAnsi"/>
          <w:color w:val="FF0000"/>
          <w:sz w:val="22"/>
        </w:rPr>
        <w:t>I’m not aware of any query languages which support this natively.  One could “fake” it by (</w:t>
      </w:r>
      <w:r w:rsidR="00BC5260">
        <w:rPr>
          <w:rFonts w:asciiTheme="majorHAnsi" w:hAnsiTheme="majorHAnsi"/>
          <w:color w:val="FF0000"/>
          <w:sz w:val="22"/>
        </w:rPr>
        <w:t xml:space="preserve">probably </w:t>
      </w:r>
      <w:r>
        <w:rPr>
          <w:rFonts w:asciiTheme="majorHAnsi" w:hAnsiTheme="majorHAnsi"/>
          <w:color w:val="FF0000"/>
          <w:sz w:val="22"/>
        </w:rPr>
        <w:t>programmatically) building a CQL group using OR clauses and nesting associations deep</w:t>
      </w:r>
      <w:r w:rsidR="00BC5260">
        <w:rPr>
          <w:rFonts w:asciiTheme="majorHAnsi" w:hAnsiTheme="majorHAnsi"/>
          <w:color w:val="FF0000"/>
          <w:sz w:val="22"/>
        </w:rPr>
        <w:t xml:space="preserve"> enough to cover whatever </w:t>
      </w:r>
      <w:proofErr w:type="gramStart"/>
      <w:r w:rsidR="00BC5260">
        <w:rPr>
          <w:rFonts w:asciiTheme="majorHAnsi" w:hAnsiTheme="majorHAnsi"/>
          <w:color w:val="FF0000"/>
          <w:sz w:val="22"/>
        </w:rPr>
        <w:t>level</w:t>
      </w:r>
      <w:proofErr w:type="gramEnd"/>
      <w:r w:rsidR="00BC5260">
        <w:rPr>
          <w:rFonts w:asciiTheme="majorHAnsi" w:hAnsiTheme="majorHAnsi"/>
          <w:color w:val="FF0000"/>
          <w:sz w:val="22"/>
        </w:rPr>
        <w:t xml:space="preserve"> of recursion you might desire</w:t>
      </w:r>
      <w:r>
        <w:rPr>
          <w:rFonts w:asciiTheme="majorHAnsi" w:hAnsiTheme="majorHAnsi"/>
          <w:color w:val="FF0000"/>
          <w:sz w:val="22"/>
        </w:rPr>
        <w:t>.</w:t>
      </w:r>
    </w:p>
    <w:p w:rsidR="0047107E" w:rsidRDefault="0047107E" w:rsidP="00C6446C">
      <w:pPr>
        <w:pStyle w:val="PlainText"/>
        <w:rPr>
          <w:rFonts w:asciiTheme="majorHAnsi" w:hAnsiTheme="majorHAnsi"/>
          <w:color w:val="FF0000"/>
          <w:sz w:val="22"/>
        </w:rPr>
      </w:pPr>
    </w:p>
    <w:p w:rsidR="00980E1A" w:rsidRPr="0047107E" w:rsidRDefault="00980E1A" w:rsidP="00C6446C">
      <w:pPr>
        <w:pStyle w:val="PlainText"/>
        <w:rPr>
          <w:rFonts w:asciiTheme="majorHAnsi" w:hAnsiTheme="majorHAnsi"/>
          <w:color w:val="FF0000"/>
          <w:sz w:val="22"/>
        </w:rPr>
      </w:pPr>
    </w:p>
    <w:p w:rsidR="00C6446C" w:rsidRDefault="00C6446C" w:rsidP="00C6446C">
      <w:pPr>
        <w:pStyle w:val="PlainText"/>
      </w:pPr>
      <w:r>
        <w:t>3. Temporal queries (</w:t>
      </w:r>
      <w:proofErr w:type="spellStart"/>
      <w:r>
        <w:t>cf</w:t>
      </w:r>
      <w:proofErr w:type="spellEnd"/>
    </w:p>
    <w:p w:rsidR="00C6446C" w:rsidRDefault="00F07FE9" w:rsidP="00C6446C">
      <w:pPr>
        <w:pStyle w:val="PlainText"/>
      </w:pPr>
      <w:hyperlink r:id="rId6" w:anchor="Temporal_Queries" w:history="1">
        <w:r w:rsidR="00C6446C">
          <w:rPr>
            <w:rStyle w:val="Hyperlink"/>
          </w:rPr>
          <w:t>http://www.cagrid.org/wiki/Data_Services:CQL2:Use_Cases#Temporal_Queries</w:t>
        </w:r>
      </w:hyperlink>
      <w:r w:rsidR="00C6446C">
        <w:t>):</w:t>
      </w:r>
    </w:p>
    <w:p w:rsidR="0047107E" w:rsidRDefault="0047107E" w:rsidP="00C6446C">
      <w:pPr>
        <w:pStyle w:val="PlainText"/>
      </w:pPr>
    </w:p>
    <w:p w:rsidR="0047107E" w:rsidRDefault="0047107E" w:rsidP="00C6446C">
      <w:pPr>
        <w:pStyle w:val="PlainText"/>
        <w:rPr>
          <w:rFonts w:asciiTheme="majorHAnsi" w:hAnsiTheme="majorHAnsi"/>
          <w:color w:val="FF0000"/>
          <w:sz w:val="22"/>
        </w:rPr>
      </w:pPr>
      <w:r>
        <w:rPr>
          <w:rFonts w:asciiTheme="majorHAnsi" w:hAnsiTheme="majorHAnsi"/>
          <w:color w:val="FF0000"/>
          <w:sz w:val="22"/>
        </w:rPr>
        <w:t>Copied here for reference:</w:t>
      </w:r>
    </w:p>
    <w:p w:rsidR="0047107E" w:rsidRPr="0047107E" w:rsidRDefault="0047107E" w:rsidP="0047107E">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47107E">
        <w:rPr>
          <w:rFonts w:ascii="Times New Roman" w:eastAsia="Times New Roman" w:hAnsi="Times New Roman" w:cs="Times New Roman"/>
          <w:b/>
          <w:bCs/>
          <w:color w:val="FF0000"/>
          <w:sz w:val="36"/>
          <w:szCs w:val="36"/>
        </w:rPr>
        <w:t>Temporal Queries</w:t>
      </w:r>
    </w:p>
    <w:p w:rsidR="0047107E" w:rsidRPr="0047107E" w:rsidRDefault="0047107E" w:rsidP="0047107E">
      <w:p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b/>
          <w:bCs/>
          <w:color w:val="FF0000"/>
          <w:sz w:val="24"/>
          <w:szCs w:val="24"/>
        </w:rPr>
        <w:t>From:</w:t>
      </w:r>
      <w:r w:rsidRPr="0047107E">
        <w:rPr>
          <w:rFonts w:ascii="Times New Roman" w:eastAsia="Times New Roman" w:hAnsi="Times New Roman" w:cs="Times New Roman"/>
          <w:color w:val="FF0000"/>
          <w:sz w:val="24"/>
          <w:szCs w:val="24"/>
        </w:rPr>
        <w:t xml:space="preserve"> TBPT </w:t>
      </w:r>
    </w:p>
    <w:p w:rsidR="0047107E" w:rsidRPr="0047107E" w:rsidRDefault="0047107E" w:rsidP="0047107E">
      <w:p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b/>
          <w:bCs/>
          <w:color w:val="FF0000"/>
          <w:sz w:val="24"/>
          <w:szCs w:val="24"/>
        </w:rPr>
        <w:t>Overview:</w:t>
      </w:r>
      <w:r w:rsidRPr="0047107E">
        <w:rPr>
          <w:rFonts w:ascii="Times New Roman" w:eastAsia="Times New Roman" w:hAnsi="Times New Roman" w:cs="Times New Roman"/>
          <w:color w:val="FF0000"/>
          <w:sz w:val="24"/>
          <w:szCs w:val="24"/>
        </w:rPr>
        <w:t xml:space="preserve"> Expression of query attributes in terms of ‘age’. </w:t>
      </w:r>
    </w:p>
    <w:p w:rsidR="0047107E" w:rsidRPr="0047107E" w:rsidRDefault="0047107E" w:rsidP="0047107E">
      <w:p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b/>
          <w:bCs/>
          <w:color w:val="FF0000"/>
          <w:sz w:val="24"/>
          <w:szCs w:val="24"/>
        </w:rPr>
        <w:t>Example:</w:t>
      </w:r>
      <w:r w:rsidRPr="0047107E">
        <w:rPr>
          <w:rFonts w:ascii="Times New Roman" w:eastAsia="Times New Roman" w:hAnsi="Times New Roman" w:cs="Times New Roman"/>
          <w:color w:val="FF0000"/>
          <w:sz w:val="24"/>
          <w:szCs w:val="24"/>
        </w:rPr>
        <w:t xml:space="preserve"> </w:t>
      </w:r>
    </w:p>
    <w:p w:rsidR="0047107E" w:rsidRPr="0047107E" w:rsidRDefault="0047107E" w:rsidP="0047107E">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color w:val="FF0000"/>
          <w:sz w:val="24"/>
          <w:szCs w:val="24"/>
        </w:rPr>
        <w:t xml:space="preserve">A researcher would like to find all Samples in a data service that are 30 days old or newer. </w:t>
      </w:r>
    </w:p>
    <w:p w:rsidR="0047107E" w:rsidRPr="0047107E" w:rsidRDefault="0047107E" w:rsidP="0047107E">
      <w:p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b/>
          <w:bCs/>
          <w:color w:val="FF0000"/>
          <w:sz w:val="24"/>
          <w:szCs w:val="24"/>
        </w:rPr>
        <w:t>Currently:</w:t>
      </w:r>
      <w:r w:rsidRPr="0047107E">
        <w:rPr>
          <w:rFonts w:ascii="Times New Roman" w:eastAsia="Times New Roman" w:hAnsi="Times New Roman" w:cs="Times New Roman"/>
          <w:color w:val="FF0000"/>
          <w:sz w:val="24"/>
          <w:szCs w:val="24"/>
        </w:rPr>
        <w:t xml:space="preserve"> While one could formulate such a query presently by doing something like “current day – 30”, the query cannot be saved for later re-use. </w:t>
      </w:r>
    </w:p>
    <w:p w:rsidR="0047107E" w:rsidRPr="0047107E" w:rsidRDefault="0047107E" w:rsidP="0047107E">
      <w:p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b/>
          <w:bCs/>
          <w:color w:val="FF0000"/>
          <w:sz w:val="24"/>
          <w:szCs w:val="24"/>
        </w:rPr>
        <w:t>Thoughts:</w:t>
      </w:r>
      <w:r w:rsidRPr="0047107E">
        <w:rPr>
          <w:rFonts w:ascii="Times New Roman" w:eastAsia="Times New Roman" w:hAnsi="Times New Roman" w:cs="Times New Roman"/>
          <w:color w:val="FF0000"/>
          <w:sz w:val="24"/>
          <w:szCs w:val="24"/>
        </w:rPr>
        <w:t xml:space="preserve"> Such cases might be a modeling issue. Things like 'age' generally should not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 </w:t>
      </w:r>
    </w:p>
    <w:p w:rsidR="0047107E" w:rsidRPr="0047107E" w:rsidRDefault="0047107E" w:rsidP="0047107E">
      <w:p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b/>
          <w:bCs/>
          <w:color w:val="FF0000"/>
          <w:sz w:val="24"/>
          <w:szCs w:val="24"/>
        </w:rPr>
        <w:t>Investigation:</w:t>
      </w:r>
      <w:r w:rsidRPr="0047107E">
        <w:rPr>
          <w:rFonts w:ascii="Times New Roman" w:eastAsia="Times New Roman" w:hAnsi="Times New Roman" w:cs="Times New Roman"/>
          <w:color w:val="FF0000"/>
          <w:sz w:val="24"/>
          <w:szCs w:val="24"/>
        </w:rPr>
        <w:t xml:space="preserve"> </w:t>
      </w:r>
    </w:p>
    <w:p w:rsidR="0047107E" w:rsidRPr="0047107E" w:rsidRDefault="0047107E" w:rsidP="0047107E">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color w:val="FF0000"/>
          <w:sz w:val="24"/>
          <w:szCs w:val="24"/>
        </w:rPr>
        <w:t xml:space="preserve">Evaluate some TBPT models to see if anybody actually stores “age” values. </w:t>
      </w:r>
    </w:p>
    <w:p w:rsidR="0047107E" w:rsidRPr="0047107E" w:rsidRDefault="0047107E" w:rsidP="0047107E">
      <w:pPr>
        <w:spacing w:before="100" w:beforeAutospacing="1" w:after="100" w:afterAutospacing="1" w:line="240" w:lineRule="auto"/>
        <w:rPr>
          <w:rFonts w:ascii="Times New Roman" w:eastAsia="Times New Roman" w:hAnsi="Times New Roman" w:cs="Times New Roman"/>
          <w:color w:val="FF0000"/>
          <w:sz w:val="24"/>
          <w:szCs w:val="24"/>
        </w:rPr>
      </w:pPr>
      <w:r w:rsidRPr="0047107E">
        <w:rPr>
          <w:rFonts w:ascii="Times New Roman" w:eastAsia="Times New Roman" w:hAnsi="Times New Roman" w:cs="Times New Roman"/>
          <w:b/>
          <w:bCs/>
          <w:color w:val="FF0000"/>
          <w:sz w:val="24"/>
          <w:szCs w:val="24"/>
        </w:rPr>
        <w:t>Solutions:</w:t>
      </w:r>
      <w:r w:rsidRPr="0047107E">
        <w:rPr>
          <w:rFonts w:ascii="Times New Roman" w:eastAsia="Times New Roman" w:hAnsi="Times New Roman" w:cs="Times New Roman"/>
          <w:color w:val="FF0000"/>
          <w:sz w:val="24"/>
          <w:szCs w:val="24"/>
        </w:rPr>
        <w:t xml:space="preserve"> Some tools around CQL [2] queries could be developed which finds and replaces values in attributes with values appropriate to the "age" desired. </w:t>
      </w:r>
    </w:p>
    <w:p w:rsidR="0047107E" w:rsidRPr="0047107E" w:rsidRDefault="0047107E" w:rsidP="00C6446C">
      <w:pPr>
        <w:pStyle w:val="PlainText"/>
        <w:rPr>
          <w:rFonts w:asciiTheme="majorHAnsi" w:hAnsiTheme="majorHAnsi"/>
          <w:color w:val="FF0000"/>
          <w:sz w:val="22"/>
        </w:rPr>
      </w:pPr>
    </w:p>
    <w:p w:rsidR="00C6446C" w:rsidRDefault="00C6446C" w:rsidP="00C6446C">
      <w:pPr>
        <w:pStyle w:val="PlainText"/>
      </w:pPr>
      <w:r>
        <w:tab/>
      </w:r>
      <w:proofErr w:type="gramStart"/>
      <w:r>
        <w:t>a</w:t>
      </w:r>
      <w:proofErr w:type="gramEnd"/>
      <w:r>
        <w:t>). Give me participants whose age &gt; 30 years</w:t>
      </w:r>
    </w:p>
    <w:p w:rsidR="00C6446C" w:rsidRDefault="00C6446C" w:rsidP="00C6446C">
      <w:pPr>
        <w:pStyle w:val="PlainText"/>
      </w:pPr>
      <w:r>
        <w:tab/>
      </w:r>
      <w:r>
        <w:tab/>
      </w:r>
      <w:proofErr w:type="gramStart"/>
      <w:r>
        <w:t>elaboration</w:t>
      </w:r>
      <w:proofErr w:type="gramEnd"/>
      <w:r>
        <w:t>: select * from participant where &lt;</w:t>
      </w:r>
      <w:proofErr w:type="spellStart"/>
      <w:r>
        <w:t>dateLiteral</w:t>
      </w:r>
      <w:proofErr w:type="spellEnd"/>
      <w:r>
        <w:t xml:space="preserve">&gt; - </w:t>
      </w:r>
      <w:proofErr w:type="spellStart"/>
      <w:r>
        <w:t>birthDate</w:t>
      </w:r>
      <w:proofErr w:type="spellEnd"/>
      <w:r>
        <w:t xml:space="preserve"> &gt; 30Yrs.</w:t>
      </w:r>
    </w:p>
    <w:p w:rsidR="00C6446C" w:rsidRDefault="00C6446C" w:rsidP="00C6446C">
      <w:pPr>
        <w:pStyle w:val="PlainText"/>
      </w:pPr>
      <w:r>
        <w:tab/>
      </w:r>
    </w:p>
    <w:p w:rsidR="00C6446C" w:rsidRDefault="00C6446C" w:rsidP="00C6446C">
      <w:pPr>
        <w:pStyle w:val="PlainText"/>
      </w:pPr>
      <w:r>
        <w:tab/>
        <w:t>b). Give me participants whose age at registration was over 30 years</w:t>
      </w:r>
    </w:p>
    <w:p w:rsidR="00C6446C" w:rsidRDefault="00C6446C" w:rsidP="00C6446C">
      <w:pPr>
        <w:pStyle w:val="PlainText"/>
      </w:pPr>
      <w:r>
        <w:tab/>
      </w:r>
      <w:r>
        <w:tab/>
      </w:r>
      <w:proofErr w:type="gramStart"/>
      <w:r>
        <w:t>elaboration</w:t>
      </w:r>
      <w:proofErr w:type="gramEnd"/>
      <w:r>
        <w:t xml:space="preserve">: </w:t>
      </w:r>
    </w:p>
    <w:p w:rsidR="00C6446C" w:rsidRDefault="00C6446C" w:rsidP="00C6446C">
      <w:pPr>
        <w:pStyle w:val="PlainText"/>
      </w:pPr>
      <w:r>
        <w:tab/>
      </w:r>
      <w:r>
        <w:tab/>
      </w:r>
      <w:proofErr w:type="gramStart"/>
      <w:r>
        <w:t>select</w:t>
      </w:r>
      <w:proofErr w:type="gramEnd"/>
      <w:r>
        <w:t xml:space="preserve"> * </w:t>
      </w:r>
    </w:p>
    <w:p w:rsidR="00C6446C" w:rsidRDefault="00C6446C" w:rsidP="00C6446C">
      <w:pPr>
        <w:pStyle w:val="PlainText"/>
      </w:pPr>
      <w:r>
        <w:lastRenderedPageBreak/>
        <w:tab/>
      </w:r>
      <w:r>
        <w:tab/>
      </w:r>
      <w:proofErr w:type="gramStart"/>
      <w:r>
        <w:t>from</w:t>
      </w:r>
      <w:proofErr w:type="gramEnd"/>
      <w:r>
        <w:t xml:space="preserve"> Participant p </w:t>
      </w:r>
    </w:p>
    <w:p w:rsidR="00C6446C" w:rsidRDefault="00C6446C" w:rsidP="00C6446C">
      <w:pPr>
        <w:pStyle w:val="PlainText"/>
      </w:pPr>
      <w:r>
        <w:tab/>
      </w:r>
      <w:r>
        <w:tab/>
      </w:r>
      <w:proofErr w:type="gramStart"/>
      <w:r>
        <w:t>join</w:t>
      </w:r>
      <w:proofErr w:type="gramEnd"/>
      <w:r>
        <w:t xml:space="preserve"> </w:t>
      </w:r>
      <w:proofErr w:type="spellStart"/>
      <w:r>
        <w:t>CollectionProtocolRegistration</w:t>
      </w:r>
      <w:proofErr w:type="spellEnd"/>
      <w:r>
        <w:t xml:space="preserve"> </w:t>
      </w:r>
      <w:proofErr w:type="spellStart"/>
      <w:r>
        <w:t>cpr</w:t>
      </w:r>
      <w:proofErr w:type="spellEnd"/>
    </w:p>
    <w:p w:rsidR="00C6446C" w:rsidRDefault="00C6446C" w:rsidP="00C6446C">
      <w:pPr>
        <w:pStyle w:val="PlainText"/>
      </w:pPr>
      <w:r>
        <w:tab/>
      </w:r>
      <w:r>
        <w:tab/>
      </w:r>
      <w:proofErr w:type="gramStart"/>
      <w:r>
        <w:t>where</w:t>
      </w:r>
      <w:proofErr w:type="gramEnd"/>
      <w:r>
        <w:t xml:space="preserve"> </w:t>
      </w:r>
      <w:proofErr w:type="spellStart"/>
      <w:r>
        <w:t>cpr.registrationDate</w:t>
      </w:r>
      <w:proofErr w:type="spellEnd"/>
      <w:r>
        <w:t xml:space="preserve"> - </w:t>
      </w:r>
      <w:proofErr w:type="spellStart"/>
      <w:r>
        <w:t>p.birthDate</w:t>
      </w:r>
      <w:proofErr w:type="spellEnd"/>
      <w:r>
        <w:t xml:space="preserve"> &gt; 30Yrs</w:t>
      </w:r>
    </w:p>
    <w:p w:rsidR="00C6446C" w:rsidRDefault="00C6446C" w:rsidP="00C6446C">
      <w:pPr>
        <w:pStyle w:val="PlainText"/>
      </w:pPr>
    </w:p>
    <w:p w:rsidR="000C037B" w:rsidRDefault="000C037B" w:rsidP="00C6446C">
      <w:pPr>
        <w:pStyle w:val="PlainText"/>
        <w:rPr>
          <w:rFonts w:asciiTheme="majorHAnsi" w:hAnsiTheme="majorHAnsi"/>
          <w:color w:val="FF0000"/>
          <w:sz w:val="22"/>
        </w:rPr>
      </w:pPr>
      <w:r>
        <w:rPr>
          <w:rFonts w:asciiTheme="majorHAnsi" w:hAnsiTheme="majorHAnsi"/>
          <w:color w:val="FF0000"/>
          <w:sz w:val="22"/>
        </w:rPr>
        <w:t>I think both of these queries delve into the area of joins, which CQL has shied away from in the interest of being a “minimum barrier to entry” for getting data on the grid, regardless of the data source it comes out of.  Query ‘a’ is certainly the ‘easier’ of the two, but it’s really just a special case of query ‘b’.</w:t>
      </w:r>
      <w:r w:rsidR="00BC5260">
        <w:rPr>
          <w:rFonts w:asciiTheme="majorHAnsi" w:hAnsiTheme="majorHAnsi"/>
          <w:color w:val="FF0000"/>
          <w:sz w:val="22"/>
        </w:rPr>
        <w:t xml:space="preserve">  Date </w:t>
      </w:r>
      <w:r w:rsidR="00D54E3C">
        <w:rPr>
          <w:rFonts w:asciiTheme="majorHAnsi" w:hAnsiTheme="majorHAnsi"/>
          <w:color w:val="FF0000"/>
          <w:sz w:val="22"/>
        </w:rPr>
        <w:t xml:space="preserve">and time </w:t>
      </w:r>
      <w:r w:rsidR="00BC5260">
        <w:rPr>
          <w:rFonts w:asciiTheme="majorHAnsi" w:hAnsiTheme="majorHAnsi"/>
          <w:color w:val="FF0000"/>
          <w:sz w:val="22"/>
        </w:rPr>
        <w:t>processing is a non-trivial thing to implement</w:t>
      </w:r>
      <w:r w:rsidR="00D54E3C">
        <w:rPr>
          <w:rFonts w:asciiTheme="majorHAnsi" w:hAnsiTheme="majorHAnsi"/>
          <w:color w:val="FF0000"/>
          <w:sz w:val="22"/>
        </w:rPr>
        <w:t>.</w:t>
      </w:r>
    </w:p>
    <w:p w:rsidR="000C037B" w:rsidRPr="000C037B" w:rsidRDefault="000C037B" w:rsidP="00C6446C">
      <w:pPr>
        <w:pStyle w:val="PlainText"/>
        <w:rPr>
          <w:rFonts w:asciiTheme="majorHAnsi" w:hAnsiTheme="majorHAnsi"/>
          <w:color w:val="FF0000"/>
          <w:sz w:val="22"/>
        </w:rPr>
      </w:pPr>
    </w:p>
    <w:p w:rsidR="00C6446C" w:rsidRDefault="00C6446C" w:rsidP="00C6446C">
      <w:pPr>
        <w:pStyle w:val="PlainText"/>
      </w:pPr>
      <w:r>
        <w:t>4. Participants who are not registered for a collection protocol</w:t>
      </w:r>
    </w:p>
    <w:p w:rsidR="00C6446C" w:rsidRDefault="00C6446C" w:rsidP="00C6446C">
      <w:pPr>
        <w:pStyle w:val="PlainText"/>
      </w:pPr>
      <w:r>
        <w:tab/>
      </w:r>
      <w:r>
        <w:tab/>
      </w:r>
      <w:proofErr w:type="gramStart"/>
      <w:r>
        <w:t>elaboration</w:t>
      </w:r>
      <w:proofErr w:type="gramEnd"/>
      <w:r>
        <w:t xml:space="preserve">: </w:t>
      </w:r>
    </w:p>
    <w:p w:rsidR="00C6446C" w:rsidRDefault="00C6446C" w:rsidP="00C6446C">
      <w:pPr>
        <w:pStyle w:val="PlainText"/>
      </w:pPr>
      <w:r>
        <w:tab/>
      </w:r>
      <w:r>
        <w:tab/>
      </w:r>
      <w:proofErr w:type="gramStart"/>
      <w:r>
        <w:t>select</w:t>
      </w:r>
      <w:proofErr w:type="gramEnd"/>
      <w:r>
        <w:t xml:space="preserve"> * from participant </w:t>
      </w:r>
    </w:p>
    <w:p w:rsidR="00C6446C" w:rsidRDefault="00C6446C" w:rsidP="00C6446C">
      <w:pPr>
        <w:pStyle w:val="PlainText"/>
      </w:pPr>
      <w:r>
        <w:tab/>
      </w:r>
      <w:r>
        <w:tab/>
      </w:r>
      <w:proofErr w:type="gramStart"/>
      <w:r>
        <w:t>where</w:t>
      </w:r>
      <w:proofErr w:type="gramEnd"/>
      <w:r>
        <w:t xml:space="preserve"> identifier not in (select </w:t>
      </w:r>
      <w:proofErr w:type="spellStart"/>
      <w:r>
        <w:t>participantId</w:t>
      </w:r>
      <w:proofErr w:type="spellEnd"/>
      <w:r>
        <w:t xml:space="preserve"> from</w:t>
      </w:r>
    </w:p>
    <w:p w:rsidR="00C6446C" w:rsidRDefault="00C6446C" w:rsidP="00C6446C">
      <w:pPr>
        <w:pStyle w:val="PlainText"/>
      </w:pPr>
      <w:proofErr w:type="spellStart"/>
      <w:r>
        <w:t>CollectionProtocolRegistration</w:t>
      </w:r>
      <w:proofErr w:type="spellEnd"/>
      <w:r>
        <w:t>)</w:t>
      </w:r>
    </w:p>
    <w:p w:rsidR="00C6446C" w:rsidRDefault="00C6446C" w:rsidP="00C6446C">
      <w:pPr>
        <w:pStyle w:val="PlainText"/>
      </w:pPr>
    </w:p>
    <w:p w:rsidR="00C6446C" w:rsidRDefault="00C6446C" w:rsidP="00C6446C">
      <w:pPr>
        <w:pStyle w:val="PlainText"/>
      </w:pPr>
      <w:r>
        <w:t xml:space="preserve">Generally speaking, there are queries where we need to check for non-existence of an associated object. Another </w:t>
      </w:r>
      <w:proofErr w:type="spellStart"/>
      <w:r>
        <w:t>caTissue</w:t>
      </w:r>
      <w:proofErr w:type="spellEnd"/>
      <w:r>
        <w:t xml:space="preserve"> example is "Give me virtual specimens" (check for non-existence of associated </w:t>
      </w:r>
      <w:proofErr w:type="spellStart"/>
      <w:r>
        <w:t>SpecimenPosition</w:t>
      </w:r>
      <w:proofErr w:type="spellEnd"/>
      <w:r>
        <w:t>).</w:t>
      </w:r>
    </w:p>
    <w:p w:rsidR="00BC5260" w:rsidRDefault="00BC5260" w:rsidP="00C6446C">
      <w:pPr>
        <w:pStyle w:val="PlainText"/>
        <w:rPr>
          <w:rFonts w:asciiTheme="majorHAnsi" w:hAnsiTheme="majorHAnsi"/>
          <w:color w:val="FF0000"/>
          <w:sz w:val="22"/>
        </w:rPr>
      </w:pPr>
    </w:p>
    <w:p w:rsidR="00C6446C" w:rsidRDefault="00C6446C" w:rsidP="00C6446C">
      <w:pPr>
        <w:pStyle w:val="PlainText"/>
      </w:pPr>
      <w:r>
        <w:t>Note that this is, in a way, a subset of use-case 1 above; the only difference is that the constraint is now (count = 0).</w:t>
      </w:r>
    </w:p>
    <w:p w:rsidR="0047107E" w:rsidRDefault="0047107E">
      <w:pPr>
        <w:rPr>
          <w:rFonts w:asciiTheme="majorHAnsi" w:hAnsiTheme="majorHAnsi"/>
          <w:color w:val="FF0000"/>
        </w:rPr>
      </w:pPr>
    </w:p>
    <w:p w:rsidR="00BC5260" w:rsidRDefault="00BC5260">
      <w:pPr>
        <w:rPr>
          <w:rFonts w:asciiTheme="majorHAnsi" w:hAnsiTheme="majorHAnsi"/>
          <w:color w:val="FF0000"/>
        </w:rPr>
      </w:pPr>
      <w:r>
        <w:rPr>
          <w:rFonts w:asciiTheme="majorHAnsi" w:hAnsiTheme="majorHAnsi"/>
          <w:color w:val="FF0000"/>
        </w:rPr>
        <w:t xml:space="preserve">I don’t think it makes much sense here to implement the special case (count = 0) and not the general case.  Questions like “how many </w:t>
      </w:r>
      <w:proofErr w:type="spellStart"/>
      <w:r>
        <w:rPr>
          <w:rFonts w:asciiTheme="majorHAnsi" w:hAnsiTheme="majorHAnsi"/>
          <w:color w:val="FF0000"/>
        </w:rPr>
        <w:t>aloquats</w:t>
      </w:r>
      <w:proofErr w:type="spellEnd"/>
      <w:r>
        <w:rPr>
          <w:rFonts w:asciiTheme="majorHAnsi" w:hAnsiTheme="majorHAnsi"/>
          <w:color w:val="FF0000"/>
        </w:rPr>
        <w:t xml:space="preserve"> are there for this sample?” might be better implemented in an analytical service where you could apply more fine grained rules.</w:t>
      </w:r>
    </w:p>
    <w:p w:rsidR="00980E1A" w:rsidRDefault="00980E1A" w:rsidP="00980E1A">
      <w:pPr>
        <w:rPr>
          <w:rFonts w:asciiTheme="majorHAnsi" w:hAnsiTheme="majorHAnsi"/>
          <w:color w:val="00B050"/>
        </w:rPr>
      </w:pPr>
      <w:r>
        <w:rPr>
          <w:rFonts w:asciiTheme="majorHAnsi" w:hAnsiTheme="majorHAnsi"/>
          <w:color w:val="00B050"/>
        </w:rPr>
        <w:t xml:space="preserve">This CAN be thought of as a special case of use-case 1. But that isn’t necessary. As you see, the SQL’s for the two can be built differently. Also, this case aims at an entirely different type of query from end-user perspective. </w:t>
      </w:r>
      <w:r w:rsidR="00224E19">
        <w:rPr>
          <w:rFonts w:asciiTheme="majorHAnsi" w:hAnsiTheme="majorHAnsi"/>
          <w:color w:val="00B050"/>
        </w:rPr>
        <w:t>(</w:t>
      </w:r>
      <w:r w:rsidR="0042106D">
        <w:rPr>
          <w:rFonts w:asciiTheme="majorHAnsi" w:hAnsiTheme="majorHAnsi"/>
          <w:color w:val="00B050"/>
        </w:rPr>
        <w:t xml:space="preserve">Also, queries of this type are </w:t>
      </w:r>
      <w:r w:rsidR="0042106D" w:rsidRPr="0042106D">
        <w:rPr>
          <w:rFonts w:asciiTheme="majorHAnsi" w:hAnsiTheme="majorHAnsi"/>
          <w:color w:val="00B050"/>
        </w:rPr>
        <w:t>apparently</w:t>
      </w:r>
      <w:r w:rsidR="0042106D">
        <w:rPr>
          <w:rFonts w:asciiTheme="majorHAnsi" w:hAnsiTheme="majorHAnsi"/>
          <w:color w:val="00B050"/>
        </w:rPr>
        <w:t xml:space="preserve"> required more often</w:t>
      </w:r>
      <w:r w:rsidR="00224E19">
        <w:rPr>
          <w:rFonts w:asciiTheme="majorHAnsi" w:hAnsiTheme="majorHAnsi"/>
          <w:color w:val="00B050"/>
        </w:rPr>
        <w:t>).</w:t>
      </w:r>
    </w:p>
    <w:p w:rsidR="00306B2B" w:rsidRDefault="00980E1A" w:rsidP="00980E1A">
      <w:pPr>
        <w:rPr>
          <w:rFonts w:asciiTheme="majorHAnsi" w:hAnsiTheme="majorHAnsi"/>
          <w:color w:val="00B050"/>
        </w:rPr>
      </w:pPr>
      <w:r>
        <w:rPr>
          <w:rFonts w:asciiTheme="majorHAnsi" w:hAnsiTheme="majorHAnsi"/>
          <w:color w:val="00B050"/>
        </w:rPr>
        <w:t xml:space="preserve">From CQL schema perspective, this feature can be specified by having an optional </w:t>
      </w:r>
      <w:proofErr w:type="spellStart"/>
      <w:proofErr w:type="gramStart"/>
      <w:r>
        <w:rPr>
          <w:rFonts w:asciiTheme="majorHAnsi" w:hAnsiTheme="majorHAnsi"/>
          <w:color w:val="00B050"/>
        </w:rPr>
        <w:t>boolean</w:t>
      </w:r>
      <w:proofErr w:type="spellEnd"/>
      <w:proofErr w:type="gramEnd"/>
      <w:r>
        <w:rPr>
          <w:rFonts w:asciiTheme="majorHAnsi" w:hAnsiTheme="majorHAnsi"/>
          <w:color w:val="00B050"/>
        </w:rPr>
        <w:t xml:space="preserve"> </w:t>
      </w:r>
      <w:r>
        <w:rPr>
          <w:rFonts w:asciiTheme="majorHAnsi" w:hAnsiTheme="majorHAnsi"/>
          <w:i/>
          <w:color w:val="00B050"/>
        </w:rPr>
        <w:t xml:space="preserve">not-exists </w:t>
      </w:r>
      <w:r>
        <w:rPr>
          <w:rFonts w:asciiTheme="majorHAnsi" w:hAnsiTheme="majorHAnsi"/>
          <w:color w:val="00B050"/>
        </w:rPr>
        <w:t xml:space="preserve">attribute as part of the </w:t>
      </w:r>
      <w:proofErr w:type="spellStart"/>
      <w:r>
        <w:rPr>
          <w:rFonts w:asciiTheme="majorHAnsi" w:hAnsiTheme="majorHAnsi"/>
          <w:i/>
          <w:color w:val="00B050"/>
        </w:rPr>
        <w:t>AssociatedObject</w:t>
      </w:r>
      <w:proofErr w:type="spellEnd"/>
      <w:r>
        <w:rPr>
          <w:rFonts w:asciiTheme="majorHAnsi" w:hAnsiTheme="majorHAnsi"/>
          <w:i/>
          <w:color w:val="00B050"/>
        </w:rPr>
        <w:t xml:space="preserve"> </w:t>
      </w:r>
      <w:r>
        <w:rPr>
          <w:rFonts w:asciiTheme="majorHAnsi" w:hAnsiTheme="majorHAnsi"/>
          <w:color w:val="00B050"/>
        </w:rPr>
        <w:t xml:space="preserve">tag. </w:t>
      </w:r>
      <w:r w:rsidR="00224E19">
        <w:rPr>
          <w:rFonts w:asciiTheme="majorHAnsi" w:hAnsiTheme="majorHAnsi"/>
          <w:color w:val="00B050"/>
        </w:rPr>
        <w:t>This case is probably less ambiguous (if at all) than case 1 above. This is because “check no objects exist and then restrict further” doesn’t make sense. So it has to be “restrict first and check no objects exist</w:t>
      </w:r>
    </w:p>
    <w:p w:rsidR="00306B2B" w:rsidRDefault="00306B2B" w:rsidP="00980E1A">
      <w:pPr>
        <w:rPr>
          <w:rFonts w:asciiTheme="majorHAnsi" w:hAnsiTheme="majorHAnsi"/>
          <w:color w:val="00B050"/>
        </w:rPr>
      </w:pPr>
    </w:p>
    <w:p w:rsidR="00980E1A" w:rsidRDefault="00980E1A" w:rsidP="00980E1A">
      <w:pPr>
        <w:rPr>
          <w:rFonts w:asciiTheme="majorHAnsi" w:hAnsiTheme="majorHAnsi"/>
          <w:color w:val="00B050"/>
        </w:rPr>
      </w:pPr>
    </w:p>
    <w:sectPr w:rsidR="00980E1A" w:rsidSect="001203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07D54"/>
    <w:multiLevelType w:val="multilevel"/>
    <w:tmpl w:val="BEA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5139E6"/>
    <w:multiLevelType w:val="multilevel"/>
    <w:tmpl w:val="E01A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446C"/>
    <w:rsid w:val="000C037B"/>
    <w:rsid w:val="0012037E"/>
    <w:rsid w:val="00224E19"/>
    <w:rsid w:val="00306B2B"/>
    <w:rsid w:val="00400CB8"/>
    <w:rsid w:val="0042106D"/>
    <w:rsid w:val="0047107E"/>
    <w:rsid w:val="00980E1A"/>
    <w:rsid w:val="00AF6167"/>
    <w:rsid w:val="00BC5260"/>
    <w:rsid w:val="00C6446C"/>
    <w:rsid w:val="00D40AFB"/>
    <w:rsid w:val="00D54E3C"/>
    <w:rsid w:val="00D939CB"/>
    <w:rsid w:val="00F07FE9"/>
    <w:rsid w:val="00FA0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7E"/>
  </w:style>
  <w:style w:type="paragraph" w:styleId="Heading2">
    <w:name w:val="heading 2"/>
    <w:basedOn w:val="Normal"/>
    <w:link w:val="Heading2Char"/>
    <w:uiPriority w:val="9"/>
    <w:qFormat/>
    <w:rsid w:val="004710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446C"/>
    <w:rPr>
      <w:color w:val="0000FF" w:themeColor="hyperlink"/>
      <w:u w:val="single"/>
    </w:rPr>
  </w:style>
  <w:style w:type="paragraph" w:styleId="PlainText">
    <w:name w:val="Plain Text"/>
    <w:basedOn w:val="Normal"/>
    <w:link w:val="PlainTextChar"/>
    <w:uiPriority w:val="99"/>
    <w:semiHidden/>
    <w:unhideWhenUsed/>
    <w:rsid w:val="00C644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6446C"/>
    <w:rPr>
      <w:rFonts w:ascii="Consolas" w:hAnsi="Consolas"/>
      <w:sz w:val="21"/>
      <w:szCs w:val="21"/>
    </w:rPr>
  </w:style>
  <w:style w:type="paragraph" w:styleId="BalloonText">
    <w:name w:val="Balloon Text"/>
    <w:basedOn w:val="Normal"/>
    <w:link w:val="BalloonTextChar"/>
    <w:uiPriority w:val="99"/>
    <w:semiHidden/>
    <w:unhideWhenUsed/>
    <w:rsid w:val="00C64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46C"/>
    <w:rPr>
      <w:rFonts w:ascii="Tahoma" w:hAnsi="Tahoma" w:cs="Tahoma"/>
      <w:sz w:val="16"/>
      <w:szCs w:val="16"/>
    </w:rPr>
  </w:style>
  <w:style w:type="character" w:styleId="FollowedHyperlink">
    <w:name w:val="FollowedHyperlink"/>
    <w:basedOn w:val="DefaultParagraphFont"/>
    <w:uiPriority w:val="99"/>
    <w:semiHidden/>
    <w:unhideWhenUsed/>
    <w:rsid w:val="0047107E"/>
    <w:rPr>
      <w:color w:val="800080" w:themeColor="followedHyperlink"/>
      <w:u w:val="single"/>
    </w:rPr>
  </w:style>
  <w:style w:type="character" w:customStyle="1" w:styleId="Heading2Char">
    <w:name w:val="Heading 2 Char"/>
    <w:basedOn w:val="DefaultParagraphFont"/>
    <w:link w:val="Heading2"/>
    <w:uiPriority w:val="9"/>
    <w:rsid w:val="004710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10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3798657">
      <w:bodyDiv w:val="1"/>
      <w:marLeft w:val="0"/>
      <w:marRight w:val="0"/>
      <w:marTop w:val="0"/>
      <w:marBottom w:val="0"/>
      <w:divBdr>
        <w:top w:val="none" w:sz="0" w:space="0" w:color="auto"/>
        <w:left w:val="none" w:sz="0" w:space="0" w:color="auto"/>
        <w:bottom w:val="none" w:sz="0" w:space="0" w:color="auto"/>
        <w:right w:val="none" w:sz="0" w:space="0" w:color="auto"/>
      </w:divBdr>
    </w:div>
    <w:div w:id="186929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grid.org/wiki/Data_Services:CQL2:Use_Cas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Ervin</dc:creator>
  <cp:lastModifiedBy>David Ervin</cp:lastModifiedBy>
  <cp:revision>7</cp:revision>
  <dcterms:created xsi:type="dcterms:W3CDTF">2008-12-11T20:14:00Z</dcterms:created>
  <dcterms:modified xsi:type="dcterms:W3CDTF">2009-01-08T16:54:00Z</dcterms:modified>
</cp:coreProperties>
</file>