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4E79"/>
          <w:sz w:val="36"/>
          <w:szCs w:val="36"/>
        </w:rPr>
        <w:t xml:space="preserve">Sepsis Severity Analysis</w:t>
      </w:r>
    </w:p>
    <w:p>
      <w:pPr>
        <w:spacing w:after="120"/>
      </w:pPr>
      <w:r>
        <w:rPr>
          <w:rFonts w:ascii="Arial" w:cs="Arial" w:eastAsia="Arial" w:hAnsi="Arial"/>
          <w:color w:val="2E75B6"/>
          <w:sz w:val="24"/>
          <w:szCs w:val="24"/>
        </w:rPr>
        <w:t xml:space="preserve">Clinical Decisions &amp; Definitions for Validation</w:t>
      </w:r>
    </w:p>
    <w:p>
      <w:pPr>
        <w:pBdr>
          <w:bottom w:val="single" w:color="2E75B6" w:sz="6" w:space="1"/>
        </w:pBdr>
        <w:spacing w:after="300"/>
      </w:pPr>
      <w:r>
        <w:rPr>
          <w:rFonts w:ascii="Arial" w:cs="Arial" w:eastAsia="Arial" w:hAnsi="Arial"/>
          <w:i/>
          <w:iCs/>
          <w:color w:val="666666"/>
          <w:sz w:val="20"/>
          <w:szCs w:val="20"/>
        </w:rPr>
        <w:t xml:space="preserve">Prepared for Clinical Leadership Review</w:t>
      </w:r>
    </w:p>
    <w:p>
      <w:pPr>
        <w:spacing w:after="200"/>
      </w:pPr>
      <w:r>
        <w:rPr>
          <w:rFonts w:ascii="Arial" w:cs="Arial" w:eastAsia="Arial" w:hAnsi="Arial"/>
          <w:sz w:val="20"/>
          <w:szCs w:val="20"/>
        </w:rPr>
        <w:t xml:space="preserve">This document summarizes the clinical rules, thresholds, and logic used throughout the Sepsis Severity Analysis. Each decision point is listed for clinical leadership validation. Where applicable, time windows, threshold values, and combinatorial logic are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Clinical Decision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 / Logic</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Suspected Infection Logic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IV Antibiotics + Blood Culture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Blood culture ordered within 72 hours before or 24 hours after IV antibiotics administered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Blood Culture + Lactate Proximity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Two blood culture orders within 6 hours of a lactate order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Suspected Infection Flowsheet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Suspected Infection flowsheet documented with answer = "Yes"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Code Sepsis Order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Code Sepsis page order exists in the encounter</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SIRS Criteria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Temperature High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 temperature in 24 hours &gt; 100.4°F</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Temperature Low</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Min temperature in 24 hours &lt; 96.8°F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Temperature Abnormal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Temperature High flag OR Temperature Low flag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Heart Rate High</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Max pulse in 24 hours &gt; 90 bpm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Respiratory Rate High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 respirations in 24 hours &gt; 20 breaths/min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WBC High</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Max WBC in 24 hours &gt; 12 (x10³/µL)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WBC Low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 WBC in 24 hours &lt; 4 (x10³/µL)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WBC Abnormal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WBC High flag OR WBC Low flag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SIRS Score Calculation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Sum of: Temp Abnormal + HR High + Resp Rate High + WBC Abnormal (range 0–4)</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Organ Dysfunction Definitions</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Pulmonary Dysfunction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Vent Status Flag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Last vent change event = "Vent on Documentation" (patient currently on mechanical ventilation)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Pulmonary Dysfunction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Vent Status Flag = True</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Renal Dysfunction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Creatinine 2x Baseline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Highest creatinine in 24 hours &gt; (baseline creatinine × 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eGFR Decline by 50%</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Highest eGFR in 24 hours &lt; (baseline eGFR ÷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Creatinine &gt;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Highest creatinine in 24 hours &gt; 2.0 mg/dL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Renal Dysfunction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Creatinine &gt; 2 OR Creatinine 2x Baseline OR eGFR Decline by 50%</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Hepatic Dysfunction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Bilirubin &gt;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Highest bilirubin in 24 hours &gt; 2.0 mg/dL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Bilirubin 2x Baseline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Highest bilirubin in 24 hours &gt; 2.0 mg/dL AND highest bilirubin &gt; (baseline bilirubin ×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Hepatic Dysfunction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Bilirubin &gt; 2 OR Bilirubin 2x Baseline</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Coagulation Dysfunction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Platelet Drop by 50%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Lowest platelets in 24 hours &lt; 100 AND baseline platelets &gt; 100 AND lowest platelets &lt; (baseline platelets ÷ 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Platelets &lt; 100 (no baseline)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Lowest platelet count in 24 hours &lt; 100 with no baseline platelet data available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INR &gt; 1.5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Highest INR in 24 hours &gt; 1.5 (when no baseline platelet data)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aPTT &gt; 60</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Highest aPTT in 24 hours &gt; 60 seconds (when no baseline platelet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Coagulation Dysfunction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Platelet Drop by 50% OR Platelets &lt; 100 OR INR &gt; 1.5 OR aPTT &gt; 60</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Cardiovascular Dysfunction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Lactate &gt;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Highest lactate in 24 hours &gt; 2.0 mmol/L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Cardiovascular Dysfunction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Lactate &gt; 2 flag = True</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Neurological Dysfunction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GCS &lt; 15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 Glasgow Coma Score in 24 hours &lt; 15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Neurological Dysfunction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GCS &lt; 15 flag = True</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Composite Organ Dysfunction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Any Organ Dysfunction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Pulmonary OR Renal OR Hepatic OR Coagulation OR Cardiovascular OR Neurological dysfunction present</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Septic Shock Logic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SBP &lt; 90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Highest SBP in 15-minute window &lt; 90 mmHg (requires two consecutive readings)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SBP Delta &gt; 40</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Average SBP minus highest SBP in 15-minute window &gt; 40 mmHg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MAP &lt; 65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Highest MAP in 15-minute window &lt; 65 mmHg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Hypotensive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SBP &lt; 90 OR SBP Delta &gt; 40 OR MAP &lt; 65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Lactate &gt; 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Highest lactate in 24 hours &gt; 4.0 mmol/L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Vasopressor Flag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Any vasopressor dose recorded (Vasopressin, Phenylephrine, Norepinephrine, or Epinephrine)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Septic Shock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Hypotensive OR Lactate &gt; 4 OR Vasopressor Flag</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Time Windows &amp; Data Handling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Lab/Vital Lookback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Most calculated values use a 24-hour lookback window from the reference datetime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Blood Pressure Window</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SBP and MAP use a 15-minute window; require two consecutive readings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IV Abx + Blood Culture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Blood culture within 72 hours before or 24 hours after IV antibiotics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Blood Culture + Lactate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Two blood cultures within 6 hours of a lactate order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Null Value Handling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Forward fill applied to null values across transition points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Baseline Definitions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Baseline labs (creatinine, eGFR, bilirubin, platelets) sourced from encounter; used for delta calculations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Transition Points (Grain)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 row per CSN and datetime where any event relevant to sepsis severity calculation occurs</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Sepsis Severity Classification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First Infection Suspicion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Earliest datetime at which any suspected infection criterion is met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SIRS Score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Calculated at each transition point (0–4 scale)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Organ Dysfunction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Evaluated at each transition point (any of 6 organ systems)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Septic Shock</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Evaluated at each transition point (hypotension, lactate &gt; 4, or vasopressors)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Present on Admission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Calculated present-on-admission status for sepsis severity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Sepsis Severity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Final classification assigned at each transition point based on combination of infection suspicion, SIRS, organ dysfunction, and shock criteria</w:t>
            </w:r>
          </w:p>
        </w:tc>
      </w:tr>
    </w:tbl>
    <w:p>
      <w:pPr>
        <w:spacing w:before="300"/>
      </w:pPr>
    </w:p>
    <w:p>
      <w:pPr>
        <w:spacing w:after="100"/>
      </w:pPr>
      <w:r>
        <w:rPr>
          <w:rFonts w:ascii="Arial" w:cs="Arial" w:eastAsia="Arial" w:hAnsi="Arial"/>
          <w:b/>
          <w:bCs/>
          <w:color w:val="1F4E79"/>
          <w:sz w:val="22"/>
          <w:szCs w:val="22"/>
        </w:rPr>
        <w:t xml:space="preserve">Notes for Clinical Leadership</w:t>
      </w:r>
    </w:p>
    <w:p>
      <w:pPr>
        <w:spacing w:after="100"/>
      </w:pPr>
      <w:r>
        <w:rPr>
          <w:rFonts w:ascii="Arial" w:cs="Arial" w:eastAsia="Arial" w:hAnsi="Arial"/>
          <w:sz w:val="20"/>
          <w:szCs w:val="20"/>
        </w:rPr>
        <w:t xml:space="preserve">1. All thresholds and time windows listed above are subject to clinical validation. Please confirm whether the values and combinatorial logic align with institutional protocols.</w:t>
      </w:r>
    </w:p>
    <w:p>
      <w:pPr>
        <w:spacing w:after="100"/>
      </w:pPr>
      <w:r>
        <w:rPr>
          <w:rFonts w:ascii="Arial" w:cs="Arial" w:eastAsia="Arial" w:hAnsi="Arial"/>
          <w:sz w:val="20"/>
          <w:szCs w:val="20"/>
        </w:rPr>
        <w:t xml:space="preserve">2. Baseline lab values are critical for delta-based organ dysfunction rules (creatinine 2x, eGFR decline, bilirubin 2x, platelet drop). Please confirm the source and acceptable recency of baseline values.</w:t>
      </w:r>
    </w:p>
    <w:p>
      <w:pPr>
        <w:spacing w:after="100"/>
      </w:pPr>
      <w:r>
        <w:rPr>
          <w:rFonts w:ascii="Arial" w:cs="Arial" w:eastAsia="Arial" w:hAnsi="Arial"/>
          <w:sz w:val="20"/>
          <w:szCs w:val="20"/>
        </w:rPr>
        <w:t xml:space="preserve">3. The coagulation dysfunction criteria (INR &gt; 1.5 and aPTT &gt; 60) are currently applied only when no baseline platelet data is available. Please confirm this conditional logic.</w:t>
      </w:r>
    </w:p>
    <w:p>
      <w:r>
        <w:rPr>
          <w:rFonts w:ascii="Arial" w:cs="Arial" w:eastAsia="Arial" w:hAnsi="Arial"/>
          <w:sz w:val="20"/>
          <w:szCs w:val="20"/>
        </w:rPr>
        <w:t xml:space="preserve">4. Blood pressure criteria require two consecutive readings within a 15-minute window. Please confirm this is consistent with clinical practice at your institution.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Sepsis Severity Analysis — Clinical Decision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2026-03-27T02:48:54.986Z</dcterms:created>
  <dcterms:modified xsi:type="dcterms:W3CDTF">2026-03-27T02:48:54.987Z</dcterms:modified>
</cp:coreProperties>
</file>

<file path=docProps/custom.xml><?xml version="1.0" encoding="utf-8"?>
<Properties xmlns="http://schemas.openxmlformats.org/officeDocument/2006/custom-properties" xmlns:vt="http://schemas.openxmlformats.org/officeDocument/2006/docPropsVTypes"/>
</file>