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9.png" ContentType="image/png"/>
  <Override PartName="/word/media/rId31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103.png" ContentType="image/png"/>
  <Override PartName="/word/media/rId105.png" ContentType="image/png"/>
  <Override PartName="/word/media/rId108.png" ContentType="image/png"/>
  <Override PartName="/word/media/rId110.png" ContentType="image/png"/>
  <Override PartName="/word/media/rId98.png" ContentType="image/png"/>
  <Override PartName="/word/media/rId100.png" ContentType="image/png"/>
  <Override PartName="/word/media/rId27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zebra">
        <w:r>
          <w:rPr>
            <w:rStyle w:val="Hyperlink"/>
          </w:rPr>
          <w:t xml:space="preserve">Student and Parent Loans- Zebra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4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5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5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5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2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1"/>
      <w:r>
        <w:t xml:space="preserve">06. HOPE Scholarship Awards by Tier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2"/>
      <w:r>
        <w:t xml:space="preserve">06. HOPE Scholarship Awards by Tier</w:t>
      </w:r>
      <w:bookmarkEnd w:id="5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7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8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d39e7995a4e067446d3ff3dc12bd61502f6516f"/>
      <w:r>
        <w:t xml:space="preserve">12. UGA Pell Grant Recipients to Comparator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13. Student and Parent Loans- Zebra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89" w:name="student-and-parent-loans-bar-chart"/>
      <w:r>
        <w:t xml:space="preserve">13. Student and Parent Loans Bar Chart</w:t>
      </w:r>
      <w:bookmarkEnd w:id="8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student-and-parent-loans-line-chart"/>
      <w:r>
        <w:t xml:space="preserve">13. Student and Parent Loans Line Chart</w:t>
      </w:r>
      <w:bookmarkEnd w:id="9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X33e49bd2bcad8a42b9587a5c00c95718b0c915a"/>
      <w:r>
        <w:t xml:space="preserve">13. Student and Parent Loans Horizontal Bar Chart</w:t>
      </w:r>
      <w:bookmarkEnd w:id="9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5" w:name="cohort-default-rates"/>
      <w:r>
        <w:t xml:space="preserve">14-Cohort-Default-Rates</w:t>
      </w:r>
      <w:bookmarkEnd w:id="9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cohort-default-rates-sec-institutions"/>
      <w:r>
        <w:t xml:space="preserve">14. Cohort Default Rates: SEC Institutions</w:t>
      </w:r>
      <w:bookmarkEnd w:id="9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97" w:name="Xa771e41ae6b3eb6ceb44fb22f2c93e8d43ecfb7"/>
      <w:r>
        <w:t xml:space="preserve">14. SEC Cohort Default Rate by Institution Bar Chart</w:t>
      </w:r>
      <w:bookmarkEnd w:id="9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X0e84053eb12f78a748a99c4dfc5cfd2feca0c72"/>
      <w:r>
        <w:t xml:space="preserve">14. SEC Cohort Default Rate by Year Bar Chart</w:t>
      </w:r>
      <w:bookmarkEnd w:id="9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X4b4b4ea0dabe73a2d02f719b05be5f5e8eb7e91"/>
      <w:r>
        <w:t xml:space="preserve">14. Cohort Default Rates: Aspirational Institutions</w:t>
      </w:r>
      <w:bookmarkEnd w:id="10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02" w:name="X91f448c6a73f5febd919965ed85f6b35357635b"/>
      <w:r>
        <w:t xml:space="preserve">14. Aspirational Cohort Default Rate by Institution Bar Chart</w:t>
      </w:r>
      <w:bookmarkEnd w:id="10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4" w:name="X012092fdce477ae171ea3c708a659cdab56da28"/>
      <w:r>
        <w:t xml:space="preserve">14. Aspirational Cohort Default Rate by Year Bar Chart</w:t>
      </w:r>
      <w:bookmarkEnd w:id="10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6" w:name="Xd46c3c14a9454a43c8d9c08cd9e835bf9b4e9af"/>
      <w:r>
        <w:t xml:space="preserve">14. Cohort Default Rates: Comparator Institutions</w:t>
      </w:r>
      <w:bookmarkEnd w:id="10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07" w:name="X72cac43363e4c8f5a1d176685d6c802735fed9d"/>
      <w:r>
        <w:t xml:space="preserve">14. Comparator Cohort Default Rate by Institution Bar Chart</w:t>
      </w:r>
      <w:bookmarkEnd w:id="10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X4ad264175c0c84c13f37be5b75485d1c6f46561"/>
      <w:r>
        <w:t xml:space="preserve">14. Comparator Cohort Default Rate by Year Bar Chart</w:t>
      </w:r>
      <w:bookmarkEnd w:id="10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2020-05-05T20:16:15Z</dcterms:created>
  <dcterms:modified xsi:type="dcterms:W3CDTF">2020-05-05T20:16:15Z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