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2020-03-18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Compact"/>
      </w:pPr>
      <w:r>
        <w:t xml:space="preserve">COA</w:t>
      </w:r>
    </w:p>
    <w:p>
      <w:pPr>
        <w:pStyle w:val="Compact"/>
      </w:pPr>
      <w:r>
        <w:t xml:space="preserve">Undergrad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SourceCode"/>
      </w:pPr>
      <w:r>
        <w:rPr>
          <w:rStyle w:val="VerbatimChar"/>
        </w:rPr>
        <w:t xml:space="preserve">## % latex table generated in R 3.6.3 by xtable 1.8-4 package</w:t>
      </w:r>
      <w:r>
        <w:br/>
      </w:r>
      <w:r>
        <w:rPr>
          <w:rStyle w:val="VerbatimChar"/>
        </w:rPr>
        <w:t xml:space="preserve">## % Wed Mar 18 15:56:40 2020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\begin{tabular}{}</w:t>
      </w:r>
      <w:r>
        <w:br/>
      </w:r>
      <w:r>
        <w:rPr>
          <w:rStyle w:val="VerbatimChar"/>
        </w:rPr>
        <w:t xml:space="preserve">##   \toprule</w:t>
      </w:r>
      <w:r>
        <w:br/>
      </w:r>
      <w:r>
        <w:rPr>
          <w:rStyle w:val="VerbatimChar"/>
        </w:rPr>
        <w:t xml:space="preserve">##  &amp; costs &amp; ay2009-10 &amp; ay2010-11 &amp; ay2011-12 &amp; ay2012-13 &amp; ay2013-14 &amp; ay2014-15 &amp; ay2015-16 &amp; ay2016-17 &amp; ay2017-18 &amp; ay2018-19 \\ </w:t>
      </w:r>
      <w:r>
        <w:br/>
      </w:r>
      <w:r>
        <w:rPr>
          <w:rStyle w:val="VerbatimChar"/>
        </w:rPr>
        <w:t xml:space="preserve">##   \midrule</w:t>
      </w:r>
      <w:r>
        <w:br/>
      </w:r>
      <w:r>
        <w:rPr>
          <w:rStyle w:val="VerbatimChar"/>
        </w:rPr>
        <w:t xml:space="preserve">## 1 &amp; Resident Costs*: &amp;  &amp;  &amp;  &amp;  &amp;  &amp;  &amp;  &amp;  &amp;  &amp;  \\ </w:t>
      </w:r>
      <w:r>
        <w:br/>
      </w:r>
      <w:r>
        <w:rPr>
          <w:rStyle w:val="VerbatimChar"/>
        </w:rPr>
        <w:t xml:space="preserve">##   2 &amp; Tuition \&amp; Fees &amp; \$7,530 &amp; \$8,736 &amp; \$9,472 &amp; \$9,842 &amp; \$10,262 &amp; \$10,836 &amp; \$11,622 &amp; \$11,634 &amp; \$11,818 &amp; \$11,830 \\ </w:t>
      </w:r>
      <w:r>
        <w:br/>
      </w:r>
      <w:r>
        <w:rPr>
          <w:rStyle w:val="VerbatimChar"/>
        </w:rPr>
        <w:t xml:space="preserve">##   3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4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5 &amp; Misc. \&amp; Travel &amp; 1,464 &amp; 1,510 &amp; 1,562 &amp; 1,590 &amp; 1,640 &amp; 1,798 &amp; 3,222 &amp; 3,952 &amp; 3,540 &amp; 3,834 \\ </w:t>
      </w:r>
      <w:r>
        <w:br/>
      </w:r>
      <w:r>
        <w:rPr>
          <w:rStyle w:val="VerbatimChar"/>
        </w:rPr>
        <w:t xml:space="preserve">##   6 &amp; Resident Total Costs &amp; \$18,000 &amp; \$19,736 &amp; \$20,820 &amp; \$21,250 &amp; \$22,064 &amp; \$22,680 &amp; \$25,134 &amp; \$26,208 &amp; \$26,404 &amp; \$26,688 \\ </w:t>
      </w:r>
      <w:r>
        <w:br/>
      </w:r>
      <w:r>
        <w:rPr>
          <w:rStyle w:val="VerbatimChar"/>
        </w:rPr>
        <w:t xml:space="preserve">##   7 &amp; Nonresident Costs*: &amp;  &amp;  &amp;  &amp;  &amp;  &amp;  &amp;  &amp;  &amp;  &amp;  \\ </w:t>
      </w:r>
      <w:r>
        <w:br/>
      </w:r>
      <w:r>
        <w:rPr>
          <w:rStyle w:val="VerbatimChar"/>
        </w:rPr>
        <w:t xml:space="preserve">##   8 &amp; Tuition \&amp; Fees &amp; \$25,740 &amp; \$26,946 &amp; \$27,682 &amp; \$28,052 &amp; \$28,472 &amp; \$29,046 &amp; \$29,832 &amp; \$29,844 &amp; \$30,392 &amp; \$30,404 \\ </w:t>
      </w:r>
      <w:r>
        <w:br/>
      </w:r>
      <w:r>
        <w:rPr>
          <w:rStyle w:val="VerbatimChar"/>
        </w:rPr>
        <w:t xml:space="preserve">##   9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10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11 &amp; Misc. \&amp; Travel &amp; 1,464 &amp; 1,510 &amp; 1,562 &amp; 1,590 &amp; 1,640 &amp; 1,798 &amp; 3,746 &amp; 4,662 &amp; 4,250 &amp; 4,334 \\ </w:t>
      </w:r>
      <w:r>
        <w:br/>
      </w:r>
      <w:r>
        <w:rPr>
          <w:rStyle w:val="VerbatimChar"/>
        </w:rPr>
        <w:t xml:space="preserve">##   12 &amp; Nonresident Total Costs &amp; \$36,210 &amp; \$37,946 &amp; \$39,030 &amp; \$39,460 &amp; \$40,274 &amp; \$40,890 &amp; \$43,868 &amp; \$45,128 &amp; \$45,688 &amp; \$45,762 \\ </w:t>
      </w:r>
      <w:r>
        <w:br/>
      </w:r>
      <w:r>
        <w:rPr>
          <w:rStyle w:val="VerbatimChar"/>
        </w:rPr>
        <w:t xml:space="preserve">##   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GitHub/AR_BD_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40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</w:tblGrid>
      <w:tr>
        <w:trPr>
          <w:cantSplit/>
          <w:trHeight w:val="23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Level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X2010.11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X2011.12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X2012.13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X2013.14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X2014.15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X2015.16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X2016.17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X2017.18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X2018.19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Undergraduate: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Enrolled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29611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Undergraduate: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29276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Undergraduate: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Total 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269136625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263640603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272738691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283437153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313528990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338037770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352728679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378801172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391735413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Enrolled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9041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8192</w:t>
            </w:r>
          </w:p>
        </w:tc>
      </w:tr>
      <w:tr>
        <w:trPr>
          <w:cantSplit/>
          <w:trHeight w:val="2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Graduate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Total Aid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116216130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129333967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127697792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125714130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182926198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192381760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193839746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199155892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199742687</w:t>
            </w:r>
          </w:p>
        </w:tc>
      </w:tr>
    </w:tbl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(#tab:3.o-UG-COA)Undergraduate Cost of Attendance Table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7530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8046</w:t>
      </w:r>
    </w:p>
    <w:p>
      <w:pPr>
        <w:pStyle w:val="Compact"/>
      </w:pPr>
      <w:r>
        <w:t xml:space="preserve">1464</w:t>
      </w:r>
    </w:p>
    <w:p>
      <w:pPr>
        <w:pStyle w:val="Compact"/>
      </w:pPr>
      <w:r>
        <w:t xml:space="preserve">18000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25740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8046</w:t>
      </w:r>
    </w:p>
    <w:p>
      <w:pPr>
        <w:pStyle w:val="Compact"/>
      </w:pPr>
      <w:r>
        <w:t xml:space="preserve">1464</w:t>
      </w:r>
    </w:p>
    <w:p>
      <w:pPr>
        <w:pStyle w:val="Compact"/>
      </w:pPr>
      <w:r>
        <w:t xml:space="preserve">36210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8736</w:t>
      </w:r>
    </w:p>
    <w:p>
      <w:pPr>
        <w:pStyle w:val="Compact"/>
      </w:pPr>
      <w:r>
        <w:t xml:space="preserve">1030</w:t>
      </w:r>
    </w:p>
    <w:p>
      <w:pPr>
        <w:pStyle w:val="Compact"/>
      </w:pPr>
      <w:r>
        <w:t xml:space="preserve">8460</w:t>
      </w:r>
    </w:p>
    <w:p>
      <w:pPr>
        <w:pStyle w:val="Compact"/>
      </w:pPr>
      <w:r>
        <w:t xml:space="preserve">1510</w:t>
      </w:r>
    </w:p>
    <w:p>
      <w:pPr>
        <w:pStyle w:val="Compact"/>
      </w:pPr>
      <w:r>
        <w:t xml:space="preserve">19736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26946</w:t>
      </w:r>
    </w:p>
    <w:p>
      <w:pPr>
        <w:pStyle w:val="Compact"/>
      </w:pPr>
      <w:r>
        <w:t xml:space="preserve">1030</w:t>
      </w:r>
    </w:p>
    <w:p>
      <w:pPr>
        <w:pStyle w:val="Compact"/>
      </w:pPr>
      <w:r>
        <w:t xml:space="preserve">8460</w:t>
      </w:r>
    </w:p>
    <w:p>
      <w:pPr>
        <w:pStyle w:val="Compact"/>
      </w:pPr>
      <w:r>
        <w:t xml:space="preserve">1510</w:t>
      </w:r>
    </w:p>
    <w:p>
      <w:pPr>
        <w:pStyle w:val="Compact"/>
      </w:pPr>
      <w:r>
        <w:t xml:space="preserve">37946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9472</w:t>
      </w:r>
    </w:p>
    <w:p>
      <w:pPr>
        <w:pStyle w:val="Compact"/>
      </w:pPr>
      <w:r>
        <w:t xml:space="preserve">1078</w:t>
      </w:r>
    </w:p>
    <w:p>
      <w:pPr>
        <w:pStyle w:val="Compact"/>
      </w:pPr>
      <w:r>
        <w:t xml:space="preserve">8708</w:t>
      </w:r>
    </w:p>
    <w:p>
      <w:pPr>
        <w:pStyle w:val="Compact"/>
      </w:pPr>
      <w:r>
        <w:t xml:space="preserve">1562</w:t>
      </w:r>
    </w:p>
    <w:p>
      <w:pPr>
        <w:pStyle w:val="Compact"/>
      </w:pPr>
      <w:r>
        <w:t xml:space="preserve">20820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27682</w:t>
      </w:r>
    </w:p>
    <w:p>
      <w:pPr>
        <w:pStyle w:val="Compact"/>
      </w:pPr>
      <w:r>
        <w:t xml:space="preserve">1078</w:t>
      </w:r>
    </w:p>
    <w:p>
      <w:pPr>
        <w:pStyle w:val="Compact"/>
      </w:pPr>
      <w:r>
        <w:t xml:space="preserve">8708</w:t>
      </w:r>
    </w:p>
    <w:p>
      <w:pPr>
        <w:pStyle w:val="Compact"/>
      </w:pPr>
      <w:r>
        <w:t xml:space="preserve">1562</w:t>
      </w:r>
    </w:p>
    <w:p>
      <w:pPr>
        <w:pStyle w:val="Compact"/>
      </w:pPr>
      <w:r>
        <w:t xml:space="preserve">39030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9842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8970</w:t>
      </w:r>
    </w:p>
    <w:p>
      <w:pPr>
        <w:pStyle w:val="Compact"/>
      </w:pPr>
      <w:r>
        <w:t xml:space="preserve">1590</w:t>
      </w:r>
    </w:p>
    <w:p>
      <w:pPr>
        <w:pStyle w:val="Compact"/>
      </w:pPr>
      <w:r>
        <w:t xml:space="preserve">21250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28052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8970</w:t>
      </w:r>
    </w:p>
    <w:p>
      <w:pPr>
        <w:pStyle w:val="Compact"/>
      </w:pPr>
      <w:r>
        <w:t xml:space="preserve">1590</w:t>
      </w:r>
    </w:p>
    <w:p>
      <w:pPr>
        <w:pStyle w:val="Compact"/>
      </w:pPr>
      <w:r>
        <w:t xml:space="preserve">39460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10262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9246</w:t>
      </w:r>
    </w:p>
    <w:p>
      <w:pPr>
        <w:pStyle w:val="Compact"/>
      </w:pPr>
      <w:r>
        <w:t xml:space="preserve">1640</w:t>
      </w:r>
    </w:p>
    <w:p>
      <w:pPr>
        <w:pStyle w:val="Compact"/>
      </w:pPr>
      <w:r>
        <w:t xml:space="preserve">22064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28472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9246</w:t>
      </w:r>
    </w:p>
    <w:p>
      <w:pPr>
        <w:pStyle w:val="Compact"/>
      </w:pPr>
      <w:r>
        <w:t xml:space="preserve">1640</w:t>
      </w:r>
    </w:p>
    <w:p>
      <w:pPr>
        <w:pStyle w:val="Compact"/>
      </w:pPr>
      <w:r>
        <w:t xml:space="preserve">40274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10836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9246</w:t>
      </w:r>
    </w:p>
    <w:p>
      <w:pPr>
        <w:pStyle w:val="Compact"/>
      </w:pPr>
      <w:r>
        <w:t xml:space="preserve">1798</w:t>
      </w:r>
    </w:p>
    <w:p>
      <w:pPr>
        <w:pStyle w:val="Compact"/>
      </w:pPr>
      <w:r>
        <w:t xml:space="preserve">22680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29046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9246</w:t>
      </w:r>
    </w:p>
    <w:p>
      <w:pPr>
        <w:pStyle w:val="Compact"/>
      </w:pPr>
      <w:r>
        <w:t xml:space="preserve">1798</w:t>
      </w:r>
    </w:p>
    <w:p>
      <w:pPr>
        <w:pStyle w:val="Compact"/>
      </w:pPr>
      <w:r>
        <w:t xml:space="preserve">40890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11622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9450</w:t>
      </w:r>
    </w:p>
    <w:p>
      <w:pPr>
        <w:pStyle w:val="Compact"/>
      </w:pPr>
      <w:r>
        <w:t xml:space="preserve">3222</w:t>
      </w:r>
    </w:p>
    <w:p>
      <w:pPr>
        <w:pStyle w:val="Compact"/>
      </w:pPr>
      <w:r>
        <w:t xml:space="preserve">25134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29832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9450</w:t>
      </w:r>
    </w:p>
    <w:p>
      <w:pPr>
        <w:pStyle w:val="Compact"/>
      </w:pPr>
      <w:r>
        <w:t xml:space="preserve">3746</w:t>
      </w:r>
    </w:p>
    <w:p>
      <w:pPr>
        <w:pStyle w:val="Compact"/>
      </w:pPr>
      <w:r>
        <w:t xml:space="preserve">43868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11634</w:t>
      </w:r>
    </w:p>
    <w:p>
      <w:pPr>
        <w:pStyle w:val="Compact"/>
      </w:pPr>
      <w:r>
        <w:t xml:space="preserve">1006</w:t>
      </w:r>
    </w:p>
    <w:p>
      <w:pPr>
        <w:pStyle w:val="Compact"/>
      </w:pPr>
      <w:r>
        <w:t xml:space="preserve">9616</w:t>
      </w:r>
    </w:p>
    <w:p>
      <w:pPr>
        <w:pStyle w:val="Compact"/>
      </w:pPr>
      <w:r>
        <w:t xml:space="preserve">3952</w:t>
      </w:r>
    </w:p>
    <w:p>
      <w:pPr>
        <w:pStyle w:val="Compact"/>
      </w:pPr>
      <w:r>
        <w:t xml:space="preserve">26208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29844</w:t>
      </w:r>
    </w:p>
    <w:p>
      <w:pPr>
        <w:pStyle w:val="Compact"/>
      </w:pPr>
      <w:r>
        <w:t xml:space="preserve">1006</w:t>
      </w:r>
    </w:p>
    <w:p>
      <w:pPr>
        <w:pStyle w:val="Compact"/>
      </w:pPr>
      <w:r>
        <w:t xml:space="preserve">9616</w:t>
      </w:r>
    </w:p>
    <w:p>
      <w:pPr>
        <w:pStyle w:val="Compact"/>
      </w:pPr>
      <w:r>
        <w:t xml:space="preserve">4662</w:t>
      </w:r>
    </w:p>
    <w:p>
      <w:pPr>
        <w:pStyle w:val="Compact"/>
      </w:pPr>
      <w:r>
        <w:t xml:space="preserve">45128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11818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10060</w:t>
      </w:r>
    </w:p>
    <w:p>
      <w:pPr>
        <w:pStyle w:val="Compact"/>
      </w:pPr>
      <w:r>
        <w:t xml:space="preserve">3540</w:t>
      </w:r>
    </w:p>
    <w:p>
      <w:pPr>
        <w:pStyle w:val="Compact"/>
      </w:pPr>
      <w:r>
        <w:t xml:space="preserve">26404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30392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10060</w:t>
      </w:r>
    </w:p>
    <w:p>
      <w:pPr>
        <w:pStyle w:val="Compact"/>
      </w:pPr>
      <w:r>
        <w:t xml:space="preserve">4250</w:t>
      </w:r>
    </w:p>
    <w:p>
      <w:pPr>
        <w:pStyle w:val="Compact"/>
      </w:pPr>
      <w:r>
        <w:t xml:space="preserve">45688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11830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10038</w:t>
      </w:r>
    </w:p>
    <w:p>
      <w:pPr>
        <w:pStyle w:val="Compact"/>
      </w:pPr>
      <w:r>
        <w:t xml:space="preserve">3834</w:t>
      </w:r>
    </w:p>
    <w:p>
      <w:pPr>
        <w:pStyle w:val="Compact"/>
      </w:pPr>
      <w:r>
        <w:t xml:space="preserve">26688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30404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10038</w:t>
      </w:r>
    </w:p>
    <w:p>
      <w:pPr>
        <w:pStyle w:val="Compact"/>
      </w:pPr>
      <w:r>
        <w:t xml:space="preserve">4334</w:t>
      </w:r>
    </w:p>
    <w:p>
      <w:pPr>
        <w:pStyle w:val="Compact"/>
      </w:pPr>
      <w:r>
        <w:t xml:space="preserve">45762</w:t>
      </w:r>
    </w:p>
    <w:p>
      <w:pPr>
        <w:pStyle w:val="Heading1"/>
      </w:pPr>
      <w:bookmarkStart w:id="39" w:name="types-and-sources-of-aid.xls"/>
      <w:r>
        <w:t xml:space="preserve">Types and Sources of Aid.xls</w:t>
      </w:r>
      <w:bookmarkEnd w:id="39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40" w:name="example-one"/>
      <w:r>
        <w:t xml:space="preserve">Example one</w:t>
      </w:r>
      <w:bookmarkEnd w:id="40"/>
    </w:p>
    <w:p>
      <w:pPr>
        <w:pStyle w:val="Heading2"/>
      </w:pPr>
      <w:bookmarkStart w:id="41" w:name="example-two"/>
      <w:r>
        <w:t xml:space="preserve">Example two</w:t>
      </w:r>
      <w:bookmarkEnd w:id="41"/>
    </w:p>
    <w:p>
      <w:pPr>
        <w:pStyle w:val="Heading1"/>
      </w:pPr>
      <w:bookmarkStart w:id="42" w:name="X68a479cd7d7620e3a6207388afaa05a9fec3b49"/>
      <w:r>
        <w:t xml:space="preserve">Academic Year Student Financial Aid Awards by Type</w:t>
      </w:r>
      <w:bookmarkEnd w:id="42"/>
    </w:p>
    <w:p>
      <w:pPr>
        <w:pStyle w:val="FirstParagraph"/>
      </w:pPr>
      <w:r>
        <w:t xml:space="preserve">We have finished a nice book.</w:t>
      </w:r>
    </w:p>
    <w:bookmarkStart w:id="47" w:name="refs"/>
    <w:bookmarkStart w:id="4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4"/>
    <w:bookmarkStart w:id="46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2020-03-18T19:59:39Z</dcterms:created>
  <dcterms:modified xsi:type="dcterms:W3CDTF">2020-03-18T19:59:39Z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2020-03-18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