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75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pPr>
        <w:pStyle w:val="Compact"/>
        <w:numPr>
          <w:numId w:val="1001"/>
          <w:ilvl w:val="0"/>
        </w:numPr>
      </w:pPr>
      <w:hyperlink w:anchor="hope-zell-max-awards-compared-to-tuition">
        <w:r>
          <w:rPr>
            <w:rStyle w:val="Hyperlink"/>
          </w:rPr>
          <w:t xml:space="preserve">HOPE-ZELL Max Awards Compared to Tuition</w:t>
        </w:r>
      </w:hyperlink>
    </w:p>
    <w:p>
      <w:pPr>
        <w:pStyle w:val="Compact"/>
        <w:numPr>
          <w:numId w:val="1010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1"/>
          <w:ilvl w:val="0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11"/>
          <w:ilvl w:val="1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0.41%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0.40%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6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Award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Awards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Amount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Pct.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 Pct.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 Scholarship Totals: 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16,520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$74,404,572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50.17%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16,410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$115,139,108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60.75%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Combined HOPE and 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32,930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$189,543,680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9" w:name="hope-zell-max-awards-compared-to-tuition"/>
      <w:r>
        <w:t xml:space="preserve">09. HOPE-ZELL Max Awards Compared to Tuition</w:t>
      </w:r>
      <w:bookmarkEnd w:id="69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Totals :</w:t>
      </w:r>
    </w:p>
    <w:p>
      <w:pPr>
        <w:pStyle w:val="Compact"/>
      </w:pPr>
      <w:r>
        <w:t xml:space="preserve">(For Academic Years 2011-12 and 2018-19)</w:t>
      </w:r>
    </w:p>
    <w:p>
      <w:pPr>
        <w:pStyle w:val="Heading2"/>
      </w:pPr>
      <w:bookmarkStart w:id="70" w:name="hope-zell-scholarship-award-totals-2"/>
      <w:r>
        <w:t xml:space="preserve">09. HOPE-ZELL Scholarship Award Totals</w:t>
      </w:r>
      <w:bookmarkEnd w:id="7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2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name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tuition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$4,736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$4,921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$5,131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$5,418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$3,277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$3,390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$3,600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0.87%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0.82%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$3,641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$3,823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$4,014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$4,295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1.00%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3" w:name="Xd913f66bb27c20c8e0769ecafda4ff4b8dc41f4"/>
      <w:r>
        <w:t xml:space="preserve">10. History of Average Federal Pell Grant Awards</w:t>
      </w:r>
      <w:bookmarkEnd w:id="7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HISTORY OF AVERAGE FEDERAL PELL GRANT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4" w:name="Xb65126e228f3afe4191deddfbebfb60e57b9ab7"/>
      <w:r>
        <w:t xml:space="preserve">10. History of Average Federal Pell Grant Awards</w:t>
      </w:r>
      <w:bookmarkEnd w:id="7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Academic Year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awd_usa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UGA. Avg.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1993-94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1994-95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1995-96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1996-97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1997-98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1998-99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1999-00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$1,933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2001-02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2003-04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2005-06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$2,832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2009-10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2011-12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$3,451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$3,541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$4,714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0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/>
  <dc:description>This is a minimal example of using the bookdown package to write a book. The output format for this example is bookdown::gitbook.</dc:description>
  <cp:keywords/>
  <dcterms:created xsi:type="dcterms:W3CDTF">2020-04-15T18:54:09Z</dcterms:created>
  <dcterms:modified xsi:type="dcterms:W3CDTF">2020-04-15T18:54:09Z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ocumentclass">
    <vt:lpwstr>book</vt:lpwstr>
  </property>
  <property fmtid="{D5CDD505-2E9C-101B-9397-08002B2CF9AE}" pid="6" name="linestretch">
    <vt:lpwstr>1.15</vt:lpwstr>
  </property>
  <property fmtid="{D5CDD505-2E9C-101B-9397-08002B2CF9AE}" pid="7" name="link-citations">
    <vt:lpwstr>yes</vt:lpwstr>
  </property>
  <property fmtid="{D5CDD505-2E9C-101B-9397-08002B2CF9AE}" pid="8" name="links-as-notes">
    <vt:lpwstr>True</vt:lpwstr>
  </property>
  <property fmtid="{D5CDD505-2E9C-101B-9397-08002B2CF9AE}" pid="9" name="output">
    <vt:lpwstr/>
  </property>
  <property fmtid="{D5CDD505-2E9C-101B-9397-08002B2CF9AE}" pid="10" name="subtitle">
    <vt:lpwstr>Annual Reports</vt:lpwstr>
  </property>
</Properties>
</file>