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D3DF" w14:textId="77777777" w:rsidR="00D31115" w:rsidRDefault="00000000">
      <w:pPr>
        <w:spacing w:before="480" w:after="120"/>
        <w:jc w:val="center"/>
      </w:pPr>
      <w:r>
        <w:rPr>
          <w:b/>
          <w:bCs/>
          <w:sz w:val="40"/>
          <w:szCs w:val="40"/>
        </w:rPr>
        <w:t>I 320D: Data Science for Biomedical Informatics</w:t>
      </w:r>
    </w:p>
    <w:p w14:paraId="51E2D0BA" w14:textId="77777777" w:rsidR="00D31115" w:rsidRDefault="00000000">
      <w:pPr>
        <w:spacing w:after="120"/>
        <w:jc w:val="center"/>
      </w:pPr>
      <w:r>
        <w:rPr>
          <w:b/>
          <w:bCs/>
          <w:color w:val="185FA5"/>
          <w:sz w:val="32"/>
          <w:szCs w:val="32"/>
        </w:rPr>
        <w:t>Time Series Project Descriptions</w:t>
      </w:r>
    </w:p>
    <w:p w14:paraId="056E4AB0" w14:textId="77777777" w:rsidR="00D31115" w:rsidRDefault="00000000">
      <w:pPr>
        <w:spacing w:after="80"/>
        <w:jc w:val="center"/>
      </w:pPr>
      <w:r>
        <w:rPr>
          <w:color w:val="888780"/>
          <w:sz w:val="24"/>
          <w:szCs w:val="24"/>
        </w:rPr>
        <w:t>15 Group Projects | Spring 2026</w:t>
      </w:r>
    </w:p>
    <w:p w14:paraId="7333F09D" w14:textId="77777777" w:rsidR="00D31115" w:rsidRDefault="00000000">
      <w:pPr>
        <w:spacing w:after="600"/>
        <w:jc w:val="center"/>
      </w:pPr>
      <w:r>
        <w:rPr>
          <w:color w:val="888780"/>
        </w:rPr>
        <w:t>University of Texas at Austin | School of Information</w:t>
      </w:r>
    </w:p>
    <w:p w14:paraId="2AA2BD75" w14:textId="77777777" w:rsidR="00D31115" w:rsidRDefault="00000000">
      <w:pPr>
        <w:spacing w:before="240" w:after="120"/>
      </w:pPr>
      <w:r>
        <w:rPr>
          <w:b/>
          <w:bCs/>
          <w:sz w:val="26"/>
          <w:szCs w:val="26"/>
        </w:rPr>
        <w:t>Project Overview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00"/>
        <w:gridCol w:w="2460"/>
      </w:tblGrid>
      <w:tr w:rsidR="00D31115" w14:paraId="4B2B46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0619" w14:textId="77777777" w:rsidR="00D3111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C9B2" w14:textId="77777777" w:rsidR="00D31115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789F" w14:textId="77777777" w:rsidR="00D31115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</w:tr>
      <w:tr w:rsidR="00D31115" w14:paraId="064EFB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E15B6" w14:textId="77777777" w:rsidR="00D3111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3CA06" w14:textId="77777777" w:rsidR="00D31115" w:rsidRDefault="00000000">
            <w:r>
              <w:rPr>
                <w:sz w:val="20"/>
                <w:szCs w:val="20"/>
              </w:rPr>
              <w:t>ICU vitals deterioration forecasting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A1907" w14:textId="77777777" w:rsidR="00D31115" w:rsidRDefault="00000000">
            <w:r>
              <w:rPr>
                <w:sz w:val="20"/>
                <w:szCs w:val="20"/>
              </w:rPr>
              <w:t>Clinical EHR</w:t>
            </w:r>
          </w:p>
        </w:tc>
      </w:tr>
      <w:tr w:rsidR="00D31115" w14:paraId="3A0FC2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050EC" w14:textId="77777777" w:rsidR="00D3111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D355D" w14:textId="77777777" w:rsidR="00D31115" w:rsidRDefault="00000000">
            <w:r>
              <w:rPr>
                <w:sz w:val="20"/>
                <w:szCs w:val="20"/>
              </w:rPr>
              <w:t>Length-of-stay prediction from admission trajectory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52380" w14:textId="77777777" w:rsidR="00D31115" w:rsidRDefault="00000000">
            <w:r>
              <w:rPr>
                <w:sz w:val="20"/>
                <w:szCs w:val="20"/>
              </w:rPr>
              <w:t>Clinical EHR</w:t>
            </w:r>
          </w:p>
        </w:tc>
      </w:tr>
      <w:tr w:rsidR="00D31115" w14:paraId="531310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35834" w14:textId="77777777" w:rsidR="00D3111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B740B" w14:textId="77777777" w:rsidR="00D31115" w:rsidRDefault="00000000">
            <w:r>
              <w:rPr>
                <w:sz w:val="20"/>
                <w:szCs w:val="20"/>
              </w:rPr>
              <w:t>HbA1c longitudinal trend clustering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FA9D5" w14:textId="77777777" w:rsidR="00D31115" w:rsidRDefault="00000000">
            <w:r>
              <w:rPr>
                <w:sz w:val="20"/>
                <w:szCs w:val="20"/>
              </w:rPr>
              <w:t>Clinical EHR</w:t>
            </w:r>
          </w:p>
        </w:tc>
      </w:tr>
      <w:tr w:rsidR="00D31115" w14:paraId="42B0B2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C4527" w14:textId="77777777" w:rsidR="00D3111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5AF00" w14:textId="77777777" w:rsidR="00D31115" w:rsidRDefault="00000000">
            <w:r>
              <w:rPr>
                <w:sz w:val="20"/>
                <w:szCs w:val="20"/>
              </w:rPr>
              <w:t>Sepsis onset prediction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777ED" w14:textId="77777777" w:rsidR="00D31115" w:rsidRDefault="00000000">
            <w:r>
              <w:rPr>
                <w:sz w:val="20"/>
                <w:szCs w:val="20"/>
              </w:rPr>
              <w:t>Clinical EHR</w:t>
            </w:r>
          </w:p>
        </w:tc>
      </w:tr>
      <w:tr w:rsidR="00D31115" w14:paraId="1E2B21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4D460" w14:textId="77777777" w:rsidR="00D3111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41BB4" w14:textId="77777777" w:rsidR="00D31115" w:rsidRDefault="00000000">
            <w:r>
              <w:rPr>
                <w:sz w:val="20"/>
                <w:szCs w:val="20"/>
              </w:rPr>
              <w:t>Flu and ILI season forecasting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77E0A" w14:textId="77777777" w:rsidR="00D31115" w:rsidRDefault="00000000">
            <w:r>
              <w:rPr>
                <w:sz w:val="20"/>
                <w:szCs w:val="20"/>
              </w:rPr>
              <w:t>Public Health</w:t>
            </w:r>
          </w:p>
        </w:tc>
      </w:tr>
      <w:tr w:rsidR="00D31115" w14:paraId="586D1D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3B301" w14:textId="77777777" w:rsidR="00D3111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72CD1" w14:textId="77777777" w:rsidR="00D31115" w:rsidRDefault="00000000">
            <w:r>
              <w:rPr>
                <w:sz w:val="20"/>
                <w:szCs w:val="20"/>
              </w:rPr>
              <w:t>COVID-19 hospitalization surge modeling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F26B8" w14:textId="77777777" w:rsidR="00D31115" w:rsidRDefault="00000000">
            <w:r>
              <w:rPr>
                <w:sz w:val="20"/>
                <w:szCs w:val="20"/>
              </w:rPr>
              <w:t>Public Health</w:t>
            </w:r>
          </w:p>
        </w:tc>
      </w:tr>
      <w:tr w:rsidR="00D31115" w14:paraId="54580C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8AF4B" w14:textId="77777777" w:rsidR="00D3111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9BF96" w14:textId="77777777" w:rsidR="00D31115" w:rsidRDefault="00000000">
            <w:r>
              <w:rPr>
                <w:sz w:val="20"/>
                <w:szCs w:val="20"/>
              </w:rPr>
              <w:t>Opioid overdose trend analysis and anomaly detection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7DA8B" w14:textId="77777777" w:rsidR="00D31115" w:rsidRDefault="00000000">
            <w:r>
              <w:rPr>
                <w:sz w:val="20"/>
                <w:szCs w:val="20"/>
              </w:rPr>
              <w:t>Public Health</w:t>
            </w:r>
          </w:p>
        </w:tc>
      </w:tr>
      <w:tr w:rsidR="00D31115" w14:paraId="77A7F0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EA839" w14:textId="77777777" w:rsidR="00D3111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8778F" w14:textId="77777777" w:rsidR="00D31115" w:rsidRDefault="00000000">
            <w:r>
              <w:rPr>
                <w:sz w:val="20"/>
                <w:szCs w:val="20"/>
              </w:rPr>
              <w:t>Atrial fibrillation detection from ECG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F9585" w14:textId="77777777" w:rsidR="00D31115" w:rsidRDefault="00000000">
            <w:r>
              <w:rPr>
                <w:sz w:val="20"/>
                <w:szCs w:val="20"/>
              </w:rPr>
              <w:t>Wearables / Signals</w:t>
            </w:r>
          </w:p>
        </w:tc>
      </w:tr>
      <w:tr w:rsidR="00D31115" w14:paraId="7C4E9B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DA804" w14:textId="77777777" w:rsidR="00D3111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35620" w14:textId="77777777" w:rsidR="00D31115" w:rsidRDefault="00000000">
            <w:r>
              <w:rPr>
                <w:sz w:val="20"/>
                <w:szCs w:val="20"/>
              </w:rPr>
              <w:t>Sleep stage classification from polysomnography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BFE11" w14:textId="77777777" w:rsidR="00D31115" w:rsidRDefault="00000000">
            <w:r>
              <w:rPr>
                <w:sz w:val="20"/>
                <w:szCs w:val="20"/>
              </w:rPr>
              <w:t>Wearables / Signals</w:t>
            </w:r>
          </w:p>
        </w:tc>
      </w:tr>
      <w:tr w:rsidR="00D31115" w14:paraId="740E24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18393" w14:textId="77777777" w:rsidR="00D3111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19012" w14:textId="77777777" w:rsidR="00D31115" w:rsidRDefault="00000000">
            <w:r>
              <w:rPr>
                <w:sz w:val="20"/>
                <w:szCs w:val="20"/>
              </w:rPr>
              <w:t>CGM pattern mining and hypoglycemia prediction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0CB25" w14:textId="77777777" w:rsidR="00D31115" w:rsidRDefault="00000000">
            <w:r>
              <w:rPr>
                <w:sz w:val="20"/>
                <w:szCs w:val="20"/>
              </w:rPr>
              <w:t>Wearables / Signals</w:t>
            </w:r>
          </w:p>
        </w:tc>
      </w:tr>
      <w:tr w:rsidR="00D31115" w14:paraId="0CE384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10F2E" w14:textId="77777777" w:rsidR="00D311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042F0" w14:textId="77777777" w:rsidR="00D31115" w:rsidRDefault="00000000">
            <w:r>
              <w:rPr>
                <w:sz w:val="20"/>
                <w:szCs w:val="20"/>
              </w:rPr>
              <w:t>Activity-based readmission risk from accelerometry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4A1E3" w14:textId="77777777" w:rsidR="00D31115" w:rsidRDefault="00000000">
            <w:r>
              <w:rPr>
                <w:sz w:val="20"/>
                <w:szCs w:val="20"/>
              </w:rPr>
              <w:t>Wearables / Signals</w:t>
            </w:r>
          </w:p>
        </w:tc>
      </w:tr>
      <w:tr w:rsidR="00D31115" w14:paraId="26C5E3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40A79" w14:textId="77777777" w:rsidR="00D31115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28B4A" w14:textId="77777777" w:rsidR="00D31115" w:rsidRDefault="00000000">
            <w:r>
              <w:rPr>
                <w:sz w:val="20"/>
                <w:szCs w:val="20"/>
              </w:rPr>
              <w:t>Longitudinal biomarker trajectory in oncology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66CBA" w14:textId="77777777" w:rsidR="00D31115" w:rsidRDefault="00000000">
            <w:r>
              <w:rPr>
                <w:sz w:val="20"/>
                <w:szCs w:val="20"/>
              </w:rPr>
              <w:t>Imaging / Labs</w:t>
            </w:r>
          </w:p>
        </w:tc>
      </w:tr>
      <w:tr w:rsidR="00D31115" w14:paraId="4F60CB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44E81" w14:textId="77777777" w:rsidR="00D31115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46A1B" w14:textId="77777777" w:rsidR="00D31115" w:rsidRDefault="00000000">
            <w:r>
              <w:rPr>
                <w:sz w:val="20"/>
                <w:szCs w:val="20"/>
              </w:rPr>
              <w:t>Lab value drift detection in clinical workflows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74CF9" w14:textId="77777777" w:rsidR="00D31115" w:rsidRDefault="00000000">
            <w:r>
              <w:rPr>
                <w:sz w:val="20"/>
                <w:szCs w:val="20"/>
              </w:rPr>
              <w:t>Imaging / Labs</w:t>
            </w:r>
          </w:p>
        </w:tc>
      </w:tr>
      <w:tr w:rsidR="00D31115" w14:paraId="0F33C6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93B22" w14:textId="77777777" w:rsidR="00D31115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E69A9" w14:textId="77777777" w:rsidR="00D31115" w:rsidRDefault="00000000">
            <w:r>
              <w:rPr>
                <w:sz w:val="20"/>
                <w:szCs w:val="20"/>
              </w:rPr>
              <w:t>Gene expression time series during immune response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837DC" w14:textId="77777777" w:rsidR="00D31115" w:rsidRDefault="00000000">
            <w:r>
              <w:rPr>
                <w:sz w:val="20"/>
                <w:szCs w:val="20"/>
              </w:rPr>
              <w:t>Omics / Genomics</w:t>
            </w:r>
          </w:p>
        </w:tc>
      </w:tr>
      <w:tr w:rsidR="00D31115" w14:paraId="248027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5D078" w14:textId="77777777" w:rsidR="00D31115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B6F65" w14:textId="77777777" w:rsidR="00D31115" w:rsidRDefault="00000000">
            <w:r>
              <w:rPr>
                <w:sz w:val="20"/>
                <w:szCs w:val="20"/>
              </w:rPr>
              <w:t>Microbiome temporal dynamics and disease state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D73CD" w14:textId="77777777" w:rsidR="00D31115" w:rsidRDefault="00000000">
            <w:r>
              <w:rPr>
                <w:sz w:val="20"/>
                <w:szCs w:val="20"/>
              </w:rPr>
              <w:t>Omics / Genomics</w:t>
            </w:r>
          </w:p>
        </w:tc>
      </w:tr>
    </w:tbl>
    <w:p w14:paraId="5EDCD288" w14:textId="3FD1C65A" w:rsidR="00D31115" w:rsidRDefault="00000000" w:rsidP="00584315">
      <w:r>
        <w:br w:type="page"/>
      </w:r>
    </w:p>
    <w:p w14:paraId="58859115" w14:textId="77777777" w:rsidR="00D31115" w:rsidRDefault="00000000">
      <w:pPr>
        <w:pBdr>
          <w:bottom w:val="single" w:sz="4" w:space="0" w:color="888780"/>
        </w:pBdr>
        <w:shd w:val="clear" w:color="auto" w:fill="E4F1D8"/>
        <w:spacing w:before="320" w:after="80"/>
      </w:pPr>
      <w:r>
        <w:rPr>
          <w:b/>
          <w:bCs/>
          <w:color w:val="444441"/>
        </w:rPr>
        <w:lastRenderedPageBreak/>
        <w:t>OMICS / GENOMICS</w:t>
      </w:r>
    </w:p>
    <w:p w14:paraId="171BBF21" w14:textId="77777777" w:rsidR="00D31115" w:rsidRDefault="00000000">
      <w:pPr>
        <w:pStyle w:val="Heading2"/>
        <w:spacing w:before="280"/>
      </w:pPr>
      <w:r>
        <w:t>Project 14: Gene expression time series during immune response</w:t>
      </w:r>
    </w:p>
    <w:p w14:paraId="1E800911" w14:textId="77777777" w:rsidR="00D31115" w:rsidRDefault="00000000">
      <w:pPr>
        <w:spacing w:before="160" w:after="60"/>
      </w:pPr>
      <w:r>
        <w:rPr>
          <w:b/>
          <w:bCs/>
          <w:color w:val="5F5E5A"/>
          <w:sz w:val="18"/>
          <w:szCs w:val="18"/>
        </w:rPr>
        <w:t>BACKGROUND</w:t>
      </w:r>
    </w:p>
    <w:p w14:paraId="30E88DDE" w14:textId="77777777" w:rsidR="00D31115" w:rsidRDefault="00000000">
      <w:pPr>
        <w:spacing w:after="80"/>
      </w:pPr>
      <w:r>
        <w:t>When the human immune system responds to a pathogen, thousands of genes are dynamically up- and down-regulated over hours to days. RNA-sequencing can capture this transcriptomic landscape at multiple time points, generating high-dimensional time series data.</w:t>
      </w:r>
    </w:p>
    <w:p w14:paraId="64975C6E" w14:textId="77777777" w:rsidR="00D31115" w:rsidRDefault="00000000">
      <w:pPr>
        <w:spacing w:before="160" w:after="60"/>
      </w:pPr>
      <w:r>
        <w:rPr>
          <w:b/>
          <w:bCs/>
          <w:color w:val="5F5E5A"/>
          <w:sz w:val="18"/>
          <w:szCs w:val="18"/>
        </w:rPr>
        <w:t>WHY IT MATTERS</w:t>
      </w:r>
    </w:p>
    <w:p w14:paraId="1DC1DF8D" w14:textId="77777777" w:rsidR="00D31115" w:rsidRDefault="00000000">
      <w:pPr>
        <w:spacing w:after="80"/>
      </w:pPr>
      <w:r>
        <w:t>Understanding the temporal architecture of immune gene expression — which gene modules activate early vs. late, and which correlate with disease severity — is fundamental to vaccine design, antiviral drug development, and sepsis biology.</w:t>
      </w:r>
    </w:p>
    <w:p w14:paraId="31A9D3CE" w14:textId="77777777" w:rsidR="00D31115" w:rsidRDefault="00000000">
      <w:pPr>
        <w:spacing w:before="160" w:after="60"/>
      </w:pPr>
      <w:r>
        <w:rPr>
          <w:b/>
          <w:bCs/>
          <w:color w:val="5F5E5A"/>
          <w:sz w:val="18"/>
          <w:szCs w:val="18"/>
        </w:rPr>
        <w:t>PROJECT GOAL</w:t>
      </w:r>
    </w:p>
    <w:p w14:paraId="5B2F466C" w14:textId="77777777" w:rsidR="00D31115" w:rsidRDefault="00000000">
      <w:pPr>
        <w:spacing w:after="80"/>
      </w:pPr>
      <w:r>
        <w:t>Using the Stanford SDY212 flu challenge study, cluster genes by their temporal expression profiles using STEM (Short Time-series Expression Miner) or hierarchical clustering with correlation distance. Identify enriched biological pathways in each cluster.</w:t>
      </w:r>
    </w:p>
    <w:p w14:paraId="3FAD8D1A" w14:textId="77777777" w:rsidR="00D31115" w:rsidRDefault="00000000">
      <w:pPr>
        <w:spacing w:before="160" w:after="60"/>
      </w:pPr>
      <w:r>
        <w:rPr>
          <w:b/>
          <w:bCs/>
          <w:color w:val="5F5E5A"/>
          <w:sz w:val="18"/>
          <w:szCs w:val="18"/>
        </w:rPr>
        <w:t>DATA SOURCE</w:t>
      </w:r>
    </w:p>
    <w:p w14:paraId="000AFF8E" w14:textId="77777777" w:rsidR="00D31115" w:rsidRDefault="00000000">
      <w:pPr>
        <w:spacing w:after="80"/>
      </w:pPr>
      <w:r>
        <w:t>SDY212 dataset from the ImmPort repository (immport.org, free registration). Longitudinal RNA-seq from healthy adults inoculated with H3N2 influenza, with multiple pre- and post-inoculation time points. Supplement with Gene Ontology (GO) annotation for pathway enrichment.</w:t>
      </w:r>
    </w:p>
    <w:p w14:paraId="40FAADA6" w14:textId="77777777" w:rsidR="00D31115" w:rsidRDefault="00000000">
      <w:pPr>
        <w:spacing w:before="160" w:after="60"/>
      </w:pPr>
      <w:r>
        <w:rPr>
          <w:b/>
          <w:bCs/>
          <w:color w:val="5F5E5A"/>
          <w:sz w:val="18"/>
          <w:szCs w:val="18"/>
        </w:rPr>
        <w:t>FINAL OUTCOMES</w:t>
      </w:r>
    </w:p>
    <w:p w14:paraId="6BE48295" w14:textId="77777777" w:rsidR="00D31115" w:rsidRDefault="00000000">
      <w:pPr>
        <w:pStyle w:val="ListParagraph"/>
        <w:numPr>
          <w:ilvl w:val="0"/>
          <w:numId w:val="2"/>
        </w:numPr>
        <w:spacing w:before="20" w:after="20"/>
      </w:pPr>
      <w:r>
        <w:t>Temporal gene clusters: 5-10 distinct temporal expression profile clusters (e.g., 'early interferon response,' 'late B-cell expansion').</w:t>
      </w:r>
    </w:p>
    <w:p w14:paraId="38728E55" w14:textId="77777777" w:rsidR="00D31115" w:rsidRDefault="00000000">
      <w:pPr>
        <w:pStyle w:val="ListParagraph"/>
        <w:numPr>
          <w:ilvl w:val="0"/>
          <w:numId w:val="2"/>
        </w:numPr>
        <w:spacing w:before="20" w:after="20"/>
      </w:pPr>
      <w:r>
        <w:t>Pathway enrichment: GSEA or Fisher's exact test on GO terms for each cluster.</w:t>
      </w:r>
    </w:p>
    <w:p w14:paraId="1DCB24A1" w14:textId="77777777" w:rsidR="00D31115" w:rsidRDefault="00000000">
      <w:pPr>
        <w:pStyle w:val="ListParagraph"/>
        <w:numPr>
          <w:ilvl w:val="0"/>
          <w:numId w:val="2"/>
        </w:numPr>
        <w:spacing w:before="20" w:after="20"/>
      </w:pPr>
      <w:r>
        <w:t>Symptomatic vs. asymptomatic comparison: Do genes cluster differently in participants who developed symptoms vs. those who remained asymptomatic?</w:t>
      </w:r>
    </w:p>
    <w:p w14:paraId="1548EE7C" w14:textId="77777777" w:rsidR="00D31115" w:rsidRDefault="00000000">
      <w:pPr>
        <w:pStyle w:val="ListParagraph"/>
        <w:numPr>
          <w:ilvl w:val="0"/>
          <w:numId w:val="2"/>
        </w:numPr>
        <w:spacing w:before="20" w:after="20"/>
      </w:pPr>
      <w:r>
        <w:t>Visualization: Heatmap of expression over time with dendrogram, plus line plots of cluster mean trajectories.</w:t>
      </w:r>
    </w:p>
    <w:p w14:paraId="29F1D527" w14:textId="77777777" w:rsidR="00D31115" w:rsidRDefault="00000000">
      <w:pPr>
        <w:spacing w:before="160" w:after="60"/>
      </w:pPr>
      <w:r>
        <w:rPr>
          <w:b/>
          <w:bCs/>
          <w:color w:val="5F5E5A"/>
          <w:sz w:val="18"/>
          <w:szCs w:val="18"/>
        </w:rPr>
        <w:t>QUESTIONS TO THINK ABOUT AS THE PROJECT EVOLVES</w:t>
      </w:r>
    </w:p>
    <w:p w14:paraId="3D8B054C" w14:textId="77777777" w:rsidR="00D31115" w:rsidRDefault="00000000">
      <w:pPr>
        <w:pStyle w:val="ListParagraph"/>
        <w:numPr>
          <w:ilvl w:val="0"/>
          <w:numId w:val="3"/>
        </w:numPr>
        <w:spacing w:before="20" w:after="20"/>
      </w:pPr>
      <w:r>
        <w:t>RNA-seq data is high-dimensional (20,000+ genes) but you have few time points (5-10 per subject). How does this p &gt;&gt; n problem affect your clustering approach?</w:t>
      </w:r>
    </w:p>
    <w:p w14:paraId="1956FD11" w14:textId="77777777" w:rsidR="00D31115" w:rsidRDefault="00000000">
      <w:pPr>
        <w:pStyle w:val="ListParagraph"/>
        <w:numPr>
          <w:ilvl w:val="0"/>
          <w:numId w:val="3"/>
        </w:numPr>
        <w:spacing w:before="20" w:after="20"/>
      </w:pPr>
      <w:r>
        <w:t>Gene expression values must be normalized before comparison across samples. What normalization methods are appropriate for longitudinal RNA-seq, and why does the choice matter?</w:t>
      </w:r>
    </w:p>
    <w:p w14:paraId="39374174" w14:textId="77777777" w:rsidR="00D31115" w:rsidRDefault="00000000">
      <w:pPr>
        <w:pStyle w:val="ListParagraph"/>
        <w:numPr>
          <w:ilvl w:val="0"/>
          <w:numId w:val="3"/>
        </w:numPr>
        <w:spacing w:before="20" w:after="20"/>
      </w:pPr>
      <w:r>
        <w:t>Clustering genes by temporal profile assumes that co-clustering implies co-regulation. Is co-clustering sufficient evidence of co-regulation?</w:t>
      </w:r>
    </w:p>
    <w:p w14:paraId="17D6D589" w14:textId="77777777" w:rsidR="00D31115" w:rsidRDefault="00000000">
      <w:pPr>
        <w:pStyle w:val="ListParagraph"/>
        <w:numPr>
          <w:ilvl w:val="0"/>
          <w:numId w:val="3"/>
        </w:numPr>
        <w:spacing w:before="20" w:after="20"/>
      </w:pPr>
      <w:r>
        <w:t>Can you identify a gene expression signature in the first 24 hours that predicts who will become symptomatic after flu inoculation?</w:t>
      </w:r>
    </w:p>
    <w:p w14:paraId="27CAACCE" w14:textId="77777777" w:rsidR="00D31115" w:rsidRDefault="00000000">
      <w:pPr>
        <w:pStyle w:val="ListParagraph"/>
        <w:numPr>
          <w:ilvl w:val="0"/>
          <w:numId w:val="3"/>
        </w:numPr>
        <w:spacing w:before="20" w:after="20"/>
      </w:pPr>
      <w:r>
        <w:t>Your clustering solution depends on the distance metric and linkage method. How do you assess whether your clusters are robust to these choices?</w:t>
      </w:r>
    </w:p>
    <w:p w14:paraId="255431FB" w14:textId="77777777" w:rsidR="00D31115" w:rsidRDefault="00D31115">
      <w:pPr>
        <w:spacing w:before="100"/>
      </w:pPr>
    </w:p>
    <w:p w14:paraId="3B08EF01" w14:textId="77777777" w:rsidR="00D31115" w:rsidRDefault="00D31115">
      <w:pPr>
        <w:spacing w:before="100"/>
      </w:pPr>
    </w:p>
    <w:sectPr w:rsidR="00D3111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7F36"/>
    <w:multiLevelType w:val="hybridMultilevel"/>
    <w:tmpl w:val="1394766E"/>
    <w:lvl w:ilvl="0" w:tplc="EA66EEEA">
      <w:start w:val="1"/>
      <w:numFmt w:val="bullet"/>
      <w:lvlText w:val="•"/>
      <w:lvlJc w:val="left"/>
      <w:pPr>
        <w:ind w:left="720" w:hanging="360"/>
      </w:pPr>
    </w:lvl>
    <w:lvl w:ilvl="1" w:tplc="105634BA">
      <w:numFmt w:val="decimal"/>
      <w:lvlText w:val=""/>
      <w:lvlJc w:val="left"/>
    </w:lvl>
    <w:lvl w:ilvl="2" w:tplc="51106A32">
      <w:numFmt w:val="decimal"/>
      <w:lvlText w:val=""/>
      <w:lvlJc w:val="left"/>
    </w:lvl>
    <w:lvl w:ilvl="3" w:tplc="74DA3430">
      <w:numFmt w:val="decimal"/>
      <w:lvlText w:val=""/>
      <w:lvlJc w:val="left"/>
    </w:lvl>
    <w:lvl w:ilvl="4" w:tplc="83E20512">
      <w:numFmt w:val="decimal"/>
      <w:lvlText w:val=""/>
      <w:lvlJc w:val="left"/>
    </w:lvl>
    <w:lvl w:ilvl="5" w:tplc="E6BEAE34">
      <w:numFmt w:val="decimal"/>
      <w:lvlText w:val=""/>
      <w:lvlJc w:val="left"/>
    </w:lvl>
    <w:lvl w:ilvl="6" w:tplc="ABD6A1C2">
      <w:numFmt w:val="decimal"/>
      <w:lvlText w:val=""/>
      <w:lvlJc w:val="left"/>
    </w:lvl>
    <w:lvl w:ilvl="7" w:tplc="296EAB14">
      <w:numFmt w:val="decimal"/>
      <w:lvlText w:val=""/>
      <w:lvlJc w:val="left"/>
    </w:lvl>
    <w:lvl w:ilvl="8" w:tplc="9E802FE0">
      <w:numFmt w:val="decimal"/>
      <w:lvlText w:val=""/>
      <w:lvlJc w:val="left"/>
    </w:lvl>
  </w:abstractNum>
  <w:abstractNum w:abstractNumId="1" w15:restartNumberingAfterBreak="0">
    <w:nsid w:val="1EDD48BF"/>
    <w:multiLevelType w:val="hybridMultilevel"/>
    <w:tmpl w:val="2C342DDE"/>
    <w:lvl w:ilvl="0" w:tplc="E6DE8D8C">
      <w:start w:val="1"/>
      <w:numFmt w:val="decimal"/>
      <w:lvlText w:val="%1."/>
      <w:lvlJc w:val="left"/>
      <w:pPr>
        <w:ind w:left="720" w:hanging="360"/>
      </w:pPr>
    </w:lvl>
    <w:lvl w:ilvl="1" w:tplc="99224024">
      <w:numFmt w:val="decimal"/>
      <w:lvlText w:val=""/>
      <w:lvlJc w:val="left"/>
    </w:lvl>
    <w:lvl w:ilvl="2" w:tplc="389E95D4">
      <w:numFmt w:val="decimal"/>
      <w:lvlText w:val=""/>
      <w:lvlJc w:val="left"/>
    </w:lvl>
    <w:lvl w:ilvl="3" w:tplc="500A1B0A">
      <w:numFmt w:val="decimal"/>
      <w:lvlText w:val=""/>
      <w:lvlJc w:val="left"/>
    </w:lvl>
    <w:lvl w:ilvl="4" w:tplc="A97A318C">
      <w:numFmt w:val="decimal"/>
      <w:lvlText w:val=""/>
      <w:lvlJc w:val="left"/>
    </w:lvl>
    <w:lvl w:ilvl="5" w:tplc="4AA0638C">
      <w:numFmt w:val="decimal"/>
      <w:lvlText w:val=""/>
      <w:lvlJc w:val="left"/>
    </w:lvl>
    <w:lvl w:ilvl="6" w:tplc="6882D196">
      <w:numFmt w:val="decimal"/>
      <w:lvlText w:val=""/>
      <w:lvlJc w:val="left"/>
    </w:lvl>
    <w:lvl w:ilvl="7" w:tplc="0D26AD1E">
      <w:numFmt w:val="decimal"/>
      <w:lvlText w:val=""/>
      <w:lvlJc w:val="left"/>
    </w:lvl>
    <w:lvl w:ilvl="8" w:tplc="08D2BC4E">
      <w:numFmt w:val="decimal"/>
      <w:lvlText w:val=""/>
      <w:lvlJc w:val="left"/>
    </w:lvl>
  </w:abstractNum>
  <w:abstractNum w:abstractNumId="2" w15:restartNumberingAfterBreak="0">
    <w:nsid w:val="51574DB5"/>
    <w:multiLevelType w:val="hybridMultilevel"/>
    <w:tmpl w:val="25826B02"/>
    <w:lvl w:ilvl="0" w:tplc="AA868328">
      <w:start w:val="1"/>
      <w:numFmt w:val="bullet"/>
      <w:lvlText w:val="●"/>
      <w:lvlJc w:val="left"/>
      <w:pPr>
        <w:ind w:left="720" w:hanging="360"/>
      </w:pPr>
    </w:lvl>
    <w:lvl w:ilvl="1" w:tplc="0074B66E">
      <w:start w:val="1"/>
      <w:numFmt w:val="bullet"/>
      <w:lvlText w:val="○"/>
      <w:lvlJc w:val="left"/>
      <w:pPr>
        <w:ind w:left="1440" w:hanging="360"/>
      </w:pPr>
    </w:lvl>
    <w:lvl w:ilvl="2" w:tplc="37F65D76">
      <w:start w:val="1"/>
      <w:numFmt w:val="bullet"/>
      <w:lvlText w:val="■"/>
      <w:lvlJc w:val="left"/>
      <w:pPr>
        <w:ind w:left="2160" w:hanging="360"/>
      </w:pPr>
    </w:lvl>
    <w:lvl w:ilvl="3" w:tplc="D4BCAF70">
      <w:start w:val="1"/>
      <w:numFmt w:val="bullet"/>
      <w:lvlText w:val="●"/>
      <w:lvlJc w:val="left"/>
      <w:pPr>
        <w:ind w:left="2880" w:hanging="360"/>
      </w:pPr>
    </w:lvl>
    <w:lvl w:ilvl="4" w:tplc="DB20E7A0">
      <w:start w:val="1"/>
      <w:numFmt w:val="bullet"/>
      <w:lvlText w:val="○"/>
      <w:lvlJc w:val="left"/>
      <w:pPr>
        <w:ind w:left="3600" w:hanging="360"/>
      </w:pPr>
    </w:lvl>
    <w:lvl w:ilvl="5" w:tplc="AA4A7A4E">
      <w:start w:val="1"/>
      <w:numFmt w:val="bullet"/>
      <w:lvlText w:val="■"/>
      <w:lvlJc w:val="left"/>
      <w:pPr>
        <w:ind w:left="4320" w:hanging="360"/>
      </w:pPr>
    </w:lvl>
    <w:lvl w:ilvl="6" w:tplc="6088C166">
      <w:start w:val="1"/>
      <w:numFmt w:val="bullet"/>
      <w:lvlText w:val="●"/>
      <w:lvlJc w:val="left"/>
      <w:pPr>
        <w:ind w:left="5040" w:hanging="360"/>
      </w:pPr>
    </w:lvl>
    <w:lvl w:ilvl="7" w:tplc="EA380750">
      <w:start w:val="1"/>
      <w:numFmt w:val="bullet"/>
      <w:lvlText w:val="●"/>
      <w:lvlJc w:val="left"/>
      <w:pPr>
        <w:ind w:left="5760" w:hanging="360"/>
      </w:pPr>
    </w:lvl>
    <w:lvl w:ilvl="8" w:tplc="F2FC4638">
      <w:start w:val="1"/>
      <w:numFmt w:val="bullet"/>
      <w:lvlText w:val="●"/>
      <w:lvlJc w:val="left"/>
      <w:pPr>
        <w:ind w:left="6480" w:hanging="360"/>
      </w:pPr>
    </w:lvl>
  </w:abstractNum>
  <w:num w:numId="1" w16cid:durableId="1045521643">
    <w:abstractNumId w:val="2"/>
    <w:lvlOverride w:ilvl="0">
      <w:startOverride w:val="1"/>
    </w:lvlOverride>
  </w:num>
  <w:num w:numId="2" w16cid:durableId="244075683">
    <w:abstractNumId w:val="0"/>
    <w:lvlOverride w:ilvl="0">
      <w:startOverride w:val="1"/>
    </w:lvlOverride>
  </w:num>
  <w:num w:numId="3" w16cid:durableId="391119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15"/>
    <w:rsid w:val="00584315"/>
    <w:rsid w:val="00D31115"/>
    <w:rsid w:val="00E8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A7780"/>
  <w15:docId w15:val="{1F3AB5AD-5835-A646-89A3-EAA7B0F5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42C53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85FA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Hosoya, Kem</cp:lastModifiedBy>
  <cp:revision>2</cp:revision>
  <dcterms:created xsi:type="dcterms:W3CDTF">2026-03-31T20:45:00Z</dcterms:created>
  <dcterms:modified xsi:type="dcterms:W3CDTF">2026-04-30T21:06:00Z</dcterms:modified>
</cp:coreProperties>
</file>