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购买复用分析表</w:t>
      </w: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4244"/>
        <w:gridCol w:w="1134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r>
              <w:rPr>
                <w:rFonts w:hint="eastAsia"/>
                <w:lang w:eastAsia="zh-CN"/>
              </w:rPr>
              <w:t>南浔区科技“创新评动力”数字化应用系统项目</w:t>
            </w:r>
            <w:r>
              <w:rPr>
                <w:rFonts w:hint="eastAsia"/>
              </w:rPr>
              <w:t>项目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项目编号</w:t>
            </w:r>
          </w:p>
        </w:tc>
        <w:tc>
          <w:tcPr>
            <w:tcW w:w="175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编写人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魏鹏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编写日期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审核人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王宇帆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审核日期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85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批准人</w:t>
            </w:r>
          </w:p>
        </w:tc>
        <w:tc>
          <w:tcPr>
            <w:tcW w:w="4244" w:type="dxa"/>
            <w:shd w:val="clear" w:color="auto" w:fill="auto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叶冬梅</w:t>
            </w:r>
          </w:p>
        </w:tc>
        <w:tc>
          <w:tcPr>
            <w:tcW w:w="1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批准日期</w:t>
            </w:r>
          </w:p>
        </w:tc>
        <w:tc>
          <w:tcPr>
            <w:tcW w:w="1751" w:type="dxa"/>
            <w:vAlign w:val="center"/>
          </w:tcPr>
          <w:p>
            <w:pPr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4-18</w:t>
            </w:r>
          </w:p>
        </w:tc>
      </w:tr>
    </w:tbl>
    <w:p/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007"/>
        <w:gridCol w:w="2027"/>
        <w:gridCol w:w="3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52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构件标识</w:t>
            </w:r>
          </w:p>
        </w:tc>
        <w:tc>
          <w:tcPr>
            <w:tcW w:w="2007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产品构件名称</w:t>
            </w:r>
          </w:p>
        </w:tc>
        <w:tc>
          <w:tcPr>
            <w:tcW w:w="2027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制作/外购/复用</w:t>
            </w:r>
          </w:p>
        </w:tc>
        <w:tc>
          <w:tcPr>
            <w:tcW w:w="31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52" w:type="dxa"/>
            <w:vAlign w:val="center"/>
          </w:tcPr>
          <w:p>
            <w:r>
              <w:rPr>
                <w:rFonts w:hint="eastAsia"/>
              </w:rPr>
              <w:t>整个系统</w:t>
            </w:r>
          </w:p>
        </w:tc>
        <w:tc>
          <w:tcPr>
            <w:tcW w:w="2007" w:type="dxa"/>
            <w:vAlign w:val="center"/>
          </w:tcPr>
          <w:p/>
        </w:tc>
        <w:tc>
          <w:tcPr>
            <w:tcW w:w="2027" w:type="dxa"/>
            <w:vAlign w:val="center"/>
          </w:tcPr>
          <w:p>
            <w:r>
              <w:rPr>
                <w:rFonts w:hint="eastAsia"/>
              </w:rPr>
              <w:t>制作</w:t>
            </w:r>
          </w:p>
        </w:tc>
        <w:tc>
          <w:tcPr>
            <w:tcW w:w="3134" w:type="dxa"/>
            <w:vAlign w:val="center"/>
          </w:tcPr>
          <w:p>
            <w:bookmarkStart w:id="0" w:name="OLE_LINK1"/>
            <w:bookmarkStart w:id="1" w:name="OLE_LINK2"/>
            <w:r>
              <w:rPr>
                <w:rFonts w:hint="eastAsia"/>
              </w:rPr>
              <w:t>3、</w:t>
            </w:r>
            <w:bookmarkEnd w:id="0"/>
            <w:bookmarkEnd w:id="1"/>
            <w:r>
              <w:rPr>
                <w:rFonts w:hint="eastAsia"/>
              </w:rPr>
              <w:t>7、10-13、15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5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基础地图模块</w:t>
            </w:r>
          </w:p>
        </w:tc>
        <w:tc>
          <w:tcPr>
            <w:tcW w:w="2007" w:type="dxa"/>
            <w:vAlign w:val="center"/>
          </w:tcPr>
          <w:p/>
        </w:tc>
        <w:tc>
          <w:tcPr>
            <w:tcW w:w="2027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复用</w:t>
            </w:r>
          </w:p>
        </w:tc>
        <w:tc>
          <w:tcPr>
            <w:tcW w:w="3134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1、2、3、11、12、14、15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252" w:type="dxa"/>
            <w:vAlign w:val="center"/>
          </w:tcPr>
          <w:p/>
        </w:tc>
        <w:tc>
          <w:tcPr>
            <w:tcW w:w="2007" w:type="dxa"/>
            <w:vAlign w:val="center"/>
          </w:tcPr>
          <w:p/>
        </w:tc>
        <w:tc>
          <w:tcPr>
            <w:tcW w:w="2027" w:type="dxa"/>
            <w:vAlign w:val="center"/>
          </w:tcPr>
          <w:p/>
        </w:tc>
        <w:tc>
          <w:tcPr>
            <w:tcW w:w="3134" w:type="dxa"/>
            <w:vAlign w:val="center"/>
          </w:tcPr>
          <w:p/>
        </w:tc>
      </w:tr>
    </w:tbl>
    <w:p/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269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4269" w:type="dxa"/>
            <w:shd w:val="clear" w:color="auto" w:fill="E6E6E6"/>
            <w:vAlign w:val="center"/>
          </w:tcPr>
          <w:p>
            <w:r>
              <w:rPr>
                <w:rFonts w:hint="eastAsia"/>
              </w:rPr>
              <w:t>影响决策的因素</w:t>
            </w:r>
          </w:p>
        </w:tc>
        <w:tc>
          <w:tcPr>
            <w:tcW w:w="3311" w:type="dxa"/>
            <w:shd w:val="clear" w:color="auto" w:fill="E6E6E6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产品或服务提供的功能适合项目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此资源和技能项目可以利用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产品的质量</w:t>
            </w:r>
          </w:p>
        </w:tc>
        <w:tc>
          <w:tcPr>
            <w:tcW w:w="3311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/>
              </w:rPr>
            </w:pPr>
            <w:r>
              <w:t>传统的信息展示方式缺乏与各类系统、设备的对接及实时的信息交互，难以通过统一平台对当前情况进行自动化、可视化的全景展示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对核心能力无负面影响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购买与内部开发的成本对比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可以满足关键交付和集成日期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战略经营联盟, 包括高层经营的需求</w:t>
            </w:r>
          </w:p>
        </w:tc>
        <w:tc>
          <w:tcPr>
            <w:tcW w:w="3311" w:type="dxa"/>
            <w:vAlign w:val="center"/>
          </w:tcPr>
          <w:p>
            <w:pPr>
              <w:widowControl/>
              <w:shd w:val="clear" w:color="auto" w:fill="FFFFFF"/>
              <w:jc w:val="left"/>
              <w:rPr>
                <w:rFonts w:hint="eastAsia" w:ascii="Arial" w:hAnsi="Arial" w:cs="Arial"/>
                <w:kern w:val="0"/>
                <w:sz w:val="30"/>
                <w:szCs w:val="30"/>
              </w:rPr>
            </w:pPr>
            <w:r>
              <w:t>作为一个综合型信息交互平台，重新定义工作方式。通过及时、可靠、全面的信息采集和应用，使</w:t>
            </w:r>
            <w:r>
              <w:rPr>
                <w:rFonts w:hint="eastAsia"/>
                <w:lang w:val="en-US" w:eastAsia="zh-CN"/>
              </w:rPr>
              <w:t>工作</w:t>
            </w:r>
            <w:r>
              <w:t>人员能够更为精确地了解</w:t>
            </w:r>
            <w:r>
              <w:rPr>
                <w:rFonts w:hint="eastAsia"/>
                <w:lang w:val="en-US" w:eastAsia="zh-CN"/>
              </w:rPr>
              <w:t>工作</w:t>
            </w:r>
            <w:r>
              <w:t>动态。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该供应商具有潜在技能和能力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购买产品相关的特许版权、保证、职责和限制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产品的可用性</w:t>
            </w:r>
          </w:p>
        </w:tc>
        <w:tc>
          <w:tcPr>
            <w:tcW w:w="3311" w:type="dxa"/>
            <w:vAlign w:val="center"/>
          </w:tcPr>
          <w:p>
            <w:r>
              <w:rPr>
                <w:rFonts w:hint="eastAsia"/>
              </w:rPr>
              <w:t>与应用场景结合，</w:t>
            </w:r>
            <w:r>
              <w:t>关注重点</w:t>
            </w:r>
            <w:r>
              <w:rPr>
                <w:rFonts w:hint="eastAsia"/>
                <w:lang w:val="en-US" w:eastAsia="zh-CN"/>
              </w:rPr>
              <w:t>用户</w:t>
            </w:r>
            <w:r>
              <w:t>、打造服务闭环、营造温馨环境，实现病区精细化管理。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所有权问题清楚</w:t>
            </w:r>
          </w:p>
        </w:tc>
        <w:tc>
          <w:tcPr>
            <w:tcW w:w="3311" w:type="dxa"/>
            <w:vAlign w:val="center"/>
          </w:tcPr>
          <w:p>
            <w:r>
              <w:rPr>
                <w:rFonts w:hint="eastAsia"/>
              </w:rPr>
              <w:t>无所有权问题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应用风险</w:t>
            </w:r>
          </w:p>
        </w:tc>
        <w:tc>
          <w:tcPr>
            <w:tcW w:w="3311" w:type="dxa"/>
            <w:vAlign w:val="center"/>
          </w:tcPr>
          <w:p>
            <w:r>
              <w:rPr>
                <w:rFonts w:hint="eastAsia"/>
              </w:rPr>
              <w:t>风险可控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技术先进性</w:t>
            </w:r>
          </w:p>
        </w:tc>
        <w:tc>
          <w:tcPr>
            <w:tcW w:w="3311" w:type="dxa"/>
            <w:vAlign w:val="center"/>
          </w:tcPr>
          <w:p>
            <w:r>
              <w:t>全新交互大屏，高效工，智能分析</w:t>
            </w:r>
            <w:r>
              <w:rPr>
                <w:rFonts w:hint="eastAsia"/>
                <w:lang w:val="en-US" w:eastAsia="zh-CN"/>
              </w:rPr>
              <w:t>各类</w:t>
            </w:r>
            <w:r>
              <w:t>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可互操作性</w:t>
            </w:r>
          </w:p>
        </w:tc>
        <w:tc>
          <w:tcPr>
            <w:tcW w:w="331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834" w:type="dxa"/>
            <w:vAlign w:val="center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4269" w:type="dxa"/>
            <w:vAlign w:val="center"/>
          </w:tcPr>
          <w:p>
            <w:r>
              <w:rPr>
                <w:rFonts w:hint="eastAsia"/>
              </w:rPr>
              <w:t>标准化程度</w:t>
            </w:r>
          </w:p>
        </w:tc>
        <w:tc>
          <w:tcPr>
            <w:tcW w:w="3311" w:type="dxa"/>
            <w:vAlign w:val="center"/>
          </w:tcPr>
          <w:p>
            <w:r>
              <w:t>平台全面对接各系统，实现数据的全面整合。</w:t>
            </w:r>
          </w:p>
        </w:tc>
      </w:tr>
    </w:tbl>
    <w:p/>
    <w:sectPr>
      <w:pgSz w:w="11906" w:h="16838"/>
      <w:pgMar w:top="907" w:right="1797" w:bottom="851" w:left="1797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E3OTU2ODhlMjIzNDVjOWMyYzEzZTliZTRmZDY4NjQifQ=="/>
  </w:docVars>
  <w:rsids>
    <w:rsidRoot w:val="00D629AC"/>
    <w:rsid w:val="00013835"/>
    <w:rsid w:val="000404C0"/>
    <w:rsid w:val="000E6260"/>
    <w:rsid w:val="00116F67"/>
    <w:rsid w:val="00133136"/>
    <w:rsid w:val="002206C2"/>
    <w:rsid w:val="00224E33"/>
    <w:rsid w:val="002423D7"/>
    <w:rsid w:val="0027185A"/>
    <w:rsid w:val="002905EE"/>
    <w:rsid w:val="002B4B3A"/>
    <w:rsid w:val="00316718"/>
    <w:rsid w:val="00321241"/>
    <w:rsid w:val="003604D7"/>
    <w:rsid w:val="00360C66"/>
    <w:rsid w:val="003A67AE"/>
    <w:rsid w:val="004329C5"/>
    <w:rsid w:val="004442AE"/>
    <w:rsid w:val="00513E6B"/>
    <w:rsid w:val="00546D5C"/>
    <w:rsid w:val="005E6310"/>
    <w:rsid w:val="006116FC"/>
    <w:rsid w:val="00615B7F"/>
    <w:rsid w:val="0061792C"/>
    <w:rsid w:val="006325E8"/>
    <w:rsid w:val="007014E6"/>
    <w:rsid w:val="00702CD9"/>
    <w:rsid w:val="00785354"/>
    <w:rsid w:val="00802039"/>
    <w:rsid w:val="008855BB"/>
    <w:rsid w:val="008F7702"/>
    <w:rsid w:val="00960246"/>
    <w:rsid w:val="009D5925"/>
    <w:rsid w:val="00A44E29"/>
    <w:rsid w:val="00A62E66"/>
    <w:rsid w:val="00A70FD6"/>
    <w:rsid w:val="00A900BE"/>
    <w:rsid w:val="00B33D0D"/>
    <w:rsid w:val="00BD2507"/>
    <w:rsid w:val="00C37CEB"/>
    <w:rsid w:val="00C828B6"/>
    <w:rsid w:val="00CE5B35"/>
    <w:rsid w:val="00D629AC"/>
    <w:rsid w:val="00D703B0"/>
    <w:rsid w:val="00EA5BA2"/>
    <w:rsid w:val="00EF7B7C"/>
    <w:rsid w:val="00F00EC6"/>
    <w:rsid w:val="00F4337B"/>
    <w:rsid w:val="00F44055"/>
    <w:rsid w:val="00F72421"/>
    <w:rsid w:val="00FF3874"/>
    <w:rsid w:val="00FF61BA"/>
    <w:rsid w:val="04E420EA"/>
    <w:rsid w:val="04E8225B"/>
    <w:rsid w:val="056B1778"/>
    <w:rsid w:val="0B473840"/>
    <w:rsid w:val="13BF4879"/>
    <w:rsid w:val="14DB2EA8"/>
    <w:rsid w:val="17C920B6"/>
    <w:rsid w:val="186818B7"/>
    <w:rsid w:val="19C33E29"/>
    <w:rsid w:val="1B831203"/>
    <w:rsid w:val="1C3C4B7A"/>
    <w:rsid w:val="1D4011BF"/>
    <w:rsid w:val="1EE607C4"/>
    <w:rsid w:val="1F44359C"/>
    <w:rsid w:val="1FDA5CBB"/>
    <w:rsid w:val="20BB04F7"/>
    <w:rsid w:val="2CCC7A0B"/>
    <w:rsid w:val="2CDC4022"/>
    <w:rsid w:val="2D76758A"/>
    <w:rsid w:val="35D96234"/>
    <w:rsid w:val="3E910F34"/>
    <w:rsid w:val="4352503F"/>
    <w:rsid w:val="43E2713C"/>
    <w:rsid w:val="4742511E"/>
    <w:rsid w:val="4F322AA9"/>
    <w:rsid w:val="50226400"/>
    <w:rsid w:val="51E765A5"/>
    <w:rsid w:val="54B2335F"/>
    <w:rsid w:val="5FFC0949"/>
    <w:rsid w:val="61457259"/>
    <w:rsid w:val="63966D5A"/>
    <w:rsid w:val="67262C70"/>
    <w:rsid w:val="67A17421"/>
    <w:rsid w:val="68833785"/>
    <w:rsid w:val="696D3285"/>
    <w:rsid w:val="72234414"/>
    <w:rsid w:val="72914916"/>
    <w:rsid w:val="754F511B"/>
    <w:rsid w:val="75980295"/>
    <w:rsid w:val="7C0170DA"/>
    <w:rsid w:val="7CB051F8"/>
    <w:rsid w:val="7DF057F0"/>
    <w:rsid w:val="7EB2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宋体"/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8">
    <w:name w:val="页脚 Char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link w:val="4"/>
    <w:qFormat/>
    <w:uiPriority w:val="0"/>
    <w:rPr>
      <w:rFonts w:ascii="Times New Roman" w:hAnsi="Times New Roman" w:eastAsia="宋体" w:cs="Times New Roman"/>
      <w:sz w:val="18"/>
      <w:szCs w:val="20"/>
    </w:rPr>
  </w:style>
  <w:style w:type="character" w:customStyle="1" w:styleId="10">
    <w:name w:val="标题 Char"/>
    <w:link w:val="5"/>
    <w:qFormat/>
    <w:uiPriority w:val="10"/>
    <w:rPr>
      <w:rFonts w:ascii="Cambria" w:hAnsi="Cambria" w:eastAsia="宋体" w:cs="Times New Roman"/>
      <w:b/>
      <w:bCs/>
      <w:sz w:val="32"/>
      <w:szCs w:val="32"/>
    </w:rPr>
  </w:style>
  <w:style w:type="character" w:customStyle="1" w:styleId="11">
    <w:name w:val="文档结构图 Char"/>
    <w:link w:val="2"/>
    <w:semiHidden/>
    <w:qFormat/>
    <w:uiPriority w:val="99"/>
    <w:rPr>
      <w:rFonts w:ascii="宋体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485</Words>
  <Characters>524</Characters>
  <Lines>4</Lines>
  <Paragraphs>1</Paragraphs>
  <TotalTime>1</TotalTime>
  <ScaleCrop>false</ScaleCrop>
  <LinksUpToDate>false</LinksUpToDate>
  <CharactersWithSpaces>525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2020-06-12T06:55:00Z</dcterms:created>
  <dc:creator>jjch</dc:creator>
  <cp:lastModifiedBy>一只鱼</cp:lastModifiedBy>
  <dcterms:modified xsi:type="dcterms:W3CDTF">2022-11-30T14:37:23Z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C7B106F3C6C34C32B5CB8E9B409F0BB7</vt:lpwstr>
  </property>
</Properties>
</file>