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购买复用分析表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4244"/>
        <w:gridCol w:w="1134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r>
              <w:rPr>
                <w:rFonts w:hint="eastAsia"/>
                <w:lang w:eastAsia="zh-CN"/>
              </w:rPr>
              <w:t>交通接驳与安保调度系统</w:t>
            </w:r>
            <w:r>
              <w:rPr>
                <w:rFonts w:hint="eastAsia"/>
              </w:rPr>
              <w:t>项目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编写人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魏鹏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编写日期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王正宁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批准人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叶冬梅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批准日期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8-25</w:t>
            </w:r>
          </w:p>
        </w:tc>
      </w:tr>
    </w:tbl>
    <w:p/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916"/>
        <w:gridCol w:w="2027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343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构件标识</w:t>
            </w:r>
          </w:p>
        </w:tc>
        <w:tc>
          <w:tcPr>
            <w:tcW w:w="1916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产品构件名称</w:t>
            </w:r>
          </w:p>
        </w:tc>
        <w:tc>
          <w:tcPr>
            <w:tcW w:w="2027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制作/外购/复用</w:t>
            </w:r>
          </w:p>
        </w:tc>
        <w:tc>
          <w:tcPr>
            <w:tcW w:w="3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343" w:type="dxa"/>
            <w:vAlign w:val="center"/>
          </w:tcPr>
          <w:p>
            <w:r>
              <w:rPr>
                <w:rFonts w:hint="eastAsia"/>
              </w:rPr>
              <w:t>整个系统</w:t>
            </w:r>
          </w:p>
        </w:tc>
        <w:tc>
          <w:tcPr>
            <w:tcW w:w="1916" w:type="dxa"/>
            <w:vAlign w:val="center"/>
          </w:tcPr>
          <w:p/>
        </w:tc>
        <w:tc>
          <w:tcPr>
            <w:tcW w:w="2027" w:type="dxa"/>
            <w:vAlign w:val="center"/>
          </w:tcPr>
          <w:p>
            <w:r>
              <w:rPr>
                <w:rFonts w:hint="eastAsia"/>
              </w:rPr>
              <w:t>制作</w:t>
            </w:r>
          </w:p>
        </w:tc>
        <w:tc>
          <w:tcPr>
            <w:tcW w:w="3134" w:type="dxa"/>
            <w:vAlign w:val="center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3、</w:t>
            </w:r>
            <w:bookmarkEnd w:id="0"/>
            <w:bookmarkEnd w:id="1"/>
            <w:r>
              <w:rPr>
                <w:rFonts w:hint="eastAsia"/>
              </w:rPr>
              <w:t>7、10-13、15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34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坐标转换模块</w:t>
            </w:r>
          </w:p>
        </w:tc>
        <w:tc>
          <w:tcPr>
            <w:tcW w:w="1916" w:type="dxa"/>
            <w:vAlign w:val="center"/>
          </w:tcPr>
          <w:p/>
        </w:tc>
        <w:tc>
          <w:tcPr>
            <w:tcW w:w="2027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复用</w:t>
            </w:r>
          </w:p>
        </w:tc>
        <w:tc>
          <w:tcPr>
            <w:tcW w:w="313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1、2、3、11、12、15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343" w:type="dxa"/>
            <w:vAlign w:val="center"/>
          </w:tcPr>
          <w:p>
            <w:bookmarkStart w:id="2" w:name="_GoBack"/>
            <w:bookmarkEnd w:id="2"/>
          </w:p>
        </w:tc>
        <w:tc>
          <w:tcPr>
            <w:tcW w:w="1916" w:type="dxa"/>
            <w:vAlign w:val="center"/>
          </w:tcPr>
          <w:p/>
        </w:tc>
        <w:tc>
          <w:tcPr>
            <w:tcW w:w="2027" w:type="dxa"/>
            <w:vAlign w:val="center"/>
          </w:tcPr>
          <w:p/>
        </w:tc>
        <w:tc>
          <w:tcPr>
            <w:tcW w:w="3134" w:type="dxa"/>
            <w:vAlign w:val="center"/>
          </w:tcPr>
          <w:p/>
        </w:tc>
      </w:tr>
    </w:tbl>
    <w:p/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26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69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影响决策的因素</w:t>
            </w:r>
          </w:p>
        </w:tc>
        <w:tc>
          <w:tcPr>
            <w:tcW w:w="3311" w:type="dxa"/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产品或服务提供的功能适合项目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此资源和技能项目可以利用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产品的质量</w:t>
            </w:r>
          </w:p>
        </w:tc>
        <w:tc>
          <w:tcPr>
            <w:tcW w:w="3311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t>传统的信息展示方式缺乏与各类系统、设备的对接及实时的信息交互，难以通过统一平台对当前情况进行自动化、可视化的全景展示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对核心能力无负面影响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购买与内部开发的成本对比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可以满足关键交付和集成日期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战略经营联盟, 包括高层经营的需求</w:t>
            </w:r>
          </w:p>
        </w:tc>
        <w:tc>
          <w:tcPr>
            <w:tcW w:w="3311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Arial" w:hAnsi="Arial" w:cs="Arial"/>
                <w:kern w:val="0"/>
                <w:sz w:val="30"/>
                <w:szCs w:val="30"/>
              </w:rPr>
            </w:pPr>
            <w:r>
              <w:t>作为一个综合型信息交互平台，重新定义工作方式。通过及时、可靠、全面的信息采集和应用，使</w:t>
            </w:r>
            <w:r>
              <w:rPr>
                <w:rFonts w:hint="eastAsia"/>
                <w:lang w:val="en-US" w:eastAsia="zh-CN"/>
              </w:rPr>
              <w:t>工作</w:t>
            </w:r>
            <w:r>
              <w:t>人员能够更为精确地了解</w:t>
            </w:r>
            <w:r>
              <w:rPr>
                <w:rFonts w:hint="eastAsia"/>
                <w:lang w:val="en-US" w:eastAsia="zh-CN"/>
              </w:rPr>
              <w:t>工作</w:t>
            </w:r>
            <w:r>
              <w:t>动态。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该供应商具有潜在技能和能力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购买产品相关的特许版权、保证、职责和限制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产品的可用性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与应用场景结合，</w:t>
            </w:r>
            <w:r>
              <w:t>关注重点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、打造服务闭环、营造温馨环境，实现病区精细化管理。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所有权问题清楚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无所有权问题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应用风险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风险可控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技术先进性</w:t>
            </w:r>
          </w:p>
        </w:tc>
        <w:tc>
          <w:tcPr>
            <w:tcW w:w="3311" w:type="dxa"/>
            <w:vAlign w:val="center"/>
          </w:tcPr>
          <w:p>
            <w:r>
              <w:t>全新交互大屏，高效工，智能分析</w:t>
            </w:r>
            <w:r>
              <w:rPr>
                <w:rFonts w:hint="eastAsia"/>
                <w:lang w:val="en-US" w:eastAsia="zh-CN"/>
              </w:rPr>
              <w:t>各类</w:t>
            </w:r>
            <w:r>
              <w:t>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可互操作性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标准化程度</w:t>
            </w:r>
          </w:p>
        </w:tc>
        <w:tc>
          <w:tcPr>
            <w:tcW w:w="3311" w:type="dxa"/>
            <w:vAlign w:val="center"/>
          </w:tcPr>
          <w:p>
            <w:r>
              <w:t>平台全面对接各系统，实现数据的全面整合。</w:t>
            </w:r>
          </w:p>
        </w:tc>
      </w:tr>
    </w:tbl>
    <w:p/>
    <w:sectPr>
      <w:pgSz w:w="11906" w:h="16838"/>
      <w:pgMar w:top="907" w:right="1797" w:bottom="851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3OTU2ODhlMjIzNDVjOWMyYzEzZTliZTRmZDY4NjQifQ=="/>
  </w:docVars>
  <w:rsids>
    <w:rsidRoot w:val="00D629AC"/>
    <w:rsid w:val="00013835"/>
    <w:rsid w:val="000404C0"/>
    <w:rsid w:val="000E6260"/>
    <w:rsid w:val="00116F67"/>
    <w:rsid w:val="00133136"/>
    <w:rsid w:val="002206C2"/>
    <w:rsid w:val="00224E33"/>
    <w:rsid w:val="002423D7"/>
    <w:rsid w:val="0027185A"/>
    <w:rsid w:val="002905EE"/>
    <w:rsid w:val="002B4B3A"/>
    <w:rsid w:val="00316718"/>
    <w:rsid w:val="00321241"/>
    <w:rsid w:val="003604D7"/>
    <w:rsid w:val="00360C66"/>
    <w:rsid w:val="003A67AE"/>
    <w:rsid w:val="004329C5"/>
    <w:rsid w:val="004442AE"/>
    <w:rsid w:val="00513E6B"/>
    <w:rsid w:val="00546D5C"/>
    <w:rsid w:val="005E6310"/>
    <w:rsid w:val="006116FC"/>
    <w:rsid w:val="00615B7F"/>
    <w:rsid w:val="0061792C"/>
    <w:rsid w:val="006325E8"/>
    <w:rsid w:val="007014E6"/>
    <w:rsid w:val="00702CD9"/>
    <w:rsid w:val="00785354"/>
    <w:rsid w:val="00802039"/>
    <w:rsid w:val="008855BB"/>
    <w:rsid w:val="008F7702"/>
    <w:rsid w:val="00960246"/>
    <w:rsid w:val="009D5925"/>
    <w:rsid w:val="00A44E29"/>
    <w:rsid w:val="00A62E66"/>
    <w:rsid w:val="00A70FD6"/>
    <w:rsid w:val="00A900BE"/>
    <w:rsid w:val="00B33D0D"/>
    <w:rsid w:val="00BD2507"/>
    <w:rsid w:val="00C37CEB"/>
    <w:rsid w:val="00C828B6"/>
    <w:rsid w:val="00CE5B35"/>
    <w:rsid w:val="00D629AC"/>
    <w:rsid w:val="00D703B0"/>
    <w:rsid w:val="00EA5BA2"/>
    <w:rsid w:val="00EF7B7C"/>
    <w:rsid w:val="00F00EC6"/>
    <w:rsid w:val="00F4337B"/>
    <w:rsid w:val="00F44055"/>
    <w:rsid w:val="00F72421"/>
    <w:rsid w:val="00FF3874"/>
    <w:rsid w:val="00FF61BA"/>
    <w:rsid w:val="04E420EA"/>
    <w:rsid w:val="04E8225B"/>
    <w:rsid w:val="056B1778"/>
    <w:rsid w:val="091E023E"/>
    <w:rsid w:val="0B473840"/>
    <w:rsid w:val="129424DA"/>
    <w:rsid w:val="13BF4879"/>
    <w:rsid w:val="14DB2EA8"/>
    <w:rsid w:val="17C920B6"/>
    <w:rsid w:val="186818B7"/>
    <w:rsid w:val="19C33E29"/>
    <w:rsid w:val="1B831203"/>
    <w:rsid w:val="1C3C4B7A"/>
    <w:rsid w:val="1D4011BF"/>
    <w:rsid w:val="1EE607C4"/>
    <w:rsid w:val="1F44359C"/>
    <w:rsid w:val="1FDA5CBB"/>
    <w:rsid w:val="20BB04F7"/>
    <w:rsid w:val="2CCC7A0B"/>
    <w:rsid w:val="2CDC4022"/>
    <w:rsid w:val="2D76758A"/>
    <w:rsid w:val="35D96234"/>
    <w:rsid w:val="3E910F34"/>
    <w:rsid w:val="4352503F"/>
    <w:rsid w:val="43E2713C"/>
    <w:rsid w:val="4742511E"/>
    <w:rsid w:val="4F322AA9"/>
    <w:rsid w:val="50226400"/>
    <w:rsid w:val="51E765A5"/>
    <w:rsid w:val="54B2335F"/>
    <w:rsid w:val="5E470651"/>
    <w:rsid w:val="5F6426D4"/>
    <w:rsid w:val="5FFC0949"/>
    <w:rsid w:val="61457259"/>
    <w:rsid w:val="63966D5A"/>
    <w:rsid w:val="67A17421"/>
    <w:rsid w:val="68833785"/>
    <w:rsid w:val="696D3285"/>
    <w:rsid w:val="72914916"/>
    <w:rsid w:val="754F511B"/>
    <w:rsid w:val="75980295"/>
    <w:rsid w:val="76BD0A19"/>
    <w:rsid w:val="7C0170DA"/>
    <w:rsid w:val="7DF057F0"/>
    <w:rsid w:val="7EB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0">
    <w:name w:val="标题 Char"/>
    <w:link w:val="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文档结构图 Char"/>
    <w:link w:val="2"/>
    <w:semiHidden/>
    <w:qFormat/>
    <w:uiPriority w:val="99"/>
    <w:rPr>
      <w:rFonts w:ascii="宋体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494</Words>
  <Characters>536</Characters>
  <Lines>4</Lines>
  <Paragraphs>1</Paragraphs>
  <TotalTime>19</TotalTime>
  <ScaleCrop>false</ScaleCrop>
  <LinksUpToDate>false</LinksUpToDate>
  <CharactersWithSpaces>537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2020-06-12T06:55:00Z</dcterms:created>
  <dc:creator>jjch</dc:creator>
  <cp:lastModifiedBy>Wei</cp:lastModifiedBy>
  <dcterms:modified xsi:type="dcterms:W3CDTF">2022-12-14T09:30:36Z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C7B106F3C6C34C32B5CB8E9B409F0BB7</vt:lpwstr>
  </property>
</Properties>
</file>