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jc w:val="center"/>
      </w:pPr>
      <w:r>
        <w:rPr>
          <w:rFonts w:ascii="Times New Roman" w:hAnsi="Times New Roman" w:eastAsia="Times New Roman"/>
          <w:b/>
          <w:i w:val="0"/>
          <w:color w:val="000000"/>
          <w:sz w:val="24"/>
        </w:rPr>
        <w:t>UNIVERSIDAD DEL VALLE DE GUATEMALA</w:t>
      </w:r>
    </w:p>
    <w:p>
      <w:pPr>
        <w:spacing w:after="100" w:line="240" w:lineRule="auto"/>
        <w:jc w:val="center"/>
      </w:pPr>
      <w:r>
        <w:rPr>
          <w:rFonts w:ascii="Times New Roman" w:hAnsi="Times New Roman" w:eastAsia="Times New Roman"/>
          <w:b w:val="0"/>
          <w:i/>
          <w:color w:val="000000"/>
          <w:sz w:val="24"/>
        </w:rPr>
        <w:t>DATA SCIENCE - 40</w:t>
      </w:r>
    </w:p>
    <w:p>
      <w:pPr>
        <w:spacing w:after="680" w:line="240" w:lineRule="auto"/>
        <w:jc w:val="center"/>
      </w:pPr>
      <w:r>
        <w:rPr>
          <w:rFonts w:ascii="Times New Roman" w:hAnsi="Times New Roman" w:eastAsia="Times New Roman"/>
          <w:b w:val="0"/>
          <w:i w:val="0"/>
          <w:color w:val="000000"/>
          <w:sz w:val="24"/>
        </w:rPr>
        <w:t>Erick Marroquin</w:t>
      </w:r>
    </w:p>
    <w:p>
      <w:pPr>
        <w:spacing w:after="1100"/>
        <w:jc w:val="center"/>
      </w:pPr>
      <w:r>
        <w:drawing>
          <wp:inline xmlns:a="http://schemas.openxmlformats.org/drawingml/2006/main" xmlns:pic="http://schemas.openxmlformats.org/drawingml/2006/picture">
            <wp:extent cx="1911095" cy="2843784"/>
            <wp:docPr id="1" name="Picture 1"/>
            <wp:cNvGraphicFramePr>
              <a:graphicFrameLocks noChangeAspect="1"/>
            </wp:cNvGraphicFramePr>
            <a:graphic>
              <a:graphicData uri="http://schemas.openxmlformats.org/drawingml/2006/picture">
                <pic:pic>
                  <pic:nvPicPr>
                    <pic:cNvPr id="0" name="logo_uvg.png"/>
                    <pic:cNvPicPr/>
                  </pic:nvPicPr>
                  <pic:blipFill>
                    <a:blip r:embed="rId9"/>
                    <a:stretch>
                      <a:fillRect/>
                    </a:stretch>
                  </pic:blipFill>
                  <pic:spPr>
                    <a:xfrm>
                      <a:off x="0" y="0"/>
                      <a:ext cx="1911095" cy="2843784"/>
                    </a:xfrm>
                    <a:prstGeom prst="rect"/>
                  </pic:spPr>
                </pic:pic>
              </a:graphicData>
            </a:graphic>
          </wp:inline>
        </w:drawing>
      </w:r>
    </w:p>
    <w:p>
      <w:pPr>
        <w:spacing w:after="1300" w:line="300" w:lineRule="auto"/>
        <w:jc w:val="center"/>
      </w:pPr>
      <w:r>
        <w:rPr>
          <w:rFonts w:ascii="Times New Roman" w:hAnsi="Times New Roman" w:eastAsia="Times New Roman"/>
          <w:b/>
          <w:i w:val="0"/>
          <w:color w:val="000000"/>
          <w:sz w:val="30"/>
        </w:rPr>
        <w:t>Laboratorio 10 Visualización interactiva</w:t>
      </w:r>
      <w:r>
        <w:br/>
      </w:r>
      <w:r>
        <w:rPr>
          <w:rFonts w:ascii="Times New Roman" w:hAnsi="Times New Roman" w:eastAsia="Times New Roman"/>
          <w:b/>
          <w:i w:val="0"/>
          <w:color w:val="000000"/>
          <w:sz w:val="30"/>
        </w:rPr>
        <w:t>Informe final</w:t>
      </w:r>
    </w:p>
    <w:p>
      <w:pPr>
        <w:spacing w:after="1200" w:line="360" w:lineRule="auto"/>
        <w:jc w:val="center"/>
      </w:pPr>
      <w:r>
        <w:rPr>
          <w:rFonts w:ascii="Times New Roman" w:hAnsi="Times New Roman" w:eastAsia="Times New Roman"/>
          <w:b w:val="0"/>
          <w:i w:val="0"/>
          <w:color w:val="000000"/>
          <w:sz w:val="24"/>
        </w:rPr>
        <w:t>Ihan Marroquin 23108</w:t>
      </w:r>
      <w:r>
        <w:br/>
      </w:r>
      <w:r>
        <w:rPr>
          <w:rFonts w:ascii="Times New Roman" w:hAnsi="Times New Roman" w:eastAsia="Times New Roman"/>
          <w:b w:val="0"/>
          <w:i w:val="0"/>
          <w:color w:val="000000"/>
          <w:sz w:val="24"/>
        </w:rPr>
        <w:t>Diego Patzan 23525</w:t>
      </w:r>
      <w:r>
        <w:br/>
      </w:r>
      <w:r>
        <w:rPr>
          <w:rFonts w:ascii="Times New Roman" w:hAnsi="Times New Roman" w:eastAsia="Times New Roman"/>
          <w:b w:val="0"/>
          <w:i w:val="0"/>
          <w:color w:val="000000"/>
          <w:sz w:val="24"/>
        </w:rPr>
        <w:t>Milton Polanco 23471</w:t>
      </w:r>
    </w:p>
    <w:p>
      <w:pPr>
        <w:spacing w:after="0" w:line="240" w:lineRule="auto"/>
        <w:jc w:val="center"/>
      </w:pPr>
      <w:r>
        <w:rPr>
          <w:rFonts w:ascii="Times New Roman" w:hAnsi="Times New Roman" w:eastAsia="Times New Roman"/>
          <w:b/>
          <w:i w:val="0"/>
          <w:color w:val="000000"/>
          <w:sz w:val="24"/>
        </w:rPr>
        <w:t>GUATEMALA, 24 de octubre del 2026</w:t>
      </w:r>
    </w:p>
    <w:p>
      <w:pPr>
        <w:sectPr>
          <w:pgSz w:w="12240" w:h="15840"/>
          <w:pgMar w:top="1440" w:right="1440" w:bottom="1440" w:left="1440" w:header="720" w:footer="720" w:gutter="0"/>
          <w:cols w:space="720"/>
          <w:docGrid w:linePitch="360"/>
        </w:sectPr>
      </w:pPr>
    </w:p>
    <w:p>
      <w:pPr>
        <w:spacing w:after="40"/>
        <w:jc w:val="left"/>
      </w:pPr>
      <w:r>
        <w:rPr>
          <w:rFonts w:ascii="Times New Roman" w:hAnsi="Times New Roman" w:eastAsia="Times New Roman"/>
          <w:b/>
          <w:i w:val="0"/>
          <w:color w:val="000000"/>
          <w:sz w:val="22"/>
        </w:rPr>
        <w:t xml:space="preserve">Curso: </w:t>
      </w:r>
      <w:r>
        <w:rPr>
          <w:rFonts w:ascii="Times New Roman" w:hAnsi="Times New Roman" w:eastAsia="Times New Roman"/>
          <w:b w:val="0"/>
          <w:i w:val="0"/>
          <w:color w:val="000000"/>
          <w:sz w:val="22"/>
        </w:rPr>
        <w:t>Ciencia de Datos 40</w:t>
      </w:r>
    </w:p>
    <w:p>
      <w:pPr>
        <w:spacing w:after="40"/>
        <w:jc w:val="left"/>
      </w:pPr>
      <w:r>
        <w:rPr>
          <w:rFonts w:ascii="Times New Roman" w:hAnsi="Times New Roman" w:eastAsia="Times New Roman"/>
          <w:b/>
          <w:i w:val="0"/>
          <w:color w:val="000000"/>
          <w:sz w:val="22"/>
        </w:rPr>
        <w:t xml:space="preserve">Actividad: </w:t>
      </w:r>
      <w:r>
        <w:rPr>
          <w:rFonts w:ascii="Times New Roman" w:hAnsi="Times New Roman" w:eastAsia="Times New Roman"/>
          <w:b w:val="0"/>
          <w:i w:val="0"/>
          <w:color w:val="000000"/>
          <w:sz w:val="22"/>
        </w:rPr>
        <w:t>Laboratorio 10 Visualización interactiva</w:t>
      </w:r>
    </w:p>
    <w:p>
      <w:pPr>
        <w:spacing w:after="40"/>
        <w:jc w:val="left"/>
      </w:pPr>
      <w:r>
        <w:rPr>
          <w:rFonts w:ascii="Times New Roman" w:hAnsi="Times New Roman" w:eastAsia="Times New Roman"/>
          <w:b/>
          <w:i w:val="0"/>
          <w:color w:val="000000"/>
          <w:sz w:val="22"/>
        </w:rPr>
        <w:t xml:space="preserve">Documento: </w:t>
      </w:r>
      <w:r>
        <w:rPr>
          <w:rFonts w:ascii="Times New Roman" w:hAnsi="Times New Roman" w:eastAsia="Times New Roman"/>
          <w:b w:val="0"/>
          <w:i w:val="0"/>
          <w:color w:val="000000"/>
          <w:sz w:val="22"/>
        </w:rPr>
        <w:t>Informe final</w:t>
      </w:r>
    </w:p>
    <w:p>
      <w:pPr>
        <w:spacing w:after="40"/>
        <w:jc w:val="left"/>
      </w:pPr>
      <w:r>
        <w:rPr>
          <w:rFonts w:ascii="Times New Roman" w:hAnsi="Times New Roman" w:eastAsia="Times New Roman"/>
          <w:b/>
          <w:i w:val="0"/>
          <w:color w:val="000000"/>
          <w:sz w:val="22"/>
        </w:rPr>
        <w:t xml:space="preserve">Equipo: </w:t>
      </w:r>
      <w:r>
        <w:rPr>
          <w:rFonts w:ascii="Times New Roman" w:hAnsi="Times New Roman" w:eastAsia="Times New Roman"/>
          <w:b w:val="0"/>
          <w:i w:val="0"/>
          <w:color w:val="000000"/>
          <w:sz w:val="22"/>
        </w:rPr>
        <w:t>Ihan Marroquin 23108; Diego Patzan 23525; Milton Polanco 23471</w:t>
      </w:r>
    </w:p>
    <w:p>
      <w:pPr>
        <w:spacing w:after="40"/>
        <w:jc w:val="left"/>
      </w:pPr>
      <w:r>
        <w:rPr>
          <w:rFonts w:ascii="Times New Roman" w:hAnsi="Times New Roman" w:eastAsia="Times New Roman"/>
          <w:b/>
          <w:i w:val="0"/>
          <w:color w:val="000000"/>
          <w:sz w:val="22"/>
        </w:rPr>
        <w:t xml:space="preserve">Fecha: </w:t>
      </w:r>
      <w:r>
        <w:rPr>
          <w:rFonts w:ascii="Times New Roman" w:hAnsi="Times New Roman" w:eastAsia="Times New Roman"/>
          <w:b w:val="0"/>
          <w:i w:val="0"/>
          <w:color w:val="000000"/>
          <w:sz w:val="22"/>
        </w:rPr>
        <w:t>24 de octubre de 2026</w:t>
      </w:r>
    </w:p>
    <w:p>
      <w:pPr>
        <w:spacing w:after="40"/>
        <w:jc w:val="left"/>
      </w:pPr>
      <w:r>
        <w:rPr>
          <w:rFonts w:ascii="Times New Roman" w:hAnsi="Times New Roman" w:eastAsia="Times New Roman"/>
          <w:b/>
          <w:i w:val="0"/>
          <w:color w:val="000000"/>
          <w:sz w:val="22"/>
        </w:rPr>
        <w:t xml:space="preserve">Repositorio: </w:t>
      </w:r>
      <w:hyperlink r:id="rId11">
        <w:r>
          <w:rPr>
            <w:rFonts w:ascii="Times New Roman" w:hAnsi="Times New Roman"/>
            <w:color w:val="000000"/>
            <w:u w:val="none"/>
            <w:sz w:val="22"/>
          </w:rPr>
          <w:t>github.com/UVG-Tareas-y-proyectos/lab10_ds/tree/main</w:t>
        </w:r>
      </w:hyperlink>
    </w:p>
    <w:p>
      <w:pPr>
        <w:keepNext/>
        <w:spacing w:before="200" w:after="100"/>
        <w:jc w:val="left"/>
      </w:pPr>
      <w:r>
        <w:rPr>
          <w:rFonts w:ascii="Times New Roman" w:hAnsi="Times New Roman" w:eastAsia="Times New Roman"/>
          <w:b/>
          <w:i w:val="0"/>
          <w:color w:val="000000"/>
          <w:sz w:val="22"/>
        </w:rPr>
        <w:t>Tema y alcance del tablero</w:t>
      </w:r>
    </w:p>
    <w:p>
      <w:pPr>
        <w:keepNext w:val="0"/>
        <w:spacing w:before="0" w:after="120" w:line="259" w:lineRule="auto"/>
        <w:jc w:val="both"/>
      </w:pPr>
      <w:r>
        <w:rPr>
          <w:rFonts w:ascii="Times New Roman" w:hAnsi="Times New Roman" w:eastAsia="Times New Roman"/>
          <w:b w:val="0"/>
          <w:i w:val="0"/>
          <w:color w:val="000000"/>
          <w:sz w:val="22"/>
        </w:rPr>
        <w:t>El tablero permite explorar los ingresos registrados de turistas y excursionistas a Guatemala, identificar mercados y puntos de acceso y consultar el error de modelos evaluados anteriormente. La versión final contiene ocho visualizaciones interactivas. La serie temporal está enlazada con el desglose mensual por vía; la consulta incluye filtros de años, meses, nivel de detalle y selección de gráficas.</w:t>
      </w:r>
    </w:p>
    <w:p>
      <w:pPr>
        <w:keepNext w:val="0"/>
        <w:spacing w:before="0" w:after="120" w:line="259" w:lineRule="auto"/>
        <w:jc w:val="both"/>
      </w:pPr>
      <w:r>
        <w:rPr>
          <w:rFonts w:ascii="Times New Roman" w:hAnsi="Times New Roman" w:eastAsia="Times New Roman"/>
          <w:b w:val="0"/>
          <w:i w:val="0"/>
          <w:color w:val="000000"/>
          <w:sz w:val="22"/>
        </w:rPr>
        <w:t>Está dirigido a directivos y responsables de planificación turística. Las preguntas de gestión orientan la navegación; las unidades, leyendas y notas permiten leer los resultados sin formación estadística. Los valores observados se distinguen de las estimaciones y las limitaciones acompañan las vistas que afectan.</w:t>
      </w:r>
    </w:p>
    <w:p>
      <w:pPr>
        <w:keepNext/>
        <w:spacing w:before="200" w:after="100"/>
        <w:jc w:val="left"/>
      </w:pPr>
      <w:r>
        <w:rPr>
          <w:rFonts w:ascii="Times New Roman" w:hAnsi="Times New Roman" w:eastAsia="Times New Roman"/>
          <w:b/>
          <w:i w:val="0"/>
          <w:color w:val="000000"/>
          <w:sz w:val="22"/>
        </w:rPr>
        <w:t>Preguntas de gestión</w:t>
      </w:r>
    </w:p>
    <w:p>
      <w:pPr>
        <w:pStyle w:val="ListBullet"/>
        <w:spacing w:before="0" w:after="60" w:line="259" w:lineRule="auto"/>
        <w:ind w:left="360" w:hanging="259"/>
        <w:jc w:val="both"/>
      </w:pPr>
      <w:r>
        <w:rPr>
          <w:rFonts w:ascii="Times New Roman" w:hAnsi="Times New Roman" w:eastAsia="Times New Roman"/>
          <w:b w:val="0"/>
          <w:i w:val="0"/>
          <w:color w:val="000000"/>
          <w:sz w:val="22"/>
        </w:rPr>
        <w:t>¿Cómo cambió el flujo de turistas y excursionistas y qué meses concentraron mayores ingresos?</w:t>
      </w:r>
    </w:p>
    <w:p>
      <w:pPr>
        <w:pStyle w:val="ListBullet"/>
        <w:spacing w:before="0" w:after="60" w:line="259" w:lineRule="auto"/>
        <w:ind w:left="360" w:hanging="259"/>
        <w:jc w:val="both"/>
      </w:pPr>
      <w:r>
        <w:rPr>
          <w:rFonts w:ascii="Times New Roman" w:hAnsi="Times New Roman" w:eastAsia="Times New Roman"/>
          <w:b w:val="0"/>
          <w:i w:val="0"/>
          <w:color w:val="000000"/>
          <w:sz w:val="22"/>
        </w:rPr>
        <w:t>¿Cómo se distribuye el mes seleccionado entre las vías aérea, marítima y terrestre?</w:t>
      </w:r>
    </w:p>
    <w:p>
      <w:pPr>
        <w:pStyle w:val="ListBullet"/>
        <w:spacing w:before="0" w:after="60" w:line="259" w:lineRule="auto"/>
        <w:ind w:left="360" w:hanging="259"/>
        <w:jc w:val="both"/>
      </w:pPr>
      <w:r>
        <w:rPr>
          <w:rFonts w:ascii="Times New Roman" w:hAnsi="Times New Roman" w:eastAsia="Times New Roman"/>
          <w:b w:val="0"/>
          <w:i w:val="0"/>
          <w:color w:val="000000"/>
          <w:sz w:val="22"/>
        </w:rPr>
        <w:t>¿Qué países de residencia aportan mayor volumen dentro de una región seleccionada?</w:t>
      </w:r>
    </w:p>
    <w:p>
      <w:pPr>
        <w:pStyle w:val="ListBullet"/>
        <w:spacing w:before="0" w:after="60" w:line="259" w:lineRule="auto"/>
        <w:ind w:left="360" w:hanging="259"/>
        <w:jc w:val="both"/>
      </w:pPr>
      <w:r>
        <w:rPr>
          <w:rFonts w:ascii="Times New Roman" w:hAnsi="Times New Roman" w:eastAsia="Times New Roman"/>
          <w:b w:val="0"/>
          <w:i w:val="0"/>
          <w:color w:val="000000"/>
          <w:sz w:val="22"/>
        </w:rPr>
        <w:t>¿Cómo cambia el ingreso de visitantes según la región de residencia?</w:t>
      </w:r>
    </w:p>
    <w:p>
      <w:pPr>
        <w:pStyle w:val="ListBullet"/>
        <w:spacing w:before="0" w:after="60" w:line="259" w:lineRule="auto"/>
        <w:ind w:left="360" w:hanging="259"/>
        <w:jc w:val="both"/>
      </w:pPr>
      <w:r>
        <w:rPr>
          <w:rFonts w:ascii="Times New Roman" w:hAnsi="Times New Roman" w:eastAsia="Times New Roman"/>
          <w:b w:val="0"/>
          <w:i w:val="0"/>
          <w:color w:val="000000"/>
          <w:sz w:val="22"/>
        </w:rPr>
        <w:t>¿Qué puntos de ingreso concentran el flujo y cómo cambia el ranking por vía?</w:t>
      </w:r>
    </w:p>
    <w:p>
      <w:pPr>
        <w:pStyle w:val="ListBullet"/>
        <w:spacing w:before="0" w:after="60" w:line="259" w:lineRule="auto"/>
        <w:ind w:left="360" w:hanging="259"/>
        <w:jc w:val="both"/>
      </w:pPr>
      <w:r>
        <w:rPr>
          <w:rFonts w:ascii="Times New Roman" w:hAnsi="Times New Roman" w:eastAsia="Times New Roman"/>
          <w:b w:val="0"/>
          <w:i w:val="0"/>
          <w:color w:val="000000"/>
          <w:sz w:val="22"/>
        </w:rPr>
        <w:t>¿Qué meses superaron la referencia estacional entre 2009 y 2019?</w:t>
      </w:r>
    </w:p>
    <w:p>
      <w:pPr>
        <w:pStyle w:val="ListBullet"/>
        <w:spacing w:before="0" w:after="60" w:line="259" w:lineRule="auto"/>
        <w:ind w:left="360" w:hanging="259"/>
        <w:jc w:val="both"/>
      </w:pPr>
      <w:r>
        <w:rPr>
          <w:rFonts w:ascii="Times New Roman" w:hAnsi="Times New Roman" w:eastAsia="Times New Roman"/>
          <w:b w:val="0"/>
          <w:i w:val="0"/>
          <w:color w:val="000000"/>
          <w:sz w:val="22"/>
        </w:rPr>
        <w:t>¿Qué error registran tres modelos simples y cómo difieren las estimaciones LSTM de las observaciones?</w:t>
      </w:r>
    </w:p>
    <w:p>
      <w:pPr>
        <w:pStyle w:val="ListBullet"/>
        <w:spacing w:before="0" w:after="60" w:line="259" w:lineRule="auto"/>
        <w:ind w:left="360" w:hanging="259"/>
        <w:jc w:val="both"/>
      </w:pPr>
      <w:r>
        <w:rPr>
          <w:rFonts w:ascii="Times New Roman" w:hAnsi="Times New Roman" w:eastAsia="Times New Roman"/>
          <w:b w:val="0"/>
          <w:i w:val="0"/>
          <w:color w:val="000000"/>
          <w:sz w:val="22"/>
        </w:rPr>
        <w:t>¿Qué periodos tienen cobertura comparable y qué cambios de fuente limitan las conclusiones?</w:t>
      </w:r>
    </w:p>
    <w:p>
      <w:pPr>
        <w:keepNext/>
        <w:spacing w:before="200" w:after="100"/>
        <w:jc w:val="left"/>
      </w:pPr>
      <w:r>
        <w:rPr>
          <w:rFonts w:ascii="Times New Roman" w:hAnsi="Times New Roman" w:eastAsia="Times New Roman"/>
          <w:b/>
          <w:i w:val="0"/>
          <w:color w:val="000000"/>
          <w:sz w:val="22"/>
        </w:rPr>
        <w:t>Alcance de la versión final</w:t>
      </w:r>
    </w:p>
    <w:p>
      <w:pPr>
        <w:keepNext w:val="0"/>
        <w:spacing w:before="0" w:after="120" w:line="259" w:lineRule="auto"/>
        <w:jc w:val="both"/>
      </w:pPr>
      <w:r>
        <w:rPr>
          <w:rFonts w:ascii="Times New Roman" w:hAnsi="Times New Roman" w:eastAsia="Times New Roman"/>
          <w:b w:val="0"/>
          <w:i w:val="0"/>
          <w:color w:val="000000"/>
          <w:sz w:val="22"/>
        </w:rPr>
        <w:t>Se incluyen ocho gráficas: evolución temporal, vías del mes seleccionado, evolución regional, ranking de países, ranking de fronteras, índice estacional, error de modelos y observaciones frente a estimaciones LSTM. Las tarjetas, los controles y la tabla de métricas son complementarios y no se cuentan como visualizaciones.</w:t>
      </w:r>
    </w:p>
    <w:p>
      <w:pPr>
        <w:keepNext w:val="0"/>
        <w:spacing w:before="0" w:after="120" w:line="259" w:lineRule="auto"/>
        <w:jc w:val="both"/>
      </w:pPr>
      <w:r>
        <w:rPr>
          <w:rFonts w:ascii="Times New Roman" w:hAnsi="Times New Roman" w:eastAsia="Times New Roman"/>
          <w:b w:val="0"/>
          <w:i w:val="0"/>
          <w:color w:val="000000"/>
          <w:sz w:val="22"/>
        </w:rPr>
        <w:t>Se reutilizan resultados de los laboratorios 1 y 2, sin entrenar modelos nuevos. La consulta histórica permite agregar por mes, trimestre o año y acotar los meses incluidos. Las métricas y el índice estacional conservan sus periodos fijos. El tablero no identifica causas, no estima personas únicas y no genera pronósticos futuros.</w:t>
      </w:r>
    </w:p>
    <w:p>
      <w:pPr>
        <w:keepNext/>
        <w:spacing w:before="200" w:after="100"/>
        <w:jc w:val="left"/>
      </w:pPr>
      <w:r>
        <w:rPr>
          <w:rFonts w:ascii="Times New Roman" w:hAnsi="Times New Roman" w:eastAsia="Times New Roman"/>
          <w:b/>
          <w:i w:val="0"/>
          <w:color w:val="000000"/>
          <w:sz w:val="22"/>
        </w:rPr>
        <w:t>Datos empleados</w:t>
      </w:r>
    </w:p>
    <w:p>
      <w:pPr>
        <w:keepNext w:val="0"/>
        <w:spacing w:before="0" w:after="120" w:line="259" w:lineRule="auto"/>
        <w:jc w:val="both"/>
      </w:pPr>
      <w:r>
        <w:rPr>
          <w:rFonts w:ascii="Times New Roman" w:hAnsi="Times New Roman" w:eastAsia="Times New Roman"/>
          <w:b w:val="0"/>
          <w:i w:val="0"/>
          <w:color w:val="000000"/>
          <w:sz w:val="22"/>
        </w:rPr>
        <w:t>La fuente principal es Base_Migracion_2009-2026jun.xlsx, hoja Datos, con 161,036 registros y 13 variables. Se conservan Turista y Excursionista y se excluyen Viajero y la categoría independiente Cruceristas. La cantidad Viajero representa ingresos registrados; una misma persona puede aparecer en varios ingresos.</w:t>
      </w:r>
    </w:p>
    <w:p>
      <w:pPr>
        <w:keepNext w:val="0"/>
        <w:spacing w:before="0" w:after="120" w:line="259" w:lineRule="auto"/>
        <w:jc w:val="both"/>
      </w:pPr>
      <w:r>
        <w:rPr>
          <w:rFonts w:ascii="Times New Roman" w:hAnsi="Times New Roman" w:eastAsia="Times New Roman"/>
          <w:b w:val="0"/>
          <w:i w:val="0"/>
          <w:color w:val="000000"/>
          <w:sz w:val="22"/>
        </w:rPr>
        <w:t>El filtro conserva 137,642 registros. La serie contiene 210 meses y suma 46,711,912.89 ingresos entre enero de 2009 y junio de 2026. El 59.1 % corresponde a la vía terrestre y diciembre de 2019 registra el máximo mensual. Las sumas por país, región, frontera y vía reproducen el total mensual del avance.</w:t>
      </w:r>
    </w:p>
    <w:p>
      <w:pPr>
        <w:keepNext/>
        <w:spacing w:before="200" w:after="100"/>
        <w:jc w:val="left"/>
      </w:pPr>
      <w:r>
        <w:rPr>
          <w:rFonts w:ascii="Times New Roman" w:hAnsi="Times New Roman" w:eastAsia="Times New Roman"/>
          <w:b/>
          <w:i w:val="0"/>
          <w:color w:val="000000"/>
          <w:sz w:val="22"/>
        </w:rPr>
        <w:t>Preparación y limitaciones de los datos</w:t>
      </w:r>
    </w:p>
    <w:p>
      <w:pPr>
        <w:keepNext w:val="0"/>
        <w:spacing w:before="0" w:after="120" w:line="259" w:lineRule="auto"/>
        <w:jc w:val="both"/>
      </w:pPr>
      <w:r>
        <w:rPr>
          <w:rFonts w:ascii="Times New Roman" w:hAnsi="Times New Roman" w:eastAsia="Times New Roman"/>
          <w:b w:val="0"/>
          <w:i w:val="0"/>
          <w:color w:val="000000"/>
          <w:sz w:val="22"/>
        </w:rPr>
        <w:t>El proceso conserva los originales en data/raw y genera agregados en data/processed mediante src/preparar_datos.py. Se valida continuidad de meses, cantidades no negativas y conservación del total. El archivo auditoria.json registra conteos y huellas SHA256. El índice estacional usa años completos de 2009 a 2019. Las métricas de modelos se copian de resultados guardados; no se ajustan modelos.</w:t>
      </w:r>
    </w:p>
    <w:p>
      <w:pPr>
        <w:pStyle w:val="ListBullet"/>
        <w:spacing w:before="0" w:after="60" w:line="259" w:lineRule="auto"/>
        <w:ind w:left="360" w:hanging="259"/>
        <w:jc w:val="both"/>
      </w:pPr>
      <w:r>
        <w:rPr>
          <w:rFonts w:ascii="Times New Roman" w:hAnsi="Times New Roman" w:eastAsia="Times New Roman"/>
          <w:b w:val="0"/>
          <w:i w:val="0"/>
          <w:color w:val="000000"/>
          <w:sz w:val="22"/>
        </w:rPr>
        <w:t>La base fue preparada para fines académicos y no constituye una publicación oficial.</w:t>
      </w:r>
    </w:p>
    <w:p>
      <w:pPr>
        <w:pStyle w:val="ListBullet"/>
        <w:spacing w:before="0" w:after="60" w:line="259" w:lineRule="auto"/>
        <w:ind w:left="360" w:hanging="259"/>
        <w:jc w:val="both"/>
      </w:pPr>
      <w:r>
        <w:rPr>
          <w:rFonts w:ascii="Times New Roman" w:hAnsi="Times New Roman" w:eastAsia="Times New Roman"/>
          <w:b w:val="0"/>
          <w:i w:val="0"/>
          <w:color w:val="000000"/>
          <w:sz w:val="22"/>
        </w:rPr>
        <w:t>Las fuentes cambian entre 2009-2020, 2021-2022 y 2023-2026.</w:t>
      </w:r>
    </w:p>
    <w:p>
      <w:pPr>
        <w:pStyle w:val="ListBullet"/>
        <w:spacing w:before="0" w:after="60" w:line="259" w:lineRule="auto"/>
        <w:ind w:left="360" w:hanging="259"/>
        <w:jc w:val="both"/>
      </w:pPr>
      <w:r>
        <w:rPr>
          <w:rFonts w:ascii="Times New Roman" w:hAnsi="Times New Roman" w:eastAsia="Times New Roman"/>
          <w:b w:val="0"/>
          <w:i w:val="0"/>
          <w:color w:val="000000"/>
          <w:sz w:val="22"/>
        </w:rPr>
        <w:t>Desde 2023 cambian la metodología y el detalle disponible por país.</w:t>
      </w:r>
    </w:p>
    <w:p>
      <w:pPr>
        <w:pStyle w:val="ListBullet"/>
        <w:spacing w:before="0" w:after="60" w:line="259" w:lineRule="auto"/>
        <w:ind w:left="360" w:hanging="259"/>
        <w:jc w:val="both"/>
      </w:pPr>
      <w:r>
        <w:rPr>
          <w:rFonts w:ascii="Times New Roman" w:hAnsi="Times New Roman" w:eastAsia="Times New Roman"/>
          <w:b w:val="0"/>
          <w:i w:val="0"/>
          <w:color w:val="000000"/>
          <w:sz w:val="22"/>
        </w:rPr>
        <w:t>La vía marítima pierde detalle desde 2017.</w:t>
      </w:r>
    </w:p>
    <w:p>
      <w:pPr>
        <w:pStyle w:val="ListBullet"/>
        <w:spacing w:before="0" w:after="60" w:line="259" w:lineRule="auto"/>
        <w:ind w:left="360" w:hanging="259"/>
        <w:jc w:val="both"/>
      </w:pPr>
      <w:r>
        <w:rPr>
          <w:rFonts w:ascii="Times New Roman" w:hAnsi="Times New Roman" w:eastAsia="Times New Roman"/>
          <w:b w:val="0"/>
          <w:i w:val="0"/>
          <w:color w:val="000000"/>
          <w:sz w:val="22"/>
        </w:rPr>
        <w:t>Los años 2020 y 2021 son atípicos; 2026 contiene solamente enero-junio.</w:t>
      </w:r>
    </w:p>
    <w:p>
      <w:pPr>
        <w:pStyle w:val="ListBullet"/>
        <w:spacing w:before="0" w:after="60" w:line="259" w:lineRule="auto"/>
        <w:ind w:left="360" w:hanging="259"/>
        <w:jc w:val="both"/>
      </w:pPr>
      <w:r>
        <w:rPr>
          <w:rFonts w:ascii="Times New Roman" w:hAnsi="Times New Roman" w:eastAsia="Times New Roman"/>
          <w:b w:val="0"/>
          <w:i w:val="0"/>
          <w:color w:val="000000"/>
          <w:sz w:val="22"/>
        </w:rPr>
        <w:t>Los valores decimales corresponden a expansiones de encuesta.</w:t>
      </w:r>
    </w:p>
    <w:p>
      <w:pPr>
        <w:keepNext/>
        <w:spacing w:before="200" w:after="100"/>
        <w:jc w:val="left"/>
      </w:pPr>
      <w:r>
        <w:rPr>
          <w:rFonts w:ascii="Times New Roman" w:hAnsi="Times New Roman" w:eastAsia="Times New Roman"/>
          <w:b/>
          <w:i w:val="0"/>
          <w:color w:val="000000"/>
          <w:sz w:val="22"/>
        </w:rPr>
        <w:t>Diseño visual</w:t>
      </w:r>
    </w:p>
    <w:p>
      <w:pPr>
        <w:keepNext/>
        <w:spacing w:before="0" w:after="120" w:line="259" w:lineRule="auto"/>
        <w:jc w:val="both"/>
      </w:pPr>
      <w:r>
        <w:rPr>
          <w:rFonts w:ascii="Times New Roman" w:hAnsi="Times New Roman" w:eastAsia="Times New Roman"/>
          <w:b w:val="0"/>
          <w:i w:val="0"/>
          <w:color w:val="000000"/>
          <w:sz w:val="22"/>
        </w:rPr>
        <w:t>Se conserva la paleta del avance. Azul profundo identifica observaciones; turquesa y verde gris apoyan comparaciones; ocre señala la referencia; coral distingue estimaciones y periodos atípicos. El gris y un violeta auxiliar separan categorías regionales. Fondo claro y texto oscuro sostienen la legibilidad. La predicción también usa línea discontinua y las leyendas explican cada serie, de modo que el color no sea la única señal.</w:t>
      </w:r>
    </w:p>
    <w:p>
      <w:pPr>
        <w:keepNext/>
        <w:spacing w:before="60" w:after="40"/>
        <w:jc w:val="center"/>
      </w:pPr>
      <w:r>
        <w:drawing>
          <wp:inline xmlns:a="http://schemas.openxmlformats.org/drawingml/2006/main" xmlns:pic="http://schemas.openxmlformats.org/drawingml/2006/picture">
            <wp:extent cx="5715000" cy="1497346"/>
            <wp:docPr id="2" name="Picture 2"/>
            <wp:cNvGraphicFramePr>
              <a:graphicFrameLocks noChangeAspect="1"/>
            </wp:cNvGraphicFramePr>
            <a:graphic>
              <a:graphicData uri="http://schemas.openxmlformats.org/drawingml/2006/picture">
                <pic:pic>
                  <pic:nvPicPr>
                    <pic:cNvPr id="0" name="paleta.png"/>
                    <pic:cNvPicPr/>
                  </pic:nvPicPr>
                  <pic:blipFill>
                    <a:blip r:embed="rId12"/>
                    <a:stretch>
                      <a:fillRect/>
                    </a:stretch>
                  </pic:blipFill>
                  <pic:spPr>
                    <a:xfrm>
                      <a:off x="0" y="0"/>
                      <a:ext cx="5715000" cy="1497346"/>
                    </a:xfrm>
                    <a:prstGeom prst="rect"/>
                  </pic:spPr>
                </pic:pic>
              </a:graphicData>
            </a:graphic>
          </wp:inline>
        </w:drawing>
      </w:r>
    </w:p>
    <w:p>
      <w:pPr>
        <w:spacing w:after="140"/>
        <w:jc w:val="center"/>
      </w:pPr>
      <w:r>
        <w:rPr>
          <w:rFonts w:ascii="Times New Roman" w:hAnsi="Times New Roman" w:eastAsia="Times New Roman"/>
          <w:b w:val="0"/>
          <w:i/>
          <w:color w:val="000000"/>
          <w:sz w:val="18"/>
        </w:rPr>
        <w:t>Paleta utilizada en el tablero.</w:t>
      </w:r>
    </w:p>
    <w:p>
      <w:pPr>
        <w:keepNext w:val="0"/>
        <w:spacing w:before="0" w:after="120" w:line="259" w:lineRule="auto"/>
        <w:jc w:val="both"/>
      </w:pPr>
      <w:r>
        <w:rPr>
          <w:rFonts w:ascii="Times New Roman" w:hAnsi="Times New Roman" w:eastAsia="Times New Roman"/>
          <w:b w:val="0"/>
          <w:i w:val="0"/>
          <w:color w:val="000000"/>
          <w:sz w:val="22"/>
        </w:rPr>
        <w:t>La interfaz usa la fuente sans serif de Streamlit para favorecer la lectura en pantalla. La jerarquía distingue título, secciones y notas; las gráficas muestran unidades y valores exactos al pasar el cursor. El selector de mes ofrece una alternativa al clic sobre un punto. Los controles visibles permiten corregir la consulta sin perder el contexto.</w:t>
      </w:r>
    </w:p>
    <w:p>
      <w:pPr>
        <w:keepNext/>
        <w:spacing w:before="200" w:after="100"/>
        <w:jc w:val="left"/>
      </w:pPr>
      <w:r>
        <w:rPr>
          <w:rFonts w:ascii="Times New Roman" w:hAnsi="Times New Roman" w:eastAsia="Times New Roman"/>
          <w:b/>
          <w:i w:val="0"/>
          <w:color w:val="000000"/>
          <w:sz w:val="22"/>
        </w:rPr>
        <w:t>Bosquejo de interfaz y navegación</w:t>
      </w:r>
    </w:p>
    <w:p>
      <w:pPr>
        <w:keepNext/>
        <w:spacing w:before="0" w:after="120" w:line="259" w:lineRule="auto"/>
        <w:jc w:val="both"/>
      </w:pPr>
      <w:r>
        <w:rPr>
          <w:rFonts w:ascii="Times New Roman" w:hAnsi="Times New Roman" w:eastAsia="Times New Roman"/>
          <w:b w:val="0"/>
          <w:i w:val="0"/>
          <w:color w:val="000000"/>
          <w:sz w:val="22"/>
        </w:rPr>
        <w:t>La barra lateral permite seleccionar años, meses, escala temporal y gráficas visibles. Exploración contiene los indicadores, la serie y su desglose enlazado. Mercados y acceso reúne regiones, países y fronteras. Estacionalidad y modelos presenta referencias históricas y evaluación predictiva. Metodología contiene definiciones, advertencias y descargas. Cada vista incluye la pregunta de gestión y su alcance.</w:t>
      </w:r>
    </w:p>
    <w:p>
      <w:pPr>
        <w:keepNext/>
        <w:spacing w:before="60" w:after="40"/>
        <w:jc w:val="center"/>
      </w:pPr>
      <w:r>
        <w:drawing>
          <wp:inline xmlns:a="http://schemas.openxmlformats.org/drawingml/2006/main" xmlns:pic="http://schemas.openxmlformats.org/drawingml/2006/picture">
            <wp:extent cx="5623560" cy="2811780"/>
            <wp:docPr id="3" name="Picture 3"/>
            <wp:cNvGraphicFramePr>
              <a:graphicFrameLocks noChangeAspect="1"/>
            </wp:cNvGraphicFramePr>
            <a:graphic>
              <a:graphicData uri="http://schemas.openxmlformats.org/drawingml/2006/picture">
                <pic:pic>
                  <pic:nvPicPr>
                    <pic:cNvPr id="0" name="bosquejo_interfaz.png"/>
                    <pic:cNvPicPr/>
                  </pic:nvPicPr>
                  <pic:blipFill>
                    <a:blip r:embed="rId13"/>
                    <a:stretch>
                      <a:fillRect/>
                    </a:stretch>
                  </pic:blipFill>
                  <pic:spPr>
                    <a:xfrm>
                      <a:off x="0" y="0"/>
                      <a:ext cx="5623560" cy="2811780"/>
                    </a:xfrm>
                    <a:prstGeom prst="rect"/>
                  </pic:spPr>
                </pic:pic>
              </a:graphicData>
            </a:graphic>
          </wp:inline>
        </w:drawing>
      </w:r>
    </w:p>
    <w:p>
      <w:pPr>
        <w:spacing w:after="140"/>
        <w:jc w:val="center"/>
      </w:pPr>
      <w:r>
        <w:rPr>
          <w:rFonts w:ascii="Times New Roman" w:hAnsi="Times New Roman" w:eastAsia="Times New Roman"/>
          <w:b w:val="0"/>
          <w:i/>
          <w:color w:val="000000"/>
          <w:sz w:val="18"/>
        </w:rPr>
        <w:t>Bosquejo de navegación y de las ocho visualizaciones de la versión final.</w:t>
      </w:r>
    </w:p>
    <w:p>
      <w:pPr>
        <w:keepNext/>
        <w:spacing w:before="200" w:after="100"/>
        <w:jc w:val="left"/>
      </w:pPr>
      <w:r>
        <w:rPr>
          <w:rFonts w:ascii="Times New Roman" w:hAnsi="Times New Roman" w:eastAsia="Times New Roman"/>
          <w:b/>
          <w:i w:val="0"/>
          <w:color w:val="000000"/>
          <w:sz w:val="22"/>
        </w:rPr>
        <w:t>Herramienta seleccionada</w:t>
      </w:r>
    </w:p>
    <w:p>
      <w:pPr>
        <w:keepNext w:val="0"/>
        <w:spacing w:before="0" w:after="120" w:line="259" w:lineRule="auto"/>
        <w:jc w:val="both"/>
      </w:pPr>
      <w:r>
        <w:rPr>
          <w:rFonts w:ascii="Times New Roman" w:hAnsi="Times New Roman" w:eastAsia="Times New Roman"/>
          <w:b w:val="0"/>
          <w:i w:val="0"/>
          <w:color w:val="000000"/>
          <w:sz w:val="22"/>
        </w:rPr>
        <w:t>Streamlit permite integrar controles, mensajes y navegación con Python, el lenguaje empleado en los laboratorios anteriores. Plotly aporta zoom, leyendas interactivas, valores emergentes y selección de puntos. El evento de selección actualiza el mes consultado y las barras por vía. Pandas realiza agregaciones explícitas sin volver a ajustar modelos. Son herramientas gratuitas y de código abierto adecuadas para un tablero académico reproducible.</w:t>
      </w:r>
    </w:p>
    <w:p>
      <w:pPr>
        <w:keepNext w:val="0"/>
        <w:spacing w:before="0" w:after="120" w:line="259" w:lineRule="auto"/>
        <w:jc w:val="both"/>
      </w:pPr>
      <w:r>
        <w:rPr>
          <w:rFonts w:ascii="Times New Roman" w:hAnsi="Times New Roman" w:eastAsia="Times New Roman"/>
          <w:b w:val="0"/>
          <w:i w:val="0"/>
          <w:color w:val="000000"/>
          <w:sz w:val="22"/>
        </w:rPr>
        <w:t>Desde la raíz se instalan requirements.txt, se ejecuta python -m src.preparar_datos y se abre python -m streamlit run app.py. Si faltan los procesados, la primera apertura los genera. El proyecto adopta src, notebooks, data/raw y data/processed según la referencia del curso. app.py mantiene el comando del avance; las fuentes y resultados guardados permiten ejecutarlo sin servicios externos.</w:t>
      </w:r>
    </w:p>
    <w:p>
      <w:pPr>
        <w:keepNext/>
        <w:spacing w:before="200" w:after="100"/>
        <w:jc w:val="left"/>
      </w:pPr>
      <w:r>
        <w:rPr>
          <w:rFonts w:ascii="Times New Roman" w:hAnsi="Times New Roman" w:eastAsia="Times New Roman"/>
          <w:b/>
          <w:i w:val="0"/>
          <w:color w:val="000000"/>
          <w:sz w:val="22"/>
        </w:rPr>
        <w:t>Ocho visualizaciones funcionales</w:t>
      </w:r>
    </w:p>
    <w:p>
      <w:pPr>
        <w:keepNext/>
        <w:spacing w:before="200" w:after="100"/>
        <w:jc w:val="left"/>
      </w:pPr>
      <w:r>
        <w:rPr>
          <w:rFonts w:ascii="Times New Roman" w:hAnsi="Times New Roman" w:eastAsia="Times New Roman"/>
          <w:b/>
          <w:i w:val="0"/>
          <w:color w:val="000000"/>
          <w:sz w:val="22"/>
        </w:rPr>
        <w:t>1 Evolución del ingreso de visitantes</w:t>
      </w:r>
    </w:p>
    <w:p>
      <w:pPr>
        <w:keepNext/>
        <w:spacing w:before="0" w:after="120" w:line="259" w:lineRule="auto"/>
        <w:jc w:val="both"/>
      </w:pPr>
      <w:r>
        <w:rPr>
          <w:rFonts w:ascii="Times New Roman" w:hAnsi="Times New Roman" w:eastAsia="Times New Roman"/>
          <w:b w:val="0"/>
          <w:i w:val="0"/>
          <w:color w:val="000000"/>
          <w:sz w:val="22"/>
        </w:rPr>
        <w:t>La línea permite seguir cambios en el tiempo, una tarea adecuada para una serie ordenada. El usuario filtra años y meses, cambia entre mes, trimestre y año, usa zoom y selecciona un punto. La selección actualiza la gráfica de vías. Un punto trimestral o anual abre su último mes disponible; el selector permite consultar otros meses. Los agregados suman solamente los meses incluidos en el filtro.</w:t>
      </w:r>
    </w:p>
    <w:p>
      <w:pPr>
        <w:keepNext/>
        <w:spacing w:before="60" w:after="40"/>
        <w:jc w:val="center"/>
      </w:pPr>
      <w:r>
        <w:drawing>
          <wp:inline xmlns:a="http://schemas.openxmlformats.org/drawingml/2006/main" xmlns:pic="http://schemas.openxmlformats.org/drawingml/2006/picture">
            <wp:extent cx="5715000" cy="2410013"/>
            <wp:docPr id="4" name="Picture 4"/>
            <wp:cNvGraphicFramePr>
              <a:graphicFrameLocks noChangeAspect="1"/>
            </wp:cNvGraphicFramePr>
            <a:graphic>
              <a:graphicData uri="http://schemas.openxmlformats.org/drawingml/2006/picture">
                <pic:pic>
                  <pic:nvPicPr>
                    <pic:cNvPr id="0" name="evolucion_mensual.png"/>
                    <pic:cNvPicPr/>
                  </pic:nvPicPr>
                  <pic:blipFill>
                    <a:blip r:embed="rId14"/>
                    <a:stretch>
                      <a:fillRect/>
                    </a:stretch>
                  </pic:blipFill>
                  <pic:spPr>
                    <a:xfrm>
                      <a:off x="0" y="0"/>
                      <a:ext cx="5715000" cy="2410013"/>
                    </a:xfrm>
                    <a:prstGeom prst="rect"/>
                  </pic:spPr>
                </pic:pic>
              </a:graphicData>
            </a:graphic>
          </wp:inline>
        </w:drawing>
      </w:r>
    </w:p>
    <w:p>
      <w:pPr>
        <w:spacing w:after="140"/>
        <w:jc w:val="center"/>
      </w:pPr>
      <w:r>
        <w:rPr>
          <w:rFonts w:ascii="Times New Roman" w:hAnsi="Times New Roman" w:eastAsia="Times New Roman"/>
          <w:b w:val="0"/>
          <w:i/>
          <w:color w:val="000000"/>
          <w:sz w:val="18"/>
        </w:rPr>
        <w:t>Serie mensual observada. El sombreado identifica el periodo atípico 2020 y 2021.</w:t>
      </w:r>
    </w:p>
    <w:p>
      <w:pPr>
        <w:keepNext/>
        <w:spacing w:before="200" w:after="100"/>
        <w:jc w:val="left"/>
      </w:pPr>
      <w:r>
        <w:rPr>
          <w:rFonts w:ascii="Times New Roman" w:hAnsi="Times New Roman" w:eastAsia="Times New Roman"/>
          <w:b/>
          <w:i w:val="0"/>
          <w:color w:val="000000"/>
          <w:sz w:val="22"/>
        </w:rPr>
        <w:t>2 Vía de ingreso del mes seleccionado</w:t>
      </w:r>
    </w:p>
    <w:p>
      <w:pPr>
        <w:keepNext/>
        <w:spacing w:before="0" w:after="120" w:line="259" w:lineRule="auto"/>
        <w:jc w:val="both"/>
      </w:pPr>
      <w:r>
        <w:rPr>
          <w:rFonts w:ascii="Times New Roman" w:hAnsi="Times New Roman" w:eastAsia="Times New Roman"/>
          <w:b w:val="0"/>
          <w:i w:val="0"/>
          <w:color w:val="000000"/>
          <w:sz w:val="22"/>
        </w:rPr>
        <w:t>Las barras comparan tres cantidades con una base común, lo que facilita distinguir diferencias entre vías. Reciben el mes seleccionado en la serie y permiten examinar valores exactos o ampliar una zona. El selector de mes conserva una alternativa accesible. Al cambiar el periodo, una selección que queda fuera del filtro se reinicia al último mes disponible. Esta vista ayuda a revisar capacidad de acceso, con reservas sobre el registro marítimo desde 2017.</w:t>
      </w:r>
    </w:p>
    <w:p>
      <w:pPr>
        <w:keepNext/>
        <w:spacing w:before="60" w:after="40"/>
        <w:jc w:val="center"/>
      </w:pPr>
      <w:r>
        <w:drawing>
          <wp:inline xmlns:a="http://schemas.openxmlformats.org/drawingml/2006/main" xmlns:pic="http://schemas.openxmlformats.org/drawingml/2006/picture">
            <wp:extent cx="5166360" cy="2548518"/>
            <wp:docPr id="5" name="Picture 5"/>
            <wp:cNvGraphicFramePr>
              <a:graphicFrameLocks noChangeAspect="1"/>
            </wp:cNvGraphicFramePr>
            <a:graphic>
              <a:graphicData uri="http://schemas.openxmlformats.org/drawingml/2006/picture">
                <pic:pic>
                  <pic:nvPicPr>
                    <pic:cNvPr id="0" name="vias_diciembre_2019.png"/>
                    <pic:cNvPicPr/>
                  </pic:nvPicPr>
                  <pic:blipFill>
                    <a:blip r:embed="rId15"/>
                    <a:stretch>
                      <a:fillRect/>
                    </a:stretch>
                  </pic:blipFill>
                  <pic:spPr>
                    <a:xfrm>
                      <a:off x="0" y="0"/>
                      <a:ext cx="5166360" cy="2548518"/>
                    </a:xfrm>
                    <a:prstGeom prst="rect"/>
                  </pic:spPr>
                </pic:pic>
              </a:graphicData>
            </a:graphic>
          </wp:inline>
        </w:drawing>
      </w:r>
    </w:p>
    <w:p>
      <w:pPr>
        <w:spacing w:after="140"/>
        <w:jc w:val="center"/>
      </w:pPr>
      <w:r>
        <w:rPr>
          <w:rFonts w:ascii="Times New Roman" w:hAnsi="Times New Roman" w:eastAsia="Times New Roman"/>
          <w:b w:val="0"/>
          <w:i/>
          <w:color w:val="000000"/>
          <w:sz w:val="18"/>
        </w:rPr>
        <w:t>Ejemplo del desglose enlazado para diciembre de 2019.</w:t>
      </w:r>
    </w:p>
    <w:p>
      <w:pPr>
        <w:keepNext/>
        <w:spacing w:before="200" w:after="100"/>
        <w:jc w:val="left"/>
      </w:pPr>
      <w:r>
        <w:rPr>
          <w:rFonts w:ascii="Times New Roman" w:hAnsi="Times New Roman" w:eastAsia="Times New Roman"/>
          <w:b/>
          <w:i w:val="0"/>
          <w:color w:val="000000"/>
          <w:sz w:val="22"/>
        </w:rPr>
        <w:t>3 Evolución por región de residencia</w:t>
      </w:r>
    </w:p>
    <w:p>
      <w:pPr>
        <w:keepNext/>
        <w:spacing w:before="0" w:after="120" w:line="259" w:lineRule="auto"/>
        <w:jc w:val="both"/>
      </w:pPr>
      <w:r>
        <w:rPr>
          <w:rFonts w:ascii="Times New Roman" w:hAnsi="Times New Roman" w:eastAsia="Times New Roman"/>
          <w:b w:val="0"/>
          <w:i w:val="0"/>
          <w:color w:val="000000"/>
          <w:sz w:val="22"/>
        </w:rPr>
        <w:t>Las líneas muestran la trayectoria de las cuatro regiones con mayor flujo del periodo y agrupan el resto en Otras regiones para evitar una leyenda saturada. El usuario cambia años, meses y nivel temporal y oculta series con la leyenda. El selector regional restringe el ranking de países. Esta vista ayuda a revisar diferencias entre mercados; las categorías se conservan como aparecen en la fuente, sin atribuir causas.</w:t>
      </w:r>
    </w:p>
    <w:p>
      <w:pPr>
        <w:keepNext/>
        <w:spacing w:before="60" w:after="40"/>
        <w:jc w:val="center"/>
      </w:pPr>
      <w:r>
        <w:drawing>
          <wp:inline xmlns:a="http://schemas.openxmlformats.org/drawingml/2006/main" xmlns:pic="http://schemas.openxmlformats.org/drawingml/2006/picture">
            <wp:extent cx="5166360" cy="2178652"/>
            <wp:docPr id="100" name="regiones.png" descr="Evolución regional con cuatro categorías principales y el resto agrupado."/>
            <wp:cNvGraphicFramePr>
              <a:graphicFrameLocks noChangeAspect="1"/>
            </wp:cNvGraphicFramePr>
            <a:graphic>
              <a:graphicData uri="http://schemas.openxmlformats.org/drawingml/2006/picture">
                <pic:pic>
                  <pic:nvPicPr>
                    <pic:cNvPr id="0" name="vias_diciembre_2019.png"/>
                    <pic:cNvPicPr/>
                  </pic:nvPicPr>
                  <pic:blipFill>
                    <a:blip r:embed="rId19"/>
                    <a:stretch>
                      <a:fillRect/>
                    </a:stretch>
                  </pic:blipFill>
                  <pic:spPr>
                    <a:xfrm>
                      <a:off x="0" y="0"/>
                      <a:ext cx="5166360" cy="2178652"/>
                    </a:xfrm>
                    <a:prstGeom prst="rect"/>
                  </pic:spPr>
                </pic:pic>
              </a:graphicData>
            </a:graphic>
          </wp:inline>
        </w:drawing>
      </w:r>
    </w:p>
    <w:p>
      <w:pPr>
        <w:spacing w:after="140"/>
        <w:jc w:val="center"/>
      </w:pPr>
      <w:r>
        <w:rPr>
          <w:rFonts w:ascii="Times New Roman" w:hAnsi="Times New Roman" w:eastAsia="Times New Roman"/>
          <w:b w:val="0"/>
          <w:i/>
          <w:color w:val="000000"/>
          <w:sz w:val="18"/>
        </w:rPr>
        <w:t>Evolución regional con cuatro categorías principales y el resto agrupado.</w:t>
      </w:r>
    </w:p>
    <w:p>
      <w:pPr>
        <w:keepNext/>
        <w:spacing w:before="200" w:after="100"/>
        <w:jc w:val="left"/>
      </w:pPr>
      <w:r>
        <w:rPr>
          <w:rFonts w:ascii="Times New Roman" w:hAnsi="Times New Roman" w:eastAsia="Times New Roman"/>
          <w:b/>
          <w:i w:val="0"/>
          <w:color w:val="000000"/>
          <w:sz w:val="22"/>
        </w:rPr>
        <w:t>4 Países de residencia con mayor flujo</w:t>
      </w:r>
    </w:p>
    <w:p>
      <w:pPr>
        <w:keepNext/>
        <w:spacing w:before="0" w:after="120" w:line="259" w:lineRule="auto"/>
        <w:jc w:val="both"/>
      </w:pPr>
      <w:r>
        <w:rPr>
          <w:rFonts w:ascii="Times New Roman" w:hAnsi="Times New Roman" w:eastAsia="Times New Roman"/>
          <w:b w:val="0"/>
          <w:i w:val="0"/>
          <w:color w:val="000000"/>
          <w:sz w:val="22"/>
        </w:rPr>
        <w:t>Las barras horizontales facilitan comparar cantidades y leer nombres largos. El ranking responde a los años, los meses, la región y la cantidad de países seleccionada entre 3 y 20. Los valores emergentes muestran cantidades exactas. Su utilidad es localizar mercados con mayor volumen, considerando el cambio de detalle por país desde 2023.</w:t>
      </w:r>
    </w:p>
    <w:p>
      <w:pPr>
        <w:keepNext/>
        <w:spacing w:before="60" w:after="40"/>
        <w:jc w:val="center"/>
      </w:pPr>
      <w:r>
        <w:drawing>
          <wp:inline xmlns:a="http://schemas.openxmlformats.org/drawingml/2006/main" xmlns:pic="http://schemas.openxmlformats.org/drawingml/2006/picture">
            <wp:extent cx="5166360" cy="2177488"/>
            <wp:docPr id="101" name="mercados.png" descr="Ranking ilustrativo de países para toda la cobertura disponible."/>
            <wp:cNvGraphicFramePr>
              <a:graphicFrameLocks noChangeAspect="1"/>
            </wp:cNvGraphicFramePr>
            <a:graphic>
              <a:graphicData uri="http://schemas.openxmlformats.org/drawingml/2006/picture">
                <pic:pic>
                  <pic:nvPicPr>
                    <pic:cNvPr id="0" name="vias_diciembre_2019.png"/>
                    <pic:cNvPicPr/>
                  </pic:nvPicPr>
                  <pic:blipFill>
                    <a:blip r:embed="rId20"/>
                    <a:stretch>
                      <a:fillRect/>
                    </a:stretch>
                  </pic:blipFill>
                  <pic:spPr>
                    <a:xfrm>
                      <a:off x="0" y="0"/>
                      <a:ext cx="5166360" cy="2177488"/>
                    </a:xfrm>
                    <a:prstGeom prst="rect"/>
                  </pic:spPr>
                </pic:pic>
              </a:graphicData>
            </a:graphic>
          </wp:inline>
        </w:drawing>
      </w:r>
    </w:p>
    <w:p>
      <w:pPr>
        <w:spacing w:after="140"/>
        <w:jc w:val="center"/>
      </w:pPr>
      <w:r>
        <w:rPr>
          <w:rFonts w:ascii="Times New Roman" w:hAnsi="Times New Roman" w:eastAsia="Times New Roman"/>
          <w:b w:val="0"/>
          <w:i/>
          <w:color w:val="000000"/>
          <w:sz w:val="18"/>
        </w:rPr>
        <w:t>Ranking ilustrativo de países para toda la cobertura disponible.</w:t>
      </w:r>
    </w:p>
    <w:p>
      <w:pPr>
        <w:keepNext/>
        <w:spacing w:before="200" w:after="100"/>
        <w:jc w:val="left"/>
      </w:pPr>
      <w:r>
        <w:rPr>
          <w:rFonts w:ascii="Times New Roman" w:hAnsi="Times New Roman" w:eastAsia="Times New Roman"/>
          <w:b/>
          <w:i w:val="0"/>
          <w:color w:val="000000"/>
          <w:sz w:val="22"/>
        </w:rPr>
        <w:t>5 Puntos de ingreso con mayor flujo</w:t>
      </w:r>
    </w:p>
    <w:p>
      <w:pPr>
        <w:keepNext/>
        <w:spacing w:before="0" w:after="120" w:line="259" w:lineRule="auto"/>
        <w:jc w:val="both"/>
      </w:pPr>
      <w:r>
        <w:rPr>
          <w:rFonts w:ascii="Times New Roman" w:hAnsi="Times New Roman" w:eastAsia="Times New Roman"/>
          <w:b w:val="0"/>
          <w:i w:val="0"/>
          <w:color w:val="000000"/>
          <w:sz w:val="22"/>
        </w:rPr>
        <w:t>El ranking de barras horizontales permite comparar puntos de acceso con etiquetas legibles. El usuario filtra la vía, los años y los meses y cambia la cantidad de fronteras mostradas. Si no hay registros se presenta un mensaje explícito. Esta vista permite revisar concentración de ingresos, sin equiparar falta de detalle o ceros registrados con ausencia de actividad.</w:t>
      </w:r>
    </w:p>
    <w:p>
      <w:pPr>
        <w:keepNext/>
        <w:spacing w:before="60" w:after="40"/>
        <w:jc w:val="center"/>
      </w:pPr>
      <w:r>
        <w:drawing>
          <wp:inline xmlns:a="http://schemas.openxmlformats.org/drawingml/2006/main" xmlns:pic="http://schemas.openxmlformats.org/drawingml/2006/picture">
            <wp:extent cx="5166360" cy="2178652"/>
            <wp:docPr id="102" name="fronteras.png" descr="Ranking ilustrativo de fronteras con toda la cobertura disponible."/>
            <wp:cNvGraphicFramePr>
              <a:graphicFrameLocks noChangeAspect="1"/>
            </wp:cNvGraphicFramePr>
            <a:graphic>
              <a:graphicData uri="http://schemas.openxmlformats.org/drawingml/2006/picture">
                <pic:pic>
                  <pic:nvPicPr>
                    <pic:cNvPr id="0" name="vias_diciembre_2019.png"/>
                    <pic:cNvPicPr/>
                  </pic:nvPicPr>
                  <pic:blipFill>
                    <a:blip r:embed="rId21"/>
                    <a:stretch>
                      <a:fillRect/>
                    </a:stretch>
                  </pic:blipFill>
                  <pic:spPr>
                    <a:xfrm>
                      <a:off x="0" y="0"/>
                      <a:ext cx="5166360" cy="2178652"/>
                    </a:xfrm>
                    <a:prstGeom prst="rect"/>
                  </pic:spPr>
                </pic:pic>
              </a:graphicData>
            </a:graphic>
          </wp:inline>
        </w:drawing>
      </w:r>
    </w:p>
    <w:p>
      <w:pPr>
        <w:spacing w:after="140"/>
        <w:jc w:val="center"/>
      </w:pPr>
      <w:r>
        <w:rPr>
          <w:rFonts w:ascii="Times New Roman" w:hAnsi="Times New Roman" w:eastAsia="Times New Roman"/>
          <w:b w:val="0"/>
          <w:i/>
          <w:color w:val="000000"/>
          <w:sz w:val="18"/>
        </w:rPr>
        <w:t>Ranking ilustrativo de fronteras con toda la cobertura disponible.</w:t>
      </w:r>
    </w:p>
    <w:p>
      <w:pPr>
        <w:keepNext/>
        <w:spacing w:before="200" w:after="100"/>
        <w:jc w:val="left"/>
      </w:pPr>
      <w:r>
        <w:rPr>
          <w:rFonts w:ascii="Times New Roman" w:hAnsi="Times New Roman" w:eastAsia="Times New Roman"/>
          <w:b/>
          <w:i w:val="0"/>
          <w:color w:val="000000"/>
          <w:sz w:val="22"/>
        </w:rPr>
        <w:t>6 Índice estacional de referencia</w:t>
      </w:r>
    </w:p>
    <w:p>
      <w:pPr>
        <w:keepNext/>
        <w:spacing w:before="0" w:after="120" w:line="259" w:lineRule="auto"/>
        <w:jc w:val="both"/>
      </w:pPr>
      <w:r>
        <w:rPr>
          <w:rFonts w:ascii="Times New Roman" w:hAnsi="Times New Roman" w:eastAsia="Times New Roman"/>
          <w:b w:val="0"/>
          <w:i w:val="0"/>
          <w:color w:val="000000"/>
          <w:sz w:val="22"/>
        </w:rPr>
        <w:t>Las barras permiten comparar los doce meses con la línea de referencia 100. Para cada año completo de 2009 a 2019 se divide cada mes por el promedio de ese año y se promedian las razones entre años. Diciembre alcanza 134.9, aproximadamente 34.9 % sobre la referencia. El usuario examina valores y amplía la gráfica. Este patrón orienta escenarios de carga, sin asegurar que se repita en años futuros.</w:t>
      </w:r>
    </w:p>
    <w:p>
      <w:pPr>
        <w:keepNext/>
        <w:spacing w:before="60" w:after="40"/>
        <w:jc w:val="center"/>
      </w:pPr>
      <w:r>
        <w:drawing>
          <wp:inline xmlns:a="http://schemas.openxmlformats.org/drawingml/2006/main" xmlns:pic="http://schemas.openxmlformats.org/drawingml/2006/picture">
            <wp:extent cx="5257800" cy="2395841"/>
            <wp:docPr id="6" name="Picture 6"/>
            <wp:cNvGraphicFramePr>
              <a:graphicFrameLocks noChangeAspect="1"/>
            </wp:cNvGraphicFramePr>
            <a:graphic>
              <a:graphicData uri="http://schemas.openxmlformats.org/drawingml/2006/picture">
                <pic:pic>
                  <pic:nvPicPr>
                    <pic:cNvPr id="0" name="indice_estacional.png"/>
                    <pic:cNvPicPr/>
                  </pic:nvPicPr>
                  <pic:blipFill>
                    <a:blip r:embed="rId16"/>
                    <a:stretch>
                      <a:fillRect/>
                    </a:stretch>
                  </pic:blipFill>
                  <pic:spPr>
                    <a:xfrm>
                      <a:off x="0" y="0"/>
                      <a:ext cx="5257800" cy="2395841"/>
                    </a:xfrm>
                    <a:prstGeom prst="rect"/>
                  </pic:spPr>
                </pic:pic>
              </a:graphicData>
            </a:graphic>
          </wp:inline>
        </w:drawing>
      </w:r>
    </w:p>
    <w:p>
      <w:pPr>
        <w:spacing w:after="140"/>
        <w:jc w:val="center"/>
      </w:pPr>
      <w:r>
        <w:rPr>
          <w:rFonts w:ascii="Times New Roman" w:hAnsi="Times New Roman" w:eastAsia="Times New Roman"/>
          <w:b w:val="0"/>
          <w:i/>
          <w:color w:val="000000"/>
          <w:sz w:val="18"/>
        </w:rPr>
        <w:t>Índice estacional reproducido con años completos de 2009 a 2019.</w:t>
      </w:r>
    </w:p>
    <w:p>
      <w:pPr>
        <w:keepNext/>
        <w:spacing w:before="200" w:after="100"/>
        <w:jc w:val="left"/>
      </w:pPr>
      <w:r>
        <w:rPr>
          <w:rFonts w:ascii="Times New Roman" w:hAnsi="Times New Roman" w:eastAsia="Times New Roman"/>
          <w:b/>
          <w:i w:val="0"/>
          <w:color w:val="000000"/>
          <w:sz w:val="22"/>
        </w:rPr>
        <w:t>7 Error de modelos del Laboratorio 1</w:t>
      </w:r>
    </w:p>
    <w:p>
      <w:pPr>
        <w:keepNext/>
        <w:spacing w:before="0" w:after="120" w:line="259" w:lineRule="auto"/>
        <w:jc w:val="both"/>
        <w:keepLines w:val="true"/>
      </w:pPr>
      <w:r>
        <w:rPr>
          <w:rFonts w:ascii="Times New Roman" w:hAnsi="Times New Roman" w:eastAsia="Times New Roman"/>
          <w:b w:val="0"/>
          <w:i w:val="0"/>
          <w:color w:val="000000"/>
          <w:sz w:val="22"/>
        </w:rPr>
        <w:t>Las barras horizontales comparan el error con nombres de modelos legibles. La vista inicia con tres modelos simples: suavizamiento exponencial simple, Holt-Winters aditivo y Seasonal naive. Permite elegir modelos adicionales y alternar RMSE y MAE. Sus RMSE son 180,598.23, 184,529.72 y 219,663.87 visitantes, respectivamente. Entre estos tres, SES registra el menor RMSE. Los resultados corresponden a la división cronológica 70/30 del Lab 1: 147 meses de entrenamiento y 63 de prueba, de abril de 2021 a junio de 2026.</w:t>
      </w:r>
    </w:p>
    <w:p>
      <w:pPr>
        <w:keepNext/>
        <w:spacing w:before="60" w:after="40"/>
        <w:jc w:val="center"/>
      </w:pPr>
      <w:r>
        <w:drawing>
          <wp:inline xmlns:a="http://schemas.openxmlformats.org/drawingml/2006/main" xmlns:pic="http://schemas.openxmlformats.org/drawingml/2006/picture">
            <wp:extent cx="5349240" cy="2203132"/>
            <wp:docPr id="7" name="Picture 7"/>
            <wp:cNvGraphicFramePr>
              <a:graphicFrameLocks noChangeAspect="1"/>
            </wp:cNvGraphicFramePr>
            <a:graphic>
              <a:graphicData uri="http://schemas.openxmlformats.org/drawingml/2006/picture">
                <pic:pic>
                  <pic:nvPicPr>
                    <pic:cNvPr id="0" name="comparacion_modelos.png"/>
                    <pic:cNvPicPr/>
                  </pic:nvPicPr>
                  <pic:blipFill>
                    <a:blip r:embed="rId17"/>
                    <a:stretch>
                      <a:fillRect/>
                    </a:stretch>
                  </pic:blipFill>
                  <pic:spPr>
                    <a:xfrm>
                      <a:off x="0" y="0"/>
                      <a:ext cx="5349240" cy="2203132"/>
                    </a:xfrm>
                    <a:prstGeom prst="rect"/>
                  </pic:spPr>
                </pic:pic>
              </a:graphicData>
            </a:graphic>
          </wp:inline>
        </w:drawing>
      </w:r>
    </w:p>
    <w:p>
      <w:pPr>
        <w:spacing w:after="140"/>
        <w:jc w:val="center"/>
      </w:pPr>
      <w:r>
        <w:rPr>
          <w:rFonts w:ascii="Times New Roman" w:hAnsi="Times New Roman" w:eastAsia="Times New Roman"/>
          <w:b w:val="0"/>
          <w:i/>
          <w:color w:val="000000"/>
          <w:sz w:val="18"/>
        </w:rPr>
        <w:t>RMSE de tres modelos simples reutilizados del Laboratorio 1; menor error es mejor.</w:t>
      </w:r>
    </w:p>
    <w:p>
      <w:pPr>
        <w:keepNext w:val="0"/>
        <w:spacing w:before="0" w:after="120" w:line="259" w:lineRule="auto"/>
        <w:jc w:val="both"/>
      </w:pPr>
      <w:r>
        <w:rPr>
          <w:rFonts w:ascii="Times New Roman" w:hAnsi="Times New Roman" w:eastAsia="Times New Roman"/>
          <w:b w:val="0"/>
          <w:i w:val="0"/>
          <w:color w:val="000000"/>
          <w:sz w:val="22"/>
        </w:rPr>
        <w:t>Las métricas finales provienen de la exportación original del Lab 1 y difieren de las transcritas en el avance. Se conservan ambos archivos y se documenta la procedencia en codebook.md. La etiqueta Prophet - respaldo aditivo corresponde a un modelo alternativo usado cuando la biblioteca Prophet no estaba disponible. MAE es el error absoluto medio y RMSE penaliza más los errores grandes; ambos se expresan en visitantes. sMAPE expresa un error porcentual simétrico.</w:t>
      </w:r>
    </w:p>
    <w:p>
      <w:pPr>
        <w:keepNext/>
        <w:spacing w:before="200" w:after="100"/>
        <w:jc w:val="left"/>
      </w:pPr>
      <w:r>
        <w:rPr>
          <w:rFonts w:ascii="Times New Roman" w:hAnsi="Times New Roman" w:eastAsia="Times New Roman"/>
          <w:b/>
          <w:i w:val="0"/>
          <w:color w:val="000000"/>
          <w:sz w:val="22"/>
        </w:rPr>
        <w:t>8 Observaciones y estimaciones LSTM del Laboratorio 2</w:t>
      </w:r>
    </w:p>
    <w:p>
      <w:pPr>
        <w:keepNext/>
        <w:spacing w:before="0" w:after="120" w:line="259" w:lineRule="auto"/>
        <w:jc w:val="both"/>
      </w:pPr>
      <w:r>
        <w:rPr>
          <w:rFonts w:ascii="Times New Roman" w:hAnsi="Times New Roman" w:eastAsia="Times New Roman"/>
          <w:b w:val="0"/>
          <w:i w:val="0"/>
          <w:color w:val="000000"/>
          <w:sz w:val="22"/>
        </w:rPr>
        <w:t>Dos líneas sobre el mismo eje temporal permiten localizar divergencias entre observación y estimación histórica. Azul sólido identifica valores observados y coral discontinuo las estimaciones. El usuario elige la serie total o América del Norte, consulta valores y usa zoom. Para la serie total, MAE es 74,090, RMSE 85,805 y sMAPE 34.4 %. Estas métricas se presentan aparte: no se asegura que el protocolo de ambos laboratorios sea equivalente. No se incluyen meses futuros ni intervalos nuevos de incertidumbre.</w:t>
      </w:r>
    </w:p>
    <w:p>
      <w:pPr>
        <w:keepNext/>
        <w:spacing w:before="60" w:after="40"/>
        <w:jc w:val="center"/>
      </w:pPr>
      <w:r>
        <w:drawing>
          <wp:inline xmlns:a="http://schemas.openxmlformats.org/drawingml/2006/main" xmlns:pic="http://schemas.openxmlformats.org/drawingml/2006/picture">
            <wp:extent cx="5623560" cy="2374459"/>
            <wp:docPr id="8" name="Picture 8"/>
            <wp:cNvGraphicFramePr>
              <a:graphicFrameLocks noChangeAspect="1"/>
            </wp:cNvGraphicFramePr>
            <a:graphic>
              <a:graphicData uri="http://schemas.openxmlformats.org/drawingml/2006/picture">
                <pic:pic>
                  <pic:nvPicPr>
                    <pic:cNvPr id="0" name="prediccion_lstm.png"/>
                    <pic:cNvPicPr/>
                  </pic:nvPicPr>
                  <pic:blipFill>
                    <a:blip r:embed="rId18"/>
                    <a:stretch>
                      <a:fillRect/>
                    </a:stretch>
                  </pic:blipFill>
                  <pic:spPr>
                    <a:xfrm>
                      <a:off x="0" y="0"/>
                      <a:ext cx="5623560" cy="2374459"/>
                    </a:xfrm>
                    <a:prstGeom prst="rect"/>
                  </pic:spPr>
                </pic:pic>
              </a:graphicData>
            </a:graphic>
          </wp:inline>
        </w:drawing>
      </w:r>
    </w:p>
    <w:p>
      <w:pPr>
        <w:spacing w:after="140"/>
        <w:jc w:val="center"/>
      </w:pPr>
      <w:r>
        <w:rPr>
          <w:rFonts w:ascii="Times New Roman" w:hAnsi="Times New Roman" w:eastAsia="Times New Roman"/>
          <w:b w:val="0"/>
          <w:i/>
          <w:color w:val="000000"/>
          <w:sz w:val="18"/>
        </w:rPr>
        <w:t>Evaluación histórica LSTM de la serie total, conservada del avance.</w:t>
      </w:r>
    </w:p>
    <w:p>
      <w:pPr>
        <w:keepNext/>
        <w:spacing w:before="200" w:after="100"/>
        <w:jc w:val="left"/>
      </w:pPr>
      <w:r>
        <w:rPr>
          <w:rFonts w:ascii="Times New Roman" w:hAnsi="Times New Roman" w:eastAsia="Times New Roman"/>
          <w:b/>
          <w:i w:val="0"/>
          <w:color w:val="000000"/>
          <w:sz w:val="22"/>
        </w:rPr>
        <w:t>Plan de trabajo</w:t>
      </w:r>
    </w:p>
    <w:p>
      <w:pPr>
        <w:keepNext/>
        <w:spacing w:before="0" w:after="120" w:line="259" w:lineRule="auto"/>
        <w:jc w:val="both"/>
      </w:pPr>
      <w:r>
        <w:rPr>
          <w:rFonts w:ascii="Times New Roman" w:hAnsi="Times New Roman" w:eastAsia="Times New Roman"/>
          <w:b w:val="0"/>
          <w:i w:val="0"/>
          <w:color w:val="000000"/>
          <w:sz w:val="22"/>
        </w:rPr>
        <w:t>La tabla actualiza la planificación de cierre y conserva responsables por actividad. Los resultados indicados son entregables previstos; la verificación técnica se describe después de la tabla.</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val="true"/>
          <w:cantSplit/>
        </w:trPr>
        <w:tc>
          <w:tcPr>
            <w:tcW w:type="dxa" w:w="1080"/>
            <w:vAlign w:val="center"/>
            <w:tcMar>
              <w:top w:w="70" w:type="dxa"/>
              <w:start w:w="85" w:type="dxa"/>
              <w:bottom w:w="70" w:type="dxa"/>
              <w:end w:w="85" w:type="dxa"/>
            </w:tcMar>
          </w:tcPr>
          <w:p>
            <w:pPr>
              <w:spacing w:after="0"/>
              <w:jc w:val="center"/>
            </w:pPr>
            <w:r>
              <w:rPr>
                <w:rFonts w:ascii="Times New Roman" w:hAnsi="Times New Roman" w:eastAsia="Times New Roman"/>
                <w:b/>
                <w:i w:val="0"/>
                <w:color w:val="000000"/>
                <w:sz w:val="20"/>
              </w:rPr>
              <w:t>Fecha</w:t>
            </w:r>
          </w:p>
        </w:tc>
        <w:tc>
          <w:tcPr>
            <w:tcW w:type="dxa" w:w="1224"/>
            <w:vAlign w:val="center"/>
            <w:tcMar>
              <w:top w:w="70" w:type="dxa"/>
              <w:start w:w="85" w:type="dxa"/>
              <w:bottom w:w="70" w:type="dxa"/>
              <w:end w:w="85" w:type="dxa"/>
            </w:tcMar>
          </w:tcPr>
          <w:p>
            <w:pPr>
              <w:spacing w:after="0"/>
              <w:jc w:val="center"/>
            </w:pPr>
            <w:r>
              <w:rPr>
                <w:rFonts w:ascii="Times New Roman" w:hAnsi="Times New Roman" w:eastAsia="Times New Roman"/>
                <w:b/>
                <w:i w:val="0"/>
                <w:color w:val="000000"/>
                <w:sz w:val="18"/>
                <w:szCs w:val="18"/>
              </w:rPr>
              <w:t>Responsable</w:t>
            </w:r>
          </w:p>
        </w:tc>
        <w:tc>
          <w:tcPr>
            <w:tcW w:type="dxa" w:w="5112"/>
            <w:vAlign w:val="center"/>
            <w:tcMar>
              <w:top w:w="70" w:type="dxa"/>
              <w:start w:w="85" w:type="dxa"/>
              <w:bottom w:w="70" w:type="dxa"/>
              <w:end w:w="85" w:type="dxa"/>
            </w:tcMar>
          </w:tcPr>
          <w:p>
            <w:pPr>
              <w:spacing w:after="0"/>
              <w:jc w:val="left"/>
            </w:pPr>
            <w:r>
              <w:rPr>
                <w:rFonts w:ascii="Times New Roman" w:hAnsi="Times New Roman" w:eastAsia="Times New Roman"/>
                <w:b/>
                <w:i w:val="0"/>
                <w:color w:val="000000"/>
                <w:sz w:val="20"/>
              </w:rPr>
              <w:t>Actividad</w:t>
            </w:r>
          </w:p>
        </w:tc>
        <w:tc>
          <w:tcPr>
            <w:tcW w:type="dxa" w:w="1944"/>
            <w:vAlign w:val="center"/>
            <w:tcMar>
              <w:top w:w="70" w:type="dxa"/>
              <w:start w:w="85" w:type="dxa"/>
              <w:bottom w:w="70" w:type="dxa"/>
              <w:end w:w="85" w:type="dxa"/>
            </w:tcMar>
          </w:tcPr>
          <w:p>
            <w:pPr>
              <w:spacing w:after="0"/>
              <w:jc w:val="center"/>
            </w:pPr>
            <w:r>
              <w:rPr>
                <w:rFonts w:ascii="Times New Roman" w:hAnsi="Times New Roman" w:eastAsia="Times New Roman"/>
                <w:b/>
                <w:i w:val="0"/>
                <w:color w:val="000000"/>
                <w:sz w:val="20"/>
              </w:rPr>
              <w:t>Resultado</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24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Ihan</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Organizar las fuentes y reproducir los agregados por mes, mercado, región y frontera.</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Datos y auditoría</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24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Diego</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Completar filtros, niveles de detalle y el enlace entre serie y vías.</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Interfaz completa</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24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Milton</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Revisar la paleta, el bosquejo y el contenido del avance.</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Diseño de referencia</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24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Ihan</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Contrastar las métricas con la exportación del Laboratorio 1.</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Resultados trazables</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24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Diego</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Integrar las ocho vistas y ejecutar las pruebas de interacción.</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Aplicación verificada</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24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Ihan y Diego</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Actualizar el documento de diseño y exportar el PDF.</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Informe final</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25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Milton</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Revisar etiquetas y limitaciones en la versión completa.</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Revisión de contenido</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25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Ihan</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Comprobar la ejecución desde los archivos originales.</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Reproducción del flujo</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25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Diego</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Probar la navegación y los filtros antes de enviar.</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Revisión funcional</w:t>
            </w:r>
          </w:p>
        </w:tc>
      </w:tr>
      <w:tr>
        <w:trPr>
          <w:cantSplit/>
        </w:trPr>
        <w:tc>
          <w:tcPr>
            <w:tcW w:type="dxa" w:w="1080"/>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25 oct.</w:t>
            </w:r>
          </w:p>
        </w:tc>
        <w:tc>
          <w:tcPr>
            <w:tcW w:type="dxa" w:w="122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Todos</w:t>
            </w:r>
          </w:p>
        </w:tc>
        <w:tc>
          <w:tcPr>
            <w:tcW w:type="dxa" w:w="5112"/>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Verificar PDF y enlace del repositorio y realizar la entrega.</w:t>
            </w:r>
          </w:p>
        </w:tc>
        <w:tc>
          <w:tcPr>
            <w:tcW w:type="dxa" w:w="1944"/>
            <w:vAlign w:val="center"/>
            <w:tcMar>
              <w:top w:w="70" w:type="dxa"/>
              <w:start w:w="85" w:type="dxa"/>
              <w:bottom w:w="70" w:type="dxa"/>
              <w:end w:w="85" w:type="dxa"/>
            </w:tcMar>
          </w:tcPr>
          <w:p>
            <w:pPr>
              <w:spacing w:after="0" w:line="240" w:lineRule="auto"/>
              <w:jc w:val="left"/>
            </w:pPr>
            <w:r>
              <w:rPr>
                <w:rFonts w:ascii="Times New Roman" w:hAnsi="Times New Roman" w:eastAsia="Times New Roman"/>
                <w:b w:val="0"/>
                <w:i w:val="0"/>
                <w:color w:val="000000"/>
                <w:sz w:val="20"/>
              </w:rPr>
              <w:t>Entrega final</w:t>
            </w:r>
          </w:p>
        </w:tc>
      </w:tr>
    </w:tbl>
    <w:p>
      <w:pPr>
        <w:keepNext/>
        <w:spacing w:before="200" w:after="100"/>
        <w:jc w:val="left"/>
      </w:pPr>
      <w:r>
        <w:rPr>
          <w:rFonts w:ascii="Times New Roman" w:hAnsi="Times New Roman" w:eastAsia="Times New Roman"/>
          <w:b/>
          <w:i w:val="0"/>
          <w:color w:val="000000"/>
          <w:sz w:val="22"/>
        </w:rPr>
        <w:t>Verificación de la versión final</w:t>
      </w:r>
    </w:p>
    <w:p>
      <w:pPr>
        <w:keepNext w:val="0"/>
        <w:spacing w:before="0" w:after="120" w:line="259" w:lineRule="auto"/>
        <w:jc w:val="both"/>
      </w:pPr>
      <w:r>
        <w:rPr>
          <w:rFonts w:ascii="Times New Roman" w:hAnsi="Times New Roman" w:eastAsia="Times New Roman"/>
          <w:b w:val="0"/>
          <w:i w:val="0"/>
          <w:color w:val="000000"/>
          <w:sz w:val="22"/>
        </w:rPr>
        <w:t>Se ejecutaron once pruebas automatizadas: continuidad y conservación de totales, agregaciones y cobertura parcial, referencia estacional, selección válida y fuera de filtro, procedencia de métricas, ocho vistas y tres modelos simples, escalas y filtros, consulta sin datos, selección de vistas y modelos, cambio de mes y consulta de mercados y LSTM. Todas pasaron. Además, en el navegador se seleccionó diciembre de 2014 en la serie y se comprobó el cambio del selector y del desglose por vía.</w:t>
      </w:r>
    </w:p>
    <w:p>
      <w:pPr>
        <w:keepNext w:val="0"/>
        <w:spacing w:before="0" w:after="120" w:line="259" w:lineRule="auto"/>
        <w:jc w:val="both"/>
      </w:pPr>
      <w:r>
        <w:rPr>
          <w:rFonts w:ascii="Times New Roman" w:hAnsi="Times New Roman" w:eastAsia="Times New Roman"/>
          <w:b w:val="0"/>
          <w:i w:val="0"/>
          <w:color w:val="000000"/>
          <w:sz w:val="22"/>
        </w:rPr>
        <w:t>La versión final cumple las ocho visualizaciones, la selección de vistas, el enlace serie-vías, los niveles de detalle y la comparación de modelos existentes. Los resultados describen registros académicos y su evaluación histórica. Se recomienda revisar la fuente y comparar meses equivalentes antes de usar variaciones para decisiones de gestión; el tablero no demuestra causas ni garantiza predicciones futuras.</w:t>
      </w:r>
    </w:p>
    <w:p>
      <w:pPr>
        <w:keepNext/>
        <w:spacing w:before="200" w:after="100"/>
        <w:jc w:val="left"/>
      </w:pPr>
      <w:r>
        <w:rPr>
          <w:rFonts w:ascii="Times New Roman" w:hAnsi="Times New Roman" w:eastAsia="Times New Roman"/>
          <w:b/>
          <w:i w:val="0"/>
          <w:color w:val="000000"/>
          <w:sz w:val="22"/>
        </w:rPr>
        <w:t>Referencias</w:t>
      </w:r>
    </w:p>
    <w:p>
      <w:pPr>
        <w:spacing w:after="80"/>
        <w:jc w:val="both"/>
      </w:pPr>
      <w:r>
        <w:rPr>
          <w:rFonts w:ascii="Times New Roman" w:hAnsi="Times New Roman" w:eastAsia="Times New Roman"/>
          <w:b w:val="0"/>
          <w:i w:val="0"/>
          <w:color w:val="000000"/>
          <w:sz w:val="22"/>
        </w:rPr>
        <w:t>Equipo del proyecto. Base_Migracion_2009-2026jun.xlsx, hojas Datos y Notas. Copia original conservada en data/raw. Las cantidades filtradas reproducen la serie del avance.</w:t>
      </w:r>
    </w:p>
    <w:p>
      <w:pPr>
        <w:spacing w:after="80"/>
        <w:jc w:val="both"/>
      </w:pPr>
      <w:r>
        <w:rPr>
          <w:rFonts w:ascii="Times New Roman" w:hAnsi="Times New Roman" w:eastAsia="Times New Roman"/>
          <w:b w:val="0"/>
          <w:i w:val="0"/>
          <w:color w:val="000000"/>
          <w:sz w:val="22"/>
        </w:rPr>
        <w:t>Equipo del proyecto. Laboratorio 1 Series de Tiempo. Exportación comparacion_modelos.csv y cuaderno laboratorio-1-series-tiempo.ipynb. El archivo data/raw/modelos_lab1.csv conserva las métricas usadas en la entrega final.</w:t>
      </w:r>
    </w:p>
    <w:p>
      <w:pPr>
        <w:spacing w:after="80"/>
        <w:jc w:val="both"/>
      </w:pPr>
      <w:r>
        <w:rPr>
          <w:rFonts w:ascii="Times New Roman" w:hAnsi="Times New Roman" w:eastAsia="Times New Roman"/>
          <w:b w:val="0"/>
          <w:i w:val="0"/>
          <w:color w:val="000000"/>
          <w:sz w:val="22"/>
        </w:rPr>
        <w:t>Equipo del proyecto. Laboratorio 2. Predicciones y métricas LSTM conservadas en el avance del Laboratorio 10. Los informes de avance permanecen como referencia histórica.</w:t>
      </w:r>
    </w:p>
    <w:p>
      <w:pPr>
        <w:spacing w:after="80"/>
        <w:jc w:val="both"/>
      </w:pPr>
      <w:r>
        <w:rPr>
          <w:rFonts w:ascii="Times New Roman" w:hAnsi="Times New Roman" w:eastAsia="Times New Roman"/>
          <w:b w:val="0"/>
          <w:i w:val="0"/>
          <w:color w:val="000000"/>
          <w:sz w:val="22"/>
        </w:rPr>
        <w:t>Menene. CC3084 Data Science 2026. Estructura de proyectos del curso. https://github.com/menene/cc3084-2026-02-40</w:t>
      </w:r>
    </w:p>
    <w:p>
      <w:pPr>
        <w:spacing w:after="80"/>
        <w:jc w:val="both"/>
      </w:pPr>
      <w:r>
        <w:rPr>
          <w:rFonts w:ascii="Times New Roman" w:hAnsi="Times New Roman" w:eastAsia="Times New Roman"/>
          <w:b w:val="0"/>
          <w:i w:val="0"/>
          <w:color w:val="000000"/>
          <w:sz w:val="22"/>
        </w:rPr>
        <w:t>Streamlit. st.plotly_chart y AppTest. https://docs.streamlit.io/develop/api-reference/charts/st.plotly_chart y https://docs.streamlit.io/develop/api-reference/app-testing/st.testing.v1.apptest</w:t>
      </w:r>
    </w:p>
    <w:sectPr w:rsidR="00FC693F" w:rsidRPr="0006063C" w:rsidSect="00034616">
      <w:footerReference w:type="default" r:id="rId10"/>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yperlink" Target="https://github.com/UVG-Tareas-y-proyectos/lab10_ds/tree/main"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final_1.png"/><Relationship Id="rId20" Type="http://schemas.openxmlformats.org/officeDocument/2006/relationships/image" Target="media/final_2.png"/><Relationship Id="rId21" Type="http://schemas.openxmlformats.org/officeDocument/2006/relationships/image" Target="media/final_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10 Visualización interactiva Informe de avance</dc:title>
  <dc:subject>Documento de diseño del tablero de turismo de Guatemala</dc:subject>
  <dc:creator>Ihan Marroquin; Diego Patzan; Milton Polanco</dc:creator>
  <cp:keywords>turismo, Guatemala, Streamlit, visualización interactiva</cp:keywords>
  <dc:description/>
  <cp:lastModifiedBy/>
  <cp:revision>1</cp:revision>
  <dcterms:created xsi:type="dcterms:W3CDTF">2013-12-23T23:15:00Z</dcterms:created>
  <dcterms:modified xsi:type="dcterms:W3CDTF">2013-12-23T23:15:00Z</dcterms:modified>
  <cp:category/>
</cp:coreProperties>
</file>