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шифров простой замены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шифры-простой-замены"/>
    <w:p>
      <w:pPr>
        <w:pStyle w:val="Heading2"/>
      </w:pPr>
      <w:r>
        <w:t xml:space="preserve">Шифры простой замены:</w:t>
      </w:r>
    </w:p>
    <w:p>
      <w:pPr>
        <w:numPr>
          <w:ilvl w:val="0"/>
          <w:numId w:val="1001"/>
        </w:numPr>
        <w:pStyle w:val="Compact"/>
      </w:pPr>
      <w:r>
        <w:t xml:space="preserve">Шифр Цезаря.</w:t>
      </w:r>
    </w:p>
    <w:p>
      <w:pPr>
        <w:numPr>
          <w:ilvl w:val="0"/>
          <w:numId w:val="1001"/>
        </w:numPr>
        <w:pStyle w:val="Compact"/>
      </w:pPr>
      <w:r>
        <w:t xml:space="preserve">Шифр Атбаш.</w:t>
      </w:r>
    </w:p>
    <w:bookmarkEnd w:id="21"/>
    <w:bookmarkEnd w:id="22"/>
    <w:bookmarkStart w:id="25" w:name="кодовая-реализация"/>
    <w:p>
      <w:pPr>
        <w:pStyle w:val="Heading1"/>
      </w:pPr>
      <w:r>
        <w:t xml:space="preserve">Кодовая реализация</w:t>
      </w:r>
    </w:p>
    <w:bookmarkStart w:id="23" w:name="шифр-цезаря"/>
    <w:p>
      <w:pPr>
        <w:pStyle w:val="Heading2"/>
      </w:pPr>
      <w:r>
        <w:t xml:space="preserve">Шифр Цезаря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ceasar</w:t>
      </w:r>
      <w:r>
        <w:rPr>
          <w:rStyle w:val="NormalTok"/>
        </w:rPr>
        <w:t xml:space="preserve">(text, shift)</w:t>
      </w:r>
      <w:r>
        <w:br/>
      </w:r>
      <w:r>
        <w:rPr>
          <w:rStyle w:val="NormalTok"/>
        </w:rPr>
        <w:t xml:space="preserve">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;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</w:t>
      </w:r>
      <w:r>
        <w:br/>
      </w:r>
      <w:r>
        <w:rPr>
          <w:rStyle w:val="NormalTok"/>
        </w:rPr>
        <w:t xml:space="preserve">      isUpper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isuppercase</w:t>
      </w:r>
      <w:r>
        <w:rPr>
          <w:rStyle w:val="NormalTok"/>
        </w:rPr>
        <w:t xml:space="preserve">(char)</w:t>
      </w:r>
      <w:r>
        <w:br/>
      </w:r>
      <w:r>
        <w:rPr>
          <w:rStyle w:val="NormalTok"/>
        </w:rPr>
        <w:t xml:space="preserve">  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isUpper ?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br/>
      </w:r>
      <w:r>
        <w:rPr>
          <w:rStyle w:val="NormalTok"/>
        </w:rPr>
        <w:t xml:space="preserve">      encrypted_char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((char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shift)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(encrypted_text, 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(encrypted_char))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(encrypted_text, char)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(encrypted_text)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uppercase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ceasar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"Veni, vidi, vici"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)))</w:t>
      </w:r>
    </w:p>
    <w:bookmarkEnd w:id="23"/>
    <w:bookmarkStart w:id="24" w:name="шифр-атбаш."/>
    <w:p>
      <w:pPr>
        <w:pStyle w:val="Heading2"/>
      </w:pPr>
      <w:r>
        <w:t xml:space="preserve">Шифр Атбаш.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(message)</w:t>
      </w:r>
      <w:r>
        <w:br/>
      </w:r>
      <w:r>
        <w:rPr>
          <w:rStyle w:val="NormalTok"/>
        </w:rPr>
        <w:t xml:space="preserve">  alph_uppercase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rPr>
          <w:rStyle w:val="NormalTok"/>
        </w:rPr>
        <w:t xml:space="preserve">;]</w:t>
      </w:r>
      <w:r>
        <w:br/>
      </w:r>
      <w:r>
        <w:rPr>
          <w:rStyle w:val="NormalTok"/>
        </w:rPr>
        <w:t xml:space="preserve">  alph_lowercase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rPr>
          <w:rStyle w:val="NormalTok"/>
        </w:rPr>
        <w:t xml:space="preserve">;]</w:t>
      </w:r>
      <w:r>
        <w:br/>
      </w:r>
      <w:r>
        <w:br/>
      </w:r>
      <w:r>
        <w:rPr>
          <w:rStyle w:val="NormalTok"/>
        </w:rPr>
        <w:t xml:space="preserve"> 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alph_uppercase</w:t>
      </w:r>
      <w:r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letter, alph_uppercase)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(str, alph_uppercase[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alph_lowercase</w:t>
      </w:r>
      <w:r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letter, alph_lowercase)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(str, alph_lowercase[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(str, letter)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(str)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atbash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))</w:t>
      </w:r>
    </w:p>
    <w:bookmarkEnd w:id="24"/>
    <w:bookmarkEnd w:id="25"/>
    <w:bookmarkStart w:id="2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были реализованы шифры простой замены (шифр Цезаря и шифр Атбаш)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Кузнецов Юрий Владимирович</dc:creator>
  <dc:language>ru-RU</dc:language>
  <cp:keywords/>
  <dcterms:created xsi:type="dcterms:W3CDTF">2025-02-02T13:05:47Z</dcterms:created>
  <dcterms:modified xsi:type="dcterms:W3CDTF">2025-02-02T13:05:47Z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Шифры простой замены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