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7A610ADE"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w:t>
            </w:r>
            <w:r w:rsidR="001F5744">
              <w:rPr>
                <w:rFonts w:cs="Verdana"/>
                <w:color w:val="FFFFFF"/>
                <w:szCs w:val="18"/>
              </w:rPr>
              <w:t xml:space="preserve">action_when_transfer_is_done, </w:t>
            </w:r>
            <w:r w:rsidR="00BF6A82" w:rsidRPr="000C4C11">
              <w:rPr>
                <w:rFonts w:cs="Verdana"/>
                <w:color w:val="FFFFFF"/>
                <w:szCs w:val="18"/>
              </w:rPr>
              <w:t xml:space="preserve">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3B2BFDDC"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002839DB" w:rsidRPr="007F1299">
              <w:rPr>
                <w:rFonts w:cs="Verdana"/>
                <w:b w:val="0"/>
                <w:sz w:val="16"/>
                <w:szCs w:val="16"/>
              </w:rPr>
              <w:t>HOLD_LINE_AFTER_TRANSFER</w:t>
            </w:r>
            <w:r w:rsidR="002839DB" w:rsidRPr="000C4C11">
              <w:rPr>
                <w:rFonts w:cs="Verdana"/>
                <w:b w:val="0"/>
                <w:sz w:val="16"/>
                <w:szCs w:val="16"/>
              </w:rPr>
              <w:t xml:space="preserve"> </w:t>
            </w:r>
            <w:r w:rsidR="002839DB">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w:t>
            </w:r>
            <w:r w:rsidR="00CC08CE">
              <w:rPr>
                <w:rFonts w:cs="Verdana"/>
                <w:color w:val="FFFFFF"/>
                <w:szCs w:val="18"/>
              </w:rPr>
              <w:t>[</w:t>
            </w:r>
            <w:r>
              <w:rPr>
                <w:rFonts w:cs="Verdana"/>
                <w:color w:val="FFFFFF"/>
                <w:szCs w:val="18"/>
              </w:rPr>
              <w:t>alert_level,</w:t>
            </w:r>
            <w:r w:rsidRPr="000C4C11">
              <w:rPr>
                <w:rFonts w:cs="Verdana"/>
                <w:color w:val="FFFFFF"/>
                <w:szCs w:val="18"/>
              </w:rPr>
              <w:t xml:space="preserve"> [scope, [msg_id_panel,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44D54637"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B40745">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B5973"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" fillcolor="white [3201]" stroked="f" strokeweight=".5pt">
                <v:textbox>
                  <w:txbxContent>
                    <w:p w14:paraId="077CFFEE" w14:textId="44D54637" w:rsidR="00FC3A0D" w:rsidRPr="0047388F" w:rsidRDefault="00FC3A0D" w:rsidP="00FC3A0D">
                      <w:pPr>
                        <w:tabs>
                          <w:tab w:val="left" w:pos="851"/>
                        </w:tabs>
                        <w:rPr>
                          <w:szCs w:val="18"/>
                        </w:rPr>
                      </w:pPr>
                      <w:r w:rsidRPr="0047388F">
                        <w:rPr>
                          <w:szCs w:val="18"/>
                        </w:rPr>
                        <w:t>Note 1:</w:t>
                      </w:r>
                      <w:r>
                        <w:rPr>
                          <w:szCs w:val="18"/>
                        </w:rPr>
                        <w:t xml:space="preserve"> the BFM configuration has to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B40745">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r>
              <w:rPr>
                <w:rFonts w:cs="Helvetica"/>
                <w:bCs/>
                <w:sz w:val="15"/>
              </w:rPr>
              <w:t>data_valid_on_both_clock_edges</w:t>
            </w:r>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D408C4" w:rsidRPr="002405F3" w14:paraId="6E369E2F" w14:textId="77777777" w:rsidTr="009554A4">
        <w:tc>
          <w:tcPr>
            <w:tcW w:w="1548" w:type="dxa"/>
            <w:tcBorders>
              <w:left w:val="nil"/>
              <w:right w:val="nil"/>
            </w:tcBorders>
            <w:shd w:val="clear" w:color="auto" w:fill="auto"/>
          </w:tcPr>
          <w:p w14:paraId="27CF5D18" w14:textId="377F69D8" w:rsidR="00D408C4" w:rsidRDefault="00D408C4" w:rsidP="00D408C4">
            <w:pPr>
              <w:tabs>
                <w:tab w:val="left" w:pos="4820"/>
              </w:tabs>
              <w:spacing w:line="276" w:lineRule="auto"/>
              <w:rPr>
                <w:color w:val="000000" w:themeColor="text1"/>
                <w:sz w:val="15"/>
              </w:rPr>
            </w:pPr>
            <w:r w:rsidRPr="007F1299">
              <w:rPr>
                <w:color w:val="000000" w:themeColor="text1"/>
                <w:sz w:val="15"/>
              </w:rPr>
              <w:t>action_when_transfer_is_done</w:t>
            </w:r>
          </w:p>
        </w:tc>
        <w:tc>
          <w:tcPr>
            <w:tcW w:w="1679" w:type="dxa"/>
            <w:tcBorders>
              <w:left w:val="nil"/>
              <w:right w:val="nil"/>
            </w:tcBorders>
            <w:shd w:val="clear" w:color="auto" w:fill="auto"/>
          </w:tcPr>
          <w:p w14:paraId="593335F0" w14:textId="2E0C6208" w:rsidR="00D408C4" w:rsidRDefault="00D408C4" w:rsidP="00D408C4">
            <w:pPr>
              <w:tabs>
                <w:tab w:val="left" w:pos="4820"/>
              </w:tabs>
              <w:spacing w:line="276" w:lineRule="auto"/>
              <w:rPr>
                <w:sz w:val="15"/>
              </w:rPr>
            </w:pPr>
            <w:r w:rsidRPr="007F1299">
              <w:rPr>
                <w:sz w:val="15"/>
                <w:lang w:val="en-US"/>
              </w:rPr>
              <w:t>t_action_when_transfer_is_done</w:t>
            </w:r>
          </w:p>
        </w:tc>
        <w:tc>
          <w:tcPr>
            <w:tcW w:w="2371" w:type="dxa"/>
            <w:tcBorders>
              <w:left w:val="nil"/>
              <w:right w:val="nil"/>
            </w:tcBorders>
            <w:shd w:val="clear" w:color="auto" w:fill="auto"/>
          </w:tcPr>
          <w:p w14:paraId="1CA91853" w14:textId="2C19893A" w:rsidR="00D408C4" w:rsidRDefault="00D408C4" w:rsidP="00D408C4">
            <w:pPr>
              <w:tabs>
                <w:tab w:val="left" w:pos="4820"/>
              </w:tabs>
              <w:spacing w:line="276" w:lineRule="auto"/>
              <w:rPr>
                <w:sz w:val="15"/>
              </w:rPr>
            </w:pPr>
            <w:r w:rsidRPr="007F1299">
              <w:rPr>
                <w:sz w:val="15"/>
              </w:rPr>
              <w:t>RELEASE_LINE_AFTER_TRANSFER</w:t>
            </w:r>
          </w:p>
        </w:tc>
        <w:tc>
          <w:tcPr>
            <w:tcW w:w="8681" w:type="dxa"/>
            <w:tcBorders>
              <w:left w:val="nil"/>
              <w:right w:val="nil"/>
            </w:tcBorders>
            <w:shd w:val="clear" w:color="auto" w:fill="auto"/>
          </w:tcPr>
          <w:p w14:paraId="1E16DD5B" w14:textId="6AB23203" w:rsidR="00D408C4" w:rsidRDefault="00D408C4" w:rsidP="00D408C4">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D408C4" w:rsidRPr="002405F3" w14:paraId="40012884" w14:textId="77777777" w:rsidTr="009554A4">
        <w:tc>
          <w:tcPr>
            <w:tcW w:w="1548" w:type="dxa"/>
            <w:tcBorders>
              <w:left w:val="nil"/>
              <w:right w:val="nil"/>
            </w:tcBorders>
            <w:shd w:val="clear" w:color="auto" w:fill="auto"/>
          </w:tcPr>
          <w:p w14:paraId="5D2E10BD" w14:textId="2A3BF771" w:rsidR="00D408C4" w:rsidRDefault="00D408C4" w:rsidP="00D408C4">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D408C4" w:rsidRDefault="00D408C4" w:rsidP="00D408C4">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D408C4" w:rsidRDefault="00D408C4" w:rsidP="00D408C4">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D408C4" w:rsidRDefault="00D408C4" w:rsidP="00D408C4">
            <w:pPr>
              <w:tabs>
                <w:tab w:val="left" w:pos="4820"/>
              </w:tabs>
              <w:spacing w:line="276" w:lineRule="auto"/>
              <w:rPr>
                <w:sz w:val="15"/>
              </w:rPr>
            </w:pPr>
            <w:r>
              <w:rPr>
                <w:sz w:val="15"/>
              </w:rPr>
              <w:t>The number of valid bytes in the data_array. Note that the data_array can be bigger and that is why the length is returned.</w:t>
            </w:r>
          </w:p>
        </w:tc>
      </w:tr>
      <w:tr w:rsidR="00D408C4" w:rsidRPr="002405F3" w14:paraId="60812E57" w14:textId="77777777" w:rsidTr="009554A4">
        <w:tc>
          <w:tcPr>
            <w:tcW w:w="1548" w:type="dxa"/>
            <w:tcBorders>
              <w:left w:val="nil"/>
              <w:right w:val="nil"/>
            </w:tcBorders>
            <w:shd w:val="clear" w:color="auto" w:fill="auto"/>
          </w:tcPr>
          <w:p w14:paraId="3D297921" w14:textId="77777777" w:rsidR="00D408C4" w:rsidRPr="002405F3" w:rsidRDefault="00D408C4" w:rsidP="00D408C4">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D408C4" w:rsidRPr="002405F3" w:rsidRDefault="00D408C4" w:rsidP="00D408C4">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D408C4" w:rsidRPr="002405F3" w:rsidRDefault="00D408C4" w:rsidP="00D408C4">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D408C4" w:rsidRPr="002405F3" w:rsidRDefault="00D408C4" w:rsidP="00D408C4">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D408C4" w:rsidRPr="002405F3" w14:paraId="414442BA" w14:textId="77777777" w:rsidTr="009554A4">
        <w:tc>
          <w:tcPr>
            <w:tcW w:w="1548" w:type="dxa"/>
            <w:tcBorders>
              <w:left w:val="nil"/>
              <w:right w:val="nil"/>
            </w:tcBorders>
            <w:shd w:val="clear" w:color="auto" w:fill="auto"/>
          </w:tcPr>
          <w:p w14:paraId="56DBA5CE"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D408C4" w:rsidRPr="002405F3" w:rsidRDefault="00D408C4" w:rsidP="00D408C4">
            <w:pPr>
              <w:tabs>
                <w:tab w:val="left" w:pos="4820"/>
              </w:tabs>
              <w:spacing w:line="276" w:lineRule="auto"/>
              <w:rPr>
                <w:sz w:val="15"/>
              </w:rPr>
            </w:pPr>
            <w:r w:rsidRPr="002405F3">
              <w:rPr>
                <w:sz w:val="15"/>
              </w:rPr>
              <w:t>“</w:t>
            </w:r>
            <w:r>
              <w:rPr>
                <w:sz w:val="15"/>
              </w:rPr>
              <w:t>Write bytes</w:t>
            </w:r>
            <w:r w:rsidRPr="002405F3">
              <w:rPr>
                <w:sz w:val="15"/>
              </w:rPr>
              <w:t>”</w:t>
            </w:r>
          </w:p>
        </w:tc>
        <w:tc>
          <w:tcPr>
            <w:tcW w:w="8681" w:type="dxa"/>
            <w:tcBorders>
              <w:left w:val="nil"/>
              <w:right w:val="nil"/>
            </w:tcBorders>
            <w:shd w:val="clear" w:color="auto" w:fill="auto"/>
          </w:tcPr>
          <w:p w14:paraId="097DFC49" w14:textId="77777777" w:rsidR="00D408C4" w:rsidRPr="002405F3" w:rsidRDefault="00D408C4" w:rsidP="00D408C4">
            <w:pPr>
              <w:tabs>
                <w:tab w:val="left" w:pos="4820"/>
              </w:tabs>
              <w:spacing w:line="276" w:lineRule="auto"/>
              <w:rPr>
                <w:sz w:val="15"/>
              </w:rPr>
            </w:pPr>
            <w:r w:rsidRPr="002405F3">
              <w:rPr>
                <w:sz w:val="15"/>
              </w:rPr>
              <w:t xml:space="preserve">A custom message to be appended in the log/alert. </w:t>
            </w:r>
          </w:p>
        </w:tc>
      </w:tr>
      <w:tr w:rsidR="00D408C4" w:rsidRPr="002405F3" w14:paraId="5D316894" w14:textId="77777777" w:rsidTr="009554A4">
        <w:tc>
          <w:tcPr>
            <w:tcW w:w="1548" w:type="dxa"/>
            <w:tcBorders>
              <w:left w:val="nil"/>
              <w:right w:val="nil"/>
            </w:tcBorders>
            <w:shd w:val="clear" w:color="auto" w:fill="auto"/>
          </w:tcPr>
          <w:p w14:paraId="72C0BAF9"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D408C4" w:rsidRPr="002405F3" w:rsidRDefault="00D408C4" w:rsidP="00D408C4">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D408C4" w:rsidRPr="002405F3" w:rsidRDefault="00D408C4" w:rsidP="00D408C4">
            <w:pPr>
              <w:tabs>
                <w:tab w:val="left" w:pos="4820"/>
              </w:tabs>
              <w:spacing w:line="276" w:lineRule="auto"/>
              <w:rPr>
                <w:sz w:val="15"/>
              </w:rPr>
            </w:pPr>
            <w:r w:rsidRPr="002405F3">
              <w:rPr>
                <w:sz w:val="15"/>
              </w:rPr>
              <w:t>"</w:t>
            </w:r>
            <w:r>
              <w:rPr>
                <w:sz w:val="15"/>
              </w:rPr>
              <w:t>RGMII_</w:t>
            </w:r>
            <w:r w:rsidRPr="002405F3">
              <w:rPr>
                <w:sz w:val="15"/>
              </w:rPr>
              <w:t>BFM"</w:t>
            </w:r>
          </w:p>
        </w:tc>
        <w:tc>
          <w:tcPr>
            <w:tcW w:w="8681" w:type="dxa"/>
            <w:tcBorders>
              <w:left w:val="nil"/>
              <w:right w:val="nil"/>
            </w:tcBorders>
            <w:shd w:val="clear" w:color="auto" w:fill="auto"/>
          </w:tcPr>
          <w:p w14:paraId="38C44900" w14:textId="0067E3B5" w:rsidR="00D408C4" w:rsidRPr="002405F3" w:rsidRDefault="00D408C4" w:rsidP="00D408C4">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RGMII_</w:t>
            </w:r>
            <w:r w:rsidRPr="002405F3">
              <w:rPr>
                <w:sz w:val="15"/>
              </w:rPr>
              <w:t>BFM". In a verification component typically "</w:t>
            </w:r>
            <w:r>
              <w:rPr>
                <w:sz w:val="15"/>
              </w:rPr>
              <w:t>RGMII</w:t>
            </w:r>
            <w:r w:rsidRPr="002405F3">
              <w:rPr>
                <w:sz w:val="15"/>
              </w:rPr>
              <w:t>_VVC ".</w:t>
            </w:r>
          </w:p>
        </w:tc>
      </w:tr>
      <w:tr w:rsidR="00D408C4" w:rsidRPr="002405F3" w14:paraId="36C69FE3" w14:textId="77777777" w:rsidTr="009554A4">
        <w:tc>
          <w:tcPr>
            <w:tcW w:w="1548" w:type="dxa"/>
            <w:tcBorders>
              <w:left w:val="nil"/>
              <w:right w:val="nil"/>
            </w:tcBorders>
            <w:shd w:val="clear" w:color="auto" w:fill="auto"/>
          </w:tcPr>
          <w:p w14:paraId="4B85DEF7"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D408C4" w:rsidRPr="002405F3" w:rsidRDefault="00D408C4" w:rsidP="00D408C4">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D408C4" w:rsidRPr="002405F3" w:rsidRDefault="00D408C4" w:rsidP="00D408C4">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D408C4" w:rsidRPr="002405F3" w:rsidRDefault="00D408C4" w:rsidP="00D408C4">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D408C4" w:rsidRPr="002405F3" w14:paraId="5BA478D1" w14:textId="77777777" w:rsidTr="009554A4">
        <w:tc>
          <w:tcPr>
            <w:tcW w:w="1548" w:type="dxa"/>
            <w:tcBorders>
              <w:left w:val="nil"/>
              <w:right w:val="nil"/>
            </w:tcBorders>
            <w:shd w:val="clear" w:color="auto" w:fill="auto"/>
          </w:tcPr>
          <w:p w14:paraId="7CF08F51" w14:textId="77777777" w:rsidR="00D408C4" w:rsidRPr="002405F3" w:rsidRDefault="00D408C4" w:rsidP="00D408C4">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D408C4" w:rsidRPr="002405F3" w:rsidRDefault="00D408C4" w:rsidP="00D408C4">
            <w:pPr>
              <w:tabs>
                <w:tab w:val="left" w:pos="4820"/>
              </w:tabs>
              <w:spacing w:line="276" w:lineRule="auto"/>
              <w:rPr>
                <w:sz w:val="15"/>
              </w:rPr>
            </w:pPr>
            <w:r w:rsidRPr="002405F3">
              <w:rPr>
                <w:sz w:val="15"/>
              </w:rPr>
              <w:t>t</w:t>
            </w:r>
            <w:r>
              <w:rPr>
                <w:sz w:val="15"/>
              </w:rPr>
              <w:t>_rgmii_</w:t>
            </w:r>
            <w:r w:rsidRPr="002405F3">
              <w:rPr>
                <w:sz w:val="15"/>
              </w:rPr>
              <w:t>bfm_config</w:t>
            </w:r>
          </w:p>
        </w:tc>
        <w:tc>
          <w:tcPr>
            <w:tcW w:w="2371" w:type="dxa"/>
            <w:tcBorders>
              <w:left w:val="nil"/>
              <w:right w:val="nil"/>
            </w:tcBorders>
            <w:shd w:val="clear" w:color="auto" w:fill="auto"/>
            <w:vAlign w:val="center"/>
          </w:tcPr>
          <w:p w14:paraId="2CAABB25" w14:textId="00CC527F" w:rsidR="00D408C4" w:rsidRDefault="00D408C4" w:rsidP="00D408C4">
            <w:pPr>
              <w:tabs>
                <w:tab w:val="left" w:pos="4820"/>
              </w:tabs>
              <w:spacing w:line="276" w:lineRule="auto"/>
              <w:rPr>
                <w:sz w:val="15"/>
              </w:rPr>
            </w:pPr>
            <w:r w:rsidRPr="000562EA">
              <w:rPr>
                <w:sz w:val="15"/>
              </w:rPr>
              <w:t>C_</w:t>
            </w:r>
            <w:r>
              <w:rPr>
                <w:sz w:val="15"/>
              </w:rPr>
              <w:t>RGMII_</w:t>
            </w:r>
            <w:r w:rsidRPr="000562EA">
              <w:rPr>
                <w:sz w:val="15"/>
              </w:rPr>
              <w:t>BFM_</w:t>
            </w:r>
          </w:p>
          <w:p w14:paraId="1308835C" w14:textId="2CDA3D81" w:rsidR="00D408C4" w:rsidRPr="002405F3" w:rsidRDefault="00D408C4" w:rsidP="00D408C4">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49A6EBE5" w:rsidR="00D408C4" w:rsidRPr="002405F3" w:rsidRDefault="00D408C4" w:rsidP="00D408C4">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40745">
              <w:rPr>
                <w:sz w:val="15"/>
              </w:rPr>
              <w:t>2</w:t>
            </w:r>
            <w:r w:rsidRPr="002405F3">
              <w:rPr>
                <w:sz w:val="15"/>
              </w:rPr>
              <w:fldChar w:fldCharType="end"/>
            </w:r>
            <w:r w:rsidRPr="002405F3">
              <w:rPr>
                <w:sz w:val="15"/>
              </w:rPr>
              <w:t xml:space="preserve"> for details.</w:t>
            </w:r>
          </w:p>
        </w:tc>
      </w:tr>
      <w:tr w:rsidR="00D408C4" w:rsidRPr="002405F3" w14:paraId="0FD3DEF2" w14:textId="77777777" w:rsidTr="009554A4">
        <w:tc>
          <w:tcPr>
            <w:tcW w:w="1548" w:type="dxa"/>
            <w:tcBorders>
              <w:left w:val="nil"/>
              <w:bottom w:val="nil"/>
              <w:right w:val="nil"/>
            </w:tcBorders>
            <w:shd w:val="clear" w:color="auto" w:fill="auto"/>
          </w:tcPr>
          <w:p w14:paraId="5FEBFCE7" w14:textId="34D55924" w:rsidR="00D408C4" w:rsidRPr="002405F3" w:rsidRDefault="00D408C4" w:rsidP="00D408C4">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D408C4" w:rsidRPr="002405F3" w:rsidRDefault="00D408C4" w:rsidP="00D408C4">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D408C4" w:rsidRPr="000562EA" w:rsidRDefault="00D408C4" w:rsidP="00D408C4">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D408C4" w:rsidRPr="002405F3" w:rsidRDefault="00D408C4" w:rsidP="00D408C4">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Subtitle"/>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871C36">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871C36">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config parameter data_valid_on_both_clock_edges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While config parameter data_valid_on_both_clock_edges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r>
              <w:rPr>
                <w:sz w:val="15"/>
                <w:szCs w:val="15"/>
              </w:rPr>
              <w:t>rgmii_write</w:t>
            </w:r>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are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36932C88" w14:textId="77777777" w:rsidR="00E37B08" w:rsidRDefault="00524571" w:rsidP="00101F40">
            <w:pPr>
              <w:tabs>
                <w:tab w:val="left" w:pos="4820"/>
              </w:tabs>
              <w:spacing w:line="276" w:lineRule="auto"/>
              <w:rPr>
                <w:sz w:val="15"/>
                <w:szCs w:val="15"/>
              </w:rPr>
            </w:pPr>
            <w:r>
              <w:rPr>
                <w:sz w:val="15"/>
                <w:szCs w:val="15"/>
              </w:rPr>
              <w:t xml:space="preserve"> </w:t>
            </w:r>
          </w:p>
          <w:p w14:paraId="488E8BAF" w14:textId="47203346" w:rsidR="003F5EEF" w:rsidRPr="00696288" w:rsidRDefault="003F5EEF" w:rsidP="00101F40">
            <w:pPr>
              <w:tabs>
                <w:tab w:val="left" w:pos="4820"/>
              </w:tabs>
              <w:spacing w:line="276" w:lineRule="auto"/>
              <w:rPr>
                <w:sz w:val="15"/>
                <w:szCs w:val="15"/>
              </w:rPr>
            </w:pPr>
            <w:r>
              <w:rPr>
                <w:sz w:val="15"/>
                <w:szCs w:val="15"/>
              </w:rPr>
              <w:t xml:space="preserve">The default value of </w:t>
            </w:r>
            <w:r w:rsidRPr="007F1299">
              <w:rPr>
                <w:sz w:val="15"/>
                <w:szCs w:val="15"/>
              </w:rPr>
              <w:t>action_when_transfer_is_done</w:t>
            </w:r>
            <w:r>
              <w:rPr>
                <w:sz w:val="15"/>
                <w:szCs w:val="15"/>
              </w:rPr>
              <w:t xml:space="preserve"> is </w:t>
            </w:r>
            <w:r w:rsidRPr="007F1299">
              <w:rPr>
                <w:sz w:val="15"/>
                <w:szCs w:val="15"/>
              </w:rPr>
              <w:t>RELEASE_LINE_AFTER_TRANSFER</w:t>
            </w:r>
            <w:r>
              <w:rPr>
                <w:sz w:val="15"/>
                <w:szCs w:val="15"/>
              </w:rPr>
              <w:t xml:space="preserve"> which drives the TXEN low at the end of the procedure. However, if </w:t>
            </w:r>
            <w:r w:rsidRPr="007F1299">
              <w:rPr>
                <w:sz w:val="15"/>
                <w:szCs w:val="15"/>
              </w:rPr>
              <w:t>HOLD_LINE_AFTER_TRANSFER</w:t>
            </w:r>
            <w:r>
              <w:rPr>
                <w:sz w:val="15"/>
                <w:szCs w:val="15"/>
              </w:rPr>
              <w:t xml:space="preserve"> is used, the TXEN will be held at the end of the procedure.</w:t>
            </w:r>
          </w:p>
        </w:tc>
      </w:tr>
      <w:tr w:rsidR="00312462" w:rsidRPr="0042320D" w14:paraId="5F0C78AD" w14:textId="77777777" w:rsidTr="00871C36">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While config parameter data_valid_on_both_clock_edges = true (default):</w:t>
            </w:r>
          </w:p>
          <w:p w14:paraId="13424E4B" w14:textId="77777777" w:rsidR="00871C36" w:rsidRDefault="001950EC" w:rsidP="00871C36">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w:t>
            </w:r>
            <w:r w:rsidR="00871C36">
              <w:rPr>
                <w:sz w:val="15"/>
                <w:szCs w:val="15"/>
              </w:rPr>
              <w:t>To avoid having to delay the receiver’s clock, the config rx_clock_skew is used to set the sampling time of the data.</w:t>
            </w:r>
          </w:p>
          <w:p w14:paraId="3356EB23" w14:textId="71C25D6C" w:rsidR="00761519" w:rsidRDefault="00761519" w:rsidP="001950EC">
            <w:pPr>
              <w:tabs>
                <w:tab w:val="left" w:pos="4820"/>
              </w:tabs>
              <w:spacing w:line="276" w:lineRule="auto"/>
              <w:rPr>
                <w:sz w:val="15"/>
                <w:szCs w:val="15"/>
              </w:rPr>
            </w:pPr>
          </w:p>
          <w:p w14:paraId="6FA65865" w14:textId="258AB7FF" w:rsidR="00761519" w:rsidRDefault="00761519" w:rsidP="001950EC">
            <w:pPr>
              <w:tabs>
                <w:tab w:val="left" w:pos="4820"/>
              </w:tabs>
              <w:spacing w:line="276" w:lineRule="auto"/>
              <w:rPr>
                <w:sz w:val="15"/>
                <w:szCs w:val="15"/>
              </w:rPr>
            </w:pPr>
            <w:r>
              <w:rPr>
                <w:sz w:val="15"/>
                <w:szCs w:val="15"/>
              </w:rPr>
              <w:t>While config parameter data_valid_on_both_clock_edges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r>
              <w:rPr>
                <w:sz w:val="15"/>
                <w:szCs w:val="15"/>
              </w:rPr>
              <w:t>rgmii_read(</w:t>
            </w:r>
            <w:r w:rsidRPr="002A494A">
              <w:rPr>
                <w:sz w:val="15"/>
                <w:szCs w:val="15"/>
              </w:rPr>
              <w:t xml:space="preserve">) procedure </w:t>
            </w:r>
            <w:r>
              <w:rPr>
                <w:sz w:val="15"/>
                <w:szCs w:val="15"/>
              </w:rPr>
              <w:t>reads 4 bits of data on each rising clock edge</w:t>
            </w:r>
            <w:r w:rsidRPr="00204EA1">
              <w:rPr>
                <w:sz w:val="15"/>
                <w:szCs w:val="15"/>
              </w:rPr>
              <w:t>.</w:t>
            </w:r>
            <w:r>
              <w:rPr>
                <w:sz w:val="15"/>
                <w:szCs w:val="15"/>
              </w:rPr>
              <w:t xml:space="preserve"> The bits 3:0 are read on the first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871C36">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871C36">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lastRenderedPageBreak/>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r w:rsidRPr="0078420D">
              <w:rPr>
                <w:bCs/>
                <w:szCs w:val="18"/>
              </w:rPr>
              <w:t>match_strictness</w:t>
            </w:r>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r>
              <w:rPr>
                <w:bCs/>
                <w:szCs w:val="18"/>
              </w:rPr>
              <w:t>t_</w:t>
            </w:r>
            <w:r w:rsidRPr="0078420D">
              <w:rPr>
                <w:bCs/>
                <w:szCs w:val="18"/>
              </w:rPr>
              <w:t>match_strictness</w:t>
            </w:r>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Matching strictness for std_logic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MATCH_EXACT requires both values to be the same. Note that the expected value</w:t>
            </w:r>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 in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r>
              <w:rPr>
                <w:szCs w:val="18"/>
              </w:rPr>
              <w:t>data_valid_on_both_clock_edges</w:t>
            </w:r>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r>
              <w:rPr>
                <w:szCs w:val="18"/>
              </w:rPr>
              <w:t>boolean</w:t>
            </w:r>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Switch for changing between double data rate and single data rate on rgmii interface</w:t>
            </w:r>
          </w:p>
        </w:tc>
      </w:tr>
    </w:tbl>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13356365" w:rsidR="0050389F" w:rsidRDefault="00F352EC" w:rsidP="00F35929">
      <w:pPr>
        <w:tabs>
          <w:tab w:val="left" w:pos="1843"/>
        </w:tabs>
      </w:pPr>
      <w:bookmarkStart w:id="3" w:name="_Hlk518566954"/>
      <w:r>
        <w:t>See UVVM Essential Mechanisms located in uvvm_vvc_framework/doc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Heading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22C7EF2D" w:rsidR="00A96D85" w:rsidRDefault="00C468EC" w:rsidP="002405F3">
      <w:pPr>
        <w:pStyle w:val="ListParagraph"/>
        <w:numPr>
          <w:ilvl w:val="0"/>
          <w:numId w:val="10"/>
        </w:numPr>
      </w:pPr>
      <w:r w:rsidRPr="0042320D">
        <w:t xml:space="preserve">Apply dedicated message_id_panel to allow dedicated verbosity control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5FAA4BE1" w:rsidR="00FE28E3" w:rsidRDefault="00886641" w:rsidP="00FE28E3">
      <w:r>
        <w:t xml:space="preserve">See section </w:t>
      </w:r>
      <w:r>
        <w:fldChar w:fldCharType="begin"/>
      </w:r>
      <w:r>
        <w:instrText xml:space="preserve"> REF _Ref44666685 \r \h </w:instrText>
      </w:r>
      <w:r>
        <w:fldChar w:fldCharType="separate"/>
      </w:r>
      <w:r w:rsidR="00B40745">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Heading1"/>
      </w:pPr>
      <w:bookmarkStart w:id="6" w:name="_Ref44666685"/>
      <w:r>
        <w:t>Local BFM configuration</w:t>
      </w:r>
      <w:bookmarkEnd w:id="6"/>
    </w:p>
    <w:p w14:paraId="4920497F" w14:textId="31E95572"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B40745">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 t_rgmii_bfm_config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max_wait_cycles_severity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clock_period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rx_clock_skew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match_strictness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id_for_bfm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41ECE73F"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B40745">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E62847">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EC8FE" w14:textId="77777777" w:rsidR="00E62847" w:rsidRPr="009F58C4" w:rsidRDefault="00E62847">
      <w:pPr>
        <w:rPr>
          <w:rFonts w:ascii="Arial" w:hAnsi="Arial" w:cs="Arial"/>
          <w:lang w:val="sq-AL"/>
        </w:rPr>
      </w:pPr>
      <w:r w:rsidRPr="009F58C4">
        <w:rPr>
          <w:rFonts w:ascii="Arial" w:hAnsi="Arial" w:cs="Arial"/>
          <w:lang w:val="sq-AL"/>
        </w:rPr>
        <w:separator/>
      </w:r>
    </w:p>
  </w:endnote>
  <w:endnote w:type="continuationSeparator" w:id="0">
    <w:p w14:paraId="1FDC5897" w14:textId="77777777" w:rsidR="00E62847" w:rsidRPr="009F58C4" w:rsidRDefault="00E6284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urier">
    <w:altName w:val="Courier New"/>
    <w:panose1 w:val="020704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2839DB"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0B49314"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A27208">
            <w:rPr>
              <w:rFonts w:ascii="Helvetica" w:hAnsi="Helvetica" w:cs="Arial"/>
              <w:b/>
              <w:color w:val="1381C4"/>
              <w:sz w:val="14"/>
              <w:lang w:val="sq-AL"/>
            </w:rPr>
            <w:t>3</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40745">
            <w:rPr>
              <w:rFonts w:ascii="Helvetica" w:hAnsi="Helvetica" w:cs="Arial"/>
              <w:noProof/>
              <w:color w:val="1381C4"/>
              <w:sz w:val="14"/>
              <w:lang w:val="en-US"/>
            </w:rPr>
            <w:t>2024-04-10</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161DC" w14:textId="77777777" w:rsidR="00E62847" w:rsidRPr="009F58C4" w:rsidRDefault="00E62847">
      <w:pPr>
        <w:rPr>
          <w:rFonts w:ascii="Arial" w:hAnsi="Arial" w:cs="Arial"/>
          <w:lang w:val="sq-AL"/>
        </w:rPr>
      </w:pPr>
      <w:r w:rsidRPr="009F58C4">
        <w:rPr>
          <w:rFonts w:ascii="Arial" w:hAnsi="Arial" w:cs="Arial"/>
          <w:lang w:val="sq-AL"/>
        </w:rPr>
        <w:separator/>
      </w:r>
    </w:p>
  </w:footnote>
  <w:footnote w:type="continuationSeparator" w:id="0">
    <w:p w14:paraId="29AA76B0" w14:textId="77777777" w:rsidR="00E62847" w:rsidRPr="009F58C4" w:rsidRDefault="00E6284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08284" w14:textId="671CF713" w:rsidR="00C97118" w:rsidRDefault="00000000">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20AF6F7E" w:rsidR="006E2764" w:rsidRDefault="006E2764" w:rsidP="000308F1">
    <w:pPr>
      <w:pStyle w:val="Header"/>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305ADB28" w:rsidR="006E2764" w:rsidRDefault="006E2764" w:rsidP="000308F1">
    <w:pPr>
      <w:pStyle w:val="Header"/>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0C30"/>
    <w:rsid w:val="001E1442"/>
    <w:rsid w:val="001E202C"/>
    <w:rsid w:val="001E4016"/>
    <w:rsid w:val="001E42EA"/>
    <w:rsid w:val="001E655E"/>
    <w:rsid w:val="001E701C"/>
    <w:rsid w:val="001F00B6"/>
    <w:rsid w:val="001F02E2"/>
    <w:rsid w:val="001F0A28"/>
    <w:rsid w:val="001F0C55"/>
    <w:rsid w:val="001F0C98"/>
    <w:rsid w:val="001F3B5D"/>
    <w:rsid w:val="001F3E9F"/>
    <w:rsid w:val="001F5744"/>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9DB"/>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070A"/>
    <w:rsid w:val="003F11A4"/>
    <w:rsid w:val="003F1D09"/>
    <w:rsid w:val="003F53F9"/>
    <w:rsid w:val="003F5EEF"/>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907"/>
    <w:rsid w:val="006F4D13"/>
    <w:rsid w:val="006F505A"/>
    <w:rsid w:val="006F57DA"/>
    <w:rsid w:val="006F72E7"/>
    <w:rsid w:val="006F7DF9"/>
    <w:rsid w:val="0070069C"/>
    <w:rsid w:val="00700964"/>
    <w:rsid w:val="007017C3"/>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1C36"/>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27208"/>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08C4"/>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2847"/>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1505</Words>
  <Characters>9545</Characters>
  <Application>Microsoft Office Word</Application>
  <DocSecurity>0</DocSecurity>
  <Lines>340</Lines>
  <Paragraphs>290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10760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2024-03-08T11:15:00Z</dcterms:created>
  <dcterms:modified xsi:type="dcterms:W3CDTF">2024-04-10T10:23:00Z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051bca3ca041369a75189f7463cdd0eaa8986235a241f59f01b8fa281a4b4e08</vt:lpwstr>
  </property>
</Properties>
</file>