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81D86" w:rsidRPr="00CA2244" w:rsidRDefault="00281D8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81D86" w:rsidRPr="00CA2244" w:rsidRDefault="00281D8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gramEnd"/>
            <w:r w:rsidRPr="0034799A">
              <w:rPr>
                <w:rFonts w:cs="Helvetica"/>
                <w:b w:val="0"/>
                <w:bCs w:val="0"/>
                <w:sz w:val="15"/>
                <w:szCs w:val="28"/>
                <w:highlight w:val="darkGray"/>
              </w:rPr>
              <w: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" filled="f" stroked="f">
                <v:textbo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gramEnd"/>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" filled="f" stroked="f">
                <v:textbo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B92CFB" w:rsidRPr="009572B4" w14:paraId="79F2C8BF" w14:textId="77777777" w:rsidTr="00B143F4">
        <w:trPr>
          <w:trHeight w:val="132"/>
        </w:trPr>
        <w:tc>
          <w:tcPr>
            <w:tcW w:w="2815" w:type="dxa"/>
            <w:tcBorders>
              <w:left w:val="nil"/>
              <w:right w:val="nil"/>
            </w:tcBorders>
            <w:shd w:val="clear" w:color="auto" w:fill="FFFFFF" w:themeFill="background1"/>
            <w:vAlign w:val="center"/>
          </w:tcPr>
          <w:p w14:paraId="0BFE6912" w14:textId="2978C343" w:rsidR="00B92CFB" w:rsidRPr="00FB1499" w:rsidRDefault="00360D86"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701" w:type="dxa"/>
            <w:tcBorders>
              <w:left w:val="nil"/>
              <w:right w:val="nil"/>
            </w:tcBorders>
            <w:shd w:val="clear" w:color="auto" w:fill="FFFFFF" w:themeFill="background1"/>
            <w:vAlign w:val="center"/>
          </w:tcPr>
          <w:p w14:paraId="3A118DF0" w14:textId="11419D43" w:rsidR="00B92CFB" w:rsidRPr="00FB1499" w:rsidRDefault="00B92CFB"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828" w:type="dxa"/>
            <w:tcBorders>
              <w:left w:val="nil"/>
              <w:right w:val="nil"/>
            </w:tcBorders>
            <w:shd w:val="clear" w:color="auto" w:fill="FFFFFF" w:themeFill="background1"/>
            <w:vAlign w:val="center"/>
          </w:tcPr>
          <w:p w14:paraId="4E7F0515" w14:textId="28C49411" w:rsidR="00B92CFB" w:rsidRPr="00FB1499" w:rsidRDefault="00EE4FE0" w:rsidP="00433727">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755A7270"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r w:rsidR="00281D86">
              <w:rPr>
                <w:rFonts w:cs="Helvetica"/>
                <w:sz w:val="15"/>
              </w:rPr>
              <w:t xml:space="preserve">. Note that this will initialize </w:t>
            </w:r>
            <w:proofErr w:type="spellStart"/>
            <w:r w:rsidR="00281D86">
              <w:rPr>
                <w:rFonts w:cs="Helvetica"/>
                <w:sz w:val="15"/>
              </w:rPr>
              <w:t>num_data_bits</w:t>
            </w:r>
            <w:proofErr w:type="spellEnd"/>
            <w:r w:rsidR="00281D86">
              <w:rPr>
                <w:rFonts w:cs="Helvetica"/>
                <w:sz w:val="15"/>
              </w:rPr>
              <w:t xml:space="preserve"> in the BFM configuration</w:t>
            </w:r>
            <w:r w:rsidR="00E30419">
              <w:rPr>
                <w:rFonts w:cs="Helvetica"/>
                <w:sz w:val="15"/>
              </w:rPr>
              <w:t xml:space="preserve"> and override the setting in GC_UART_CONFIG.</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7759BB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E16DB4">
              <w:rPr>
                <w:rFonts w:cs="Helvetica"/>
                <w:sz w:val="15"/>
                <w:szCs w:val="18"/>
              </w:rPr>
              <w:t>G</w:t>
            </w:r>
            <w:r w:rsidRPr="00662DF1">
              <w:rPr>
                <w:rFonts w:cs="Helvetica"/>
                <w:sz w:val="15"/>
                <w:szCs w:val="18"/>
              </w:rPr>
              <w:t>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(VVCT,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w:t>
            </w:r>
            <w:proofErr w:type="gramStart"/>
            <w:r w:rsidRPr="004320A2">
              <w:rPr>
                <w:rFonts w:cs="Helvetica"/>
                <w:sz w:val="15"/>
                <w:szCs w:val="15"/>
                <w:highlight w:val="darkGray"/>
              </w:rPr>
              <w:t>config</w:t>
            </w:r>
            <w:proofErr w:type="spellEnd"/>
            <w:proofErr w:type="gram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gramEnd"/>
            <w:r w:rsidRPr="00E8140C">
              <w:rPr>
                <w:rFonts w:ascii="Courier New" w:hAnsi="Courier New" w:cs="Courier New"/>
                <w:sz w:val="15"/>
                <w:szCs w:val="15"/>
                <w:highlight w:val="darkGray"/>
              </w:rPr>
              <w: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proofErr w:type="gramStart"/>
            <w:r w:rsidRPr="00B93AB8">
              <w:rPr>
                <w:rFonts w:ascii="Courier New" w:hAnsi="Courier New" w:cs="Courier New"/>
                <w:sz w:val="15"/>
                <w:szCs w:val="15"/>
              </w:rPr>
              <w:t>);</w:t>
            </w:r>
            <w:proofErr w:type="gramEnd"/>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proofErr w:type="gramStart"/>
            <w:r w:rsidRPr="00E8140C">
              <w:rPr>
                <w:rFonts w:ascii="Courier New" w:hAnsi="Courier New" w:cs="Courier New"/>
                <w:sz w:val="15"/>
                <w:szCs w:val="15"/>
                <w:highlight w:val="darkGray"/>
              </w:rPr>
              <w:t>);</w:t>
            </w:r>
            <w:proofErr w:type="gramEnd"/>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552B4A12"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00D75BB7">
              <w:rPr>
                <w:rFonts w:ascii="Courier New" w:hAnsi="Courier New" w:cs="Courier New"/>
                <w:sz w:val="15"/>
                <w:szCs w:val="15"/>
              </w:rPr>
              <w:t>, RX</w:t>
            </w:r>
            <w:r w:rsidR="007B6CE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37DDC43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7591E169"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39317AB" w14:textId="2F40AFE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73AF0B5B"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AC6E5C" w:rsidRPr="000D27CF">
              <w:rPr>
                <w:rFonts w:cs="Helvetica"/>
                <w:sz w:val="15"/>
                <w:szCs w:val="18"/>
              </w:rPr>
              <w:t xml:space="preserve">initiated </w:t>
            </w:r>
            <w:r w:rsidR="004E76A6">
              <w:rPr>
                <w:rFonts w:cs="Helvetica"/>
                <w:sz w:val="15"/>
                <w:szCs w:val="18"/>
              </w:rPr>
              <w:t>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330A9B">
        <w:trPr>
          <w:gridAfter w:val="1"/>
          <w:wAfter w:w="405" w:type="dxa"/>
        </w:trPr>
        <w:tc>
          <w:tcPr>
            <w:tcW w:w="2943" w:type="dxa"/>
            <w:tcBorders>
              <w:left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r w:rsidR="00330A9B" w:rsidRPr="00A96D85" w14:paraId="6E29C099" w14:textId="77777777" w:rsidTr="00BB6334">
        <w:trPr>
          <w:gridAfter w:val="1"/>
          <w:wAfter w:w="405" w:type="dxa"/>
        </w:trPr>
        <w:tc>
          <w:tcPr>
            <w:tcW w:w="2943" w:type="dxa"/>
            <w:tcBorders>
              <w:left w:val="nil"/>
              <w:bottom w:val="nil"/>
              <w:right w:val="nil"/>
            </w:tcBorders>
            <w:shd w:val="clear" w:color="auto" w:fill="auto"/>
          </w:tcPr>
          <w:p w14:paraId="534E0F0C" w14:textId="36B971B2" w:rsidR="00330A9B" w:rsidRPr="009C4146" w:rsidRDefault="00161747" w:rsidP="00903EAF">
            <w:pPr>
              <w:spacing w:line="276" w:lineRule="auto"/>
              <w:rPr>
                <w:rFonts w:cs="Helvetica"/>
                <w:sz w:val="15"/>
                <w:szCs w:val="18"/>
              </w:rPr>
            </w:pPr>
            <w:proofErr w:type="spellStart"/>
            <w:r>
              <w:rPr>
                <w:sz w:val="15"/>
                <w:szCs w:val="15"/>
              </w:rPr>
              <w:t>unwanted_activity_severity</w:t>
            </w:r>
            <w:proofErr w:type="spellEnd"/>
          </w:p>
        </w:tc>
        <w:tc>
          <w:tcPr>
            <w:tcW w:w="1843" w:type="dxa"/>
            <w:tcBorders>
              <w:left w:val="nil"/>
              <w:bottom w:val="nil"/>
              <w:right w:val="nil"/>
            </w:tcBorders>
            <w:shd w:val="clear" w:color="auto" w:fill="auto"/>
          </w:tcPr>
          <w:p w14:paraId="74A41EBD" w14:textId="1C7143E9" w:rsidR="00330A9B" w:rsidRPr="009C4146" w:rsidRDefault="00330A9B" w:rsidP="00903EAF">
            <w:pPr>
              <w:spacing w:line="276" w:lineRule="auto"/>
              <w:rPr>
                <w:rFonts w:cs="Helvetica"/>
                <w:sz w:val="15"/>
                <w:szCs w:val="18"/>
              </w:rPr>
            </w:pPr>
            <w:proofErr w:type="spellStart"/>
            <w:r>
              <w:rPr>
                <w:rFonts w:cs="Helvetica"/>
                <w:sz w:val="15"/>
                <w:szCs w:val="18"/>
              </w:rPr>
              <w:t>t_alert_level</w:t>
            </w:r>
            <w:proofErr w:type="spellEnd"/>
          </w:p>
        </w:tc>
        <w:tc>
          <w:tcPr>
            <w:tcW w:w="4111" w:type="dxa"/>
            <w:tcBorders>
              <w:left w:val="nil"/>
              <w:bottom w:val="nil"/>
              <w:right w:val="nil"/>
            </w:tcBorders>
            <w:shd w:val="clear" w:color="auto" w:fill="auto"/>
          </w:tcPr>
          <w:p w14:paraId="573C41A1" w14:textId="6ECC227D" w:rsidR="00330A9B" w:rsidRPr="009C4146" w:rsidRDefault="00EE4FE0" w:rsidP="00903EAF">
            <w:pPr>
              <w:spacing w:line="276" w:lineRule="auto"/>
              <w:rPr>
                <w:rFonts w:cs="Helvetica"/>
                <w:sz w:val="15"/>
                <w:szCs w:val="18"/>
              </w:rPr>
            </w:pPr>
            <w:r>
              <w:rPr>
                <w:sz w:val="15"/>
                <w:szCs w:val="15"/>
              </w:rPr>
              <w:t>C_UNWANTED_ACTIVITY_SEVERITY</w:t>
            </w:r>
          </w:p>
        </w:tc>
        <w:tc>
          <w:tcPr>
            <w:tcW w:w="6232" w:type="dxa"/>
            <w:tcBorders>
              <w:left w:val="nil"/>
              <w:bottom w:val="nil"/>
              <w:right w:val="nil"/>
            </w:tcBorders>
            <w:shd w:val="clear" w:color="auto" w:fill="auto"/>
          </w:tcPr>
          <w:p w14:paraId="3DAE98D4" w14:textId="4B1F6F51" w:rsidR="00330A9B" w:rsidRPr="009C4146" w:rsidRDefault="00D9558A" w:rsidP="00903EAF">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TX output is detected. Unwanted activity detection is enabled (ERROR) by default.</w:t>
            </w:r>
          </w:p>
        </w:tc>
      </w:tr>
    </w:tbl>
    <w:p w14:paraId="2CDEAB35" w14:textId="77777777" w:rsidR="00E16DB4" w:rsidRDefault="00E16DB4" w:rsidP="00E16DB4">
      <w:pPr>
        <w:rPr>
          <w:b/>
          <w:bCs/>
          <w:i/>
          <w:iCs/>
        </w:rPr>
      </w:pPr>
    </w:p>
    <w:p w14:paraId="65E2EA2E" w14:textId="58D2DFC0" w:rsidR="00E16DB4" w:rsidRPr="009009CA" w:rsidRDefault="00E16DB4" w:rsidP="00E16DB4">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E82D527" w14:textId="77777777" w:rsidR="00F42120" w:rsidRDefault="00F42120" w:rsidP="009517AC">
      <w:pPr>
        <w:pStyle w:val="Subtitle"/>
        <w:spacing w:after="40"/>
        <w:rPr>
          <w:szCs w:val="24"/>
        </w:rPr>
      </w:pPr>
    </w:p>
    <w:p w14:paraId="3AED8E3F" w14:textId="55D81AA3" w:rsidR="009517AC" w:rsidRPr="00A32A58" w:rsidRDefault="009517AC" w:rsidP="009517AC">
      <w:pPr>
        <w:pStyle w:val="Subtitle"/>
        <w:spacing w:after="40"/>
        <w:rPr>
          <w:szCs w:val="24"/>
        </w:rPr>
      </w:pPr>
      <w:r w:rsidRPr="00A32A58">
        <w:rPr>
          <w:szCs w:val="24"/>
        </w:rPr>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421D747D"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 xml:space="preserve">Note 1: A value of 1.0 means every transmission should have this error injection, whereas 0.0 means error injection is turned off. Anything in between means randomisation with the given </w:t>
                  </w:r>
                  <w:r w:rsidR="00B44B72" w:rsidRPr="00A32A58">
                    <w:rPr>
                      <w:rFonts w:ascii="Verdana" w:hAnsi="Verdana" w:cs="Helvetica"/>
                      <w:sz w:val="14"/>
                    </w:rPr>
                    <w:t>probability.</w:t>
                  </w:r>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VVC config will override any error injection specified in the BFM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BFM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 xml:space="preserve">UVVM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Subtitle"/>
              <w:spacing w:after="40"/>
              <w:rPr>
                <w:szCs w:val="24"/>
              </w:rPr>
            </w:pPr>
          </w:p>
          <w:p w14:paraId="04993178" w14:textId="4B30D637" w:rsidR="00D97E0B" w:rsidRPr="00A32A58" w:rsidRDefault="00D97E0B" w:rsidP="00D97E0B">
            <w:pPr>
              <w:pStyle w:val="Subtitle"/>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proofErr w:type="spellStart"/>
                  <w:r w:rsidRPr="00A32A58">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 xml:space="preserve">UVVM Essential Mechanisms’ located in </w:t>
            </w:r>
            <w:proofErr w:type="spellStart"/>
            <w:r w:rsidR="00D97E0B" w:rsidRPr="00A32A58">
              <w:t>uvvm_vvc_framework</w:t>
            </w:r>
            <w:proofErr w:type="spellEnd"/>
            <w:r w:rsidR="00D97E0B" w:rsidRPr="00A32A58">
              <w:t>/doc.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w:t>
      </w:r>
      <w:proofErr w:type="gramStart"/>
      <w:r>
        <w:t>current status</w:t>
      </w:r>
      <w:proofErr w:type="gramEnd"/>
      <w:r>
        <w:t xml:space="preserve">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Heading1"/>
      </w:pPr>
      <w:r>
        <w:t xml:space="preserve">Transaction Info </w:t>
      </w:r>
    </w:p>
    <w:p w14:paraId="4368A721" w14:textId="2EFC9A4F" w:rsidR="0089129B" w:rsidRDefault="0089129B" w:rsidP="0089129B">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06C07031" w14:textId="625FB538" w:rsidR="00C014B3" w:rsidRDefault="00C014B3" w:rsidP="00C014B3">
      <w:pPr>
        <w:pStyle w:val="Caption"/>
        <w:keepNext/>
        <w:jc w:val="center"/>
      </w:pPr>
      <w:bookmarkStart w:id="4"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6DAE4BDD" w14:textId="77777777" w:rsidR="00F42120" w:rsidRDefault="00F42120" w:rsidP="0089129B"/>
    <w:p w14:paraId="7C71BA24" w14:textId="2F3C15DD" w:rsidR="0089129B" w:rsidRDefault="0089129B" w:rsidP="0089129B"/>
    <w:p w14:paraId="19CF4008" w14:textId="77777777" w:rsidR="0089129B" w:rsidRDefault="0089129B" w:rsidP="0089129B">
      <w:pPr>
        <w:pStyle w:val="Heading1"/>
      </w:pPr>
      <w:r>
        <w:lastRenderedPageBreak/>
        <w:t>Scoreboard</w:t>
      </w:r>
    </w:p>
    <w:p w14:paraId="3ED8330C" w14:textId="65B73620"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w:t>
      </w:r>
      <w:r w:rsidR="000C4464" w:rsidRPr="001B5449">
        <w:rPr>
          <w:color w:val="000000" w:themeColor="text1"/>
        </w:rPr>
        <w:t>i.e.,</w:t>
      </w:r>
      <w:r w:rsidRPr="001B5449">
        <w:rPr>
          <w:color w:val="000000" w:themeColor="text1"/>
        </w:rPr>
        <w:t xml:space="preserv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proofErr w:type="spellStart"/>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spellEnd"/>
      <w:r w:rsidRPr="001B5449">
        <w:rPr>
          <w:rFonts w:ascii="Consolas" w:hAnsi="Consolas" w:cs="Consolas"/>
          <w:color w:val="000000" w:themeColor="text1"/>
        </w:rPr>
        <w:t>(</w:t>
      </w:r>
      <w:proofErr w:type="gramEnd"/>
      <w:r w:rsidRPr="001B5449">
        <w:rPr>
          <w:rFonts w:ascii="Consolas" w:hAnsi="Consolas" w:cs="Consolas"/>
          <w:color w:val="000000" w:themeColor="text1"/>
        </w:rPr>
        <w: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w:t>
      </w:r>
      <w:proofErr w:type="spellStart"/>
      <w:r w:rsidRPr="001B5449">
        <w:rPr>
          <w:color w:val="000000" w:themeColor="text1"/>
        </w:rPr>
        <w:t>Bitvis</w:t>
      </w:r>
      <w:proofErr w:type="spellEnd"/>
      <w:r w:rsidRPr="001B5449">
        <w:rPr>
          <w:color w:val="000000" w:themeColor="text1"/>
        </w:rPr>
        <w:t xml:space="preserve">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xml:space="preserve">. </w:t>
      </w:r>
      <w:proofErr w:type="gramStart"/>
      <w:r w:rsidRPr="001B5449">
        <w:rPr>
          <w:color w:val="000000" w:themeColor="text1"/>
        </w:rPr>
        <w:t>All of</w:t>
      </w:r>
      <w:proofErr w:type="gramEnd"/>
      <w:r w:rsidRPr="001B5449">
        <w:rPr>
          <w:color w:val="000000" w:themeColor="text1"/>
        </w:rPr>
        <w:t xml:space="preserve">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Heading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VVCs in the </w:t>
      </w:r>
      <w:r w:rsidR="00912EBA">
        <w:rPr>
          <w:rFonts w:ascii="Verdana" w:hAnsi="Verdana"/>
        </w:rPr>
        <w:t>VVC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17813365" w14:textId="77777777" w:rsidR="006C3725" w:rsidRDefault="006C3725" w:rsidP="00A96D85">
      <w:pPr>
        <w:rPr>
          <w:rFonts w:ascii="Verdana" w:hAnsi="Verdana"/>
        </w:rPr>
      </w:pPr>
    </w:p>
    <w:p w14:paraId="3F10B60D" w14:textId="33A4DF03" w:rsidR="00D52901" w:rsidRDefault="00D52901" w:rsidP="00D52901">
      <w:pPr>
        <w:pStyle w:val="Heading1"/>
        <w:rPr>
          <w:rFonts w:ascii="Helvetica" w:hAnsi="Helvetica" w:cs="Helvetica"/>
        </w:rPr>
      </w:pPr>
      <w:r>
        <w:rPr>
          <w:rFonts w:ascii="Helvetica" w:hAnsi="Helvetica" w:cs="Helvetica"/>
        </w:rPr>
        <w:t>Unwanted Activity Detection</w:t>
      </w:r>
    </w:p>
    <w:p w14:paraId="293D7A02" w14:textId="1ACFE788" w:rsidR="006C3725" w:rsidRDefault="00D56A4B" w:rsidP="00D52901">
      <w:r>
        <w:t>This VVC supports detection of unwanted activity from the DUT. This mechanism will give an alert if the DUT generates any unexpected bus activity. It assures that no data is output from the DUT when it is not expected</w:t>
      </w:r>
      <w:r w:rsidR="000C4464">
        <w:t xml:space="preserve">, </w:t>
      </w:r>
      <w:proofErr w:type="gramStart"/>
      <w:r w:rsidR="00C42F52">
        <w:t>i</w:t>
      </w:r>
      <w:r w:rsidR="000C4464">
        <w:t>.</w:t>
      </w:r>
      <w:r w:rsidR="00C42F52">
        <w:t>e</w:t>
      </w:r>
      <w:r w:rsidR="000C4464">
        <w:t>.</w:t>
      </w:r>
      <w:proofErr w:type="gramEnd"/>
      <w:r w:rsidR="00635625">
        <w:t xml:space="preserve"> </w:t>
      </w:r>
      <w:r w:rsidR="00A22121">
        <w:t xml:space="preserve">UART receive/expect VVC methods are not called. </w:t>
      </w:r>
      <w:r>
        <w:t xml:space="preserve">Once the VVC is inactive, it starts to monitor continuously on the DUT TX output. When unwanted activity is detected, the VVC issues an alert of severity. </w:t>
      </w:r>
      <w:r w:rsidR="00CC3000">
        <w:t xml:space="preserve">Note that this </w:t>
      </w:r>
      <w:r w:rsidR="007D0BCB">
        <w:t xml:space="preserve">feature </w:t>
      </w:r>
      <w:r w:rsidR="00CC3000">
        <w:t xml:space="preserve">is only implemented on </w:t>
      </w:r>
      <w:proofErr w:type="spellStart"/>
      <w:r w:rsidR="00CC3000" w:rsidRPr="00CC3000">
        <w:rPr>
          <w:rFonts w:ascii="Consolas" w:hAnsi="Consolas"/>
        </w:rPr>
        <w:t>uart_rx_vvc</w:t>
      </w:r>
      <w:proofErr w:type="spellEnd"/>
      <w:r w:rsidR="00CC3000">
        <w:t>.</w:t>
      </w:r>
      <w:r w:rsidR="000C4464">
        <w:t xml:space="preserve"> </w:t>
      </w:r>
    </w:p>
    <w:p w14:paraId="27D97E6B" w14:textId="77777777" w:rsidR="006C3725" w:rsidRDefault="006C3725" w:rsidP="00D52901"/>
    <w:p w14:paraId="00CD8F4B" w14:textId="77777777" w:rsidR="00D56A4B" w:rsidRDefault="00D56A4B" w:rsidP="00D56A4B">
      <w:r>
        <w:t>The unwanted activity detection can be configured from the c</w:t>
      </w:r>
      <w:r w:rsidRPr="00F95064">
        <w:t xml:space="preserve">entral </w:t>
      </w:r>
      <w:r>
        <w:t>t</w:t>
      </w:r>
      <w:r w:rsidRPr="00F95064">
        <w:t xml:space="preserve">estbench </w:t>
      </w:r>
      <w:r>
        <w:t>s</w:t>
      </w:r>
      <w:r w:rsidRPr="00F95064">
        <w:t>equencer</w:t>
      </w:r>
      <w:r>
        <w:t xml:space="preserve">, where the severity of alert can be changed to a different value.  </w:t>
      </w:r>
    </w:p>
    <w:p w14:paraId="347CC366" w14:textId="13BB84AF" w:rsidR="00A22121" w:rsidRDefault="00A22121" w:rsidP="00D52901">
      <w:r>
        <w:t>To disable this feature in the testbench, e.g.:</w:t>
      </w:r>
    </w:p>
    <w:p w14:paraId="25D2F20A" w14:textId="1377DF95" w:rsidR="00A25668" w:rsidRPr="00A22121" w:rsidRDefault="00A22121" w:rsidP="00D52901">
      <w:pPr>
        <w:rPr>
          <w:rFonts w:ascii="Courier New" w:hAnsi="Courier New" w:cs="Courier New"/>
        </w:rPr>
      </w:pPr>
      <w:r>
        <w:rPr>
          <w:rFonts w:ascii="Courier New" w:hAnsi="Courier New" w:cs="Courier New"/>
        </w:rPr>
        <w:t xml:space="preserve">  </w:t>
      </w:r>
      <w:proofErr w:type="spellStart"/>
      <w:r w:rsidR="00CC3000" w:rsidRPr="00A22121">
        <w:rPr>
          <w:rFonts w:ascii="Courier New" w:hAnsi="Courier New" w:cs="Courier New"/>
        </w:rPr>
        <w:t>shared_uart_vvc_</w:t>
      </w:r>
      <w:proofErr w:type="gramStart"/>
      <w:r w:rsidR="00CC3000" w:rsidRPr="00A22121">
        <w:rPr>
          <w:rFonts w:ascii="Courier New" w:hAnsi="Courier New" w:cs="Courier New"/>
        </w:rPr>
        <w:t>config</w:t>
      </w:r>
      <w:proofErr w:type="spellEnd"/>
      <w:r w:rsidR="00CC3000" w:rsidRPr="00A22121">
        <w:rPr>
          <w:rFonts w:ascii="Courier New" w:hAnsi="Courier New" w:cs="Courier New"/>
        </w:rPr>
        <w:t>(</w:t>
      </w:r>
      <w:proofErr w:type="gramEnd"/>
      <w:r w:rsidR="00CC3000" w:rsidRPr="00A22121">
        <w:rPr>
          <w:rFonts w:ascii="Courier New" w:hAnsi="Courier New" w:cs="Courier New"/>
        </w:rPr>
        <w:t xml:space="preserve">RX, </w:t>
      </w:r>
      <w:r w:rsidR="00EC43CD" w:rsidRPr="00A22121">
        <w:rPr>
          <w:rFonts w:ascii="Courier New" w:hAnsi="Courier New" w:cs="Courier New"/>
        </w:rPr>
        <w:t>C_VVC_INDEX</w:t>
      </w:r>
      <w:r w:rsidR="00CC3000" w:rsidRPr="00A22121">
        <w:rPr>
          <w:rFonts w:ascii="Courier New" w:hAnsi="Courier New" w:cs="Courier New"/>
        </w:rPr>
        <w:t>).</w:t>
      </w:r>
      <w:proofErr w:type="spellStart"/>
      <w:r w:rsidR="00A01AA7" w:rsidRPr="00A22121">
        <w:rPr>
          <w:rFonts w:ascii="Courier New" w:hAnsi="Courier New" w:cs="Courier New"/>
        </w:rPr>
        <w:t>unwanted_activity_severity</w:t>
      </w:r>
      <w:proofErr w:type="spellEnd"/>
      <w:r w:rsidR="00CC3000" w:rsidRPr="00A22121">
        <w:rPr>
          <w:rFonts w:ascii="Courier New" w:hAnsi="Courier New" w:cs="Courier New"/>
        </w:rPr>
        <w:t xml:space="preserve"> </w:t>
      </w:r>
      <w:r w:rsidR="00EE4FE0" w:rsidRPr="00A22121">
        <w:rPr>
          <w:rFonts w:ascii="Courier New" w:hAnsi="Courier New" w:cs="Courier New"/>
        </w:rPr>
        <w:t>:</w:t>
      </w:r>
      <w:r w:rsidR="00CC3000" w:rsidRPr="00A22121">
        <w:rPr>
          <w:rFonts w:ascii="Courier New" w:hAnsi="Courier New" w:cs="Courier New"/>
        </w:rPr>
        <w:t>= NO_ALERT</w:t>
      </w:r>
      <w:r w:rsidRPr="00A22121">
        <w:rPr>
          <w:rFonts w:ascii="Courier New" w:hAnsi="Courier New" w:cs="Courier New"/>
        </w:rPr>
        <w:t>;</w:t>
      </w:r>
    </w:p>
    <w:p w14:paraId="0A3A9FA6" w14:textId="77777777" w:rsidR="00A25668" w:rsidRDefault="00A25668" w:rsidP="00D52901">
      <w:pPr>
        <w:rPr>
          <w:rFonts w:cs="Helvetica"/>
        </w:rPr>
      </w:pPr>
    </w:p>
    <w:p w14:paraId="122B54F1" w14:textId="1EFD53CC" w:rsidR="00CC3000" w:rsidRDefault="005756A7" w:rsidP="00D52901">
      <w:pPr>
        <w:rPr>
          <w:rFonts w:cs="Helvetica"/>
        </w:rPr>
      </w:pPr>
      <w:r>
        <w:rPr>
          <w:rFonts w:cs="Helvetica"/>
        </w:rPr>
        <w:t>For UART VVC,</w:t>
      </w:r>
      <w:r w:rsidR="00CC3000" w:rsidRPr="00CC3000">
        <w:rPr>
          <w:rFonts w:cs="Helvetica"/>
        </w:rPr>
        <w:t xml:space="preserve"> the unwante</w:t>
      </w:r>
      <w:r w:rsidR="00CC3000">
        <w:rPr>
          <w:rFonts w:cs="Helvetica"/>
        </w:rPr>
        <w:t xml:space="preserve">d activity </w:t>
      </w:r>
      <w:r w:rsidR="002A4229">
        <w:rPr>
          <w:rFonts w:cs="Helvetica"/>
        </w:rPr>
        <w:t xml:space="preserve">detection </w:t>
      </w:r>
      <w:r w:rsidR="00CC3000">
        <w:rPr>
          <w:rFonts w:cs="Helvetica"/>
        </w:rPr>
        <w:t xml:space="preserve">is </w:t>
      </w:r>
      <w:r w:rsidR="00BD077D">
        <w:rPr>
          <w:rFonts w:cs="Helvetica"/>
        </w:rPr>
        <w:t>enabled (</w:t>
      </w:r>
      <w:proofErr w:type="spellStart"/>
      <w:r w:rsidR="00627511">
        <w:rPr>
          <w:rFonts w:ascii="Consolas" w:hAnsi="Consolas"/>
        </w:rPr>
        <w:t>unwanted_activity_</w:t>
      </w:r>
      <w:proofErr w:type="gramStart"/>
      <w:r w:rsidR="00627511">
        <w:rPr>
          <w:rFonts w:ascii="Consolas" w:hAnsi="Consolas"/>
        </w:rPr>
        <w:t>severity</w:t>
      </w:r>
      <w:proofErr w:type="spellEnd"/>
      <w:r w:rsidR="00627511" w:rsidRPr="00CC3000">
        <w:rPr>
          <w:rFonts w:ascii="Consolas" w:hAnsi="Consolas"/>
        </w:rPr>
        <w:t xml:space="preserve"> </w:t>
      </w:r>
      <w:r w:rsidR="00EE4FE0">
        <w:rPr>
          <w:rFonts w:ascii="Consolas" w:hAnsi="Consolas"/>
        </w:rPr>
        <w:t>:</w:t>
      </w:r>
      <w:proofErr w:type="gramEnd"/>
      <w:r w:rsidR="00BD077D" w:rsidRPr="00BD077D">
        <w:rPr>
          <w:rFonts w:ascii="Consolas" w:hAnsi="Consolas" w:cs="Helvetica"/>
        </w:rPr>
        <w:t xml:space="preserve">= </w:t>
      </w:r>
      <w:r w:rsidR="00627511">
        <w:rPr>
          <w:rFonts w:ascii="Consolas" w:hAnsi="Consolas" w:cs="Helvetica"/>
        </w:rPr>
        <w:t>ERROR</w:t>
      </w:r>
      <w:r w:rsidR="00BD077D">
        <w:rPr>
          <w:rFonts w:cs="Helvetica"/>
        </w:rPr>
        <w:t>)</w:t>
      </w:r>
      <w:r w:rsidR="00CC3000">
        <w:rPr>
          <w:rFonts w:cs="Helvetica"/>
        </w:rPr>
        <w:t xml:space="preserve"> by default. </w:t>
      </w:r>
    </w:p>
    <w:p w14:paraId="794919FD" w14:textId="77777777" w:rsidR="002D6BAF" w:rsidRDefault="002D6BAF" w:rsidP="00D52901">
      <w:pPr>
        <w:rPr>
          <w:rFonts w:cs="Helvetica"/>
        </w:rPr>
      </w:pPr>
    </w:p>
    <w:p w14:paraId="2C881A86" w14:textId="17E8FD92"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71E12FD9"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8F5A38">
        <w:rPr>
          <w:b/>
          <w:i/>
        </w:rPr>
        <w:t>4</w:t>
      </w:r>
      <w:r w:rsidR="007B1B2E">
        <w:rPr>
          <w:b/>
          <w:i/>
        </w:rPr>
        <w:t>.0 and up</w:t>
      </w:r>
    </w:p>
    <w:p w14:paraId="24A74256" w14:textId="314B0D75"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8F5A38">
        <w:rPr>
          <w:b/>
          <w:i/>
        </w:rPr>
        <w:t>10</w:t>
      </w:r>
      <w:r w:rsidR="007B1B2E">
        <w:rPr>
          <w:b/>
          <w:i/>
        </w:rPr>
        <w:t>.</w:t>
      </w:r>
      <w:r w:rsidR="004103AF">
        <w:rPr>
          <w:b/>
          <w:i/>
        </w:rPr>
        <w:t>0</w:t>
      </w:r>
      <w:r w:rsidR="007B1B2E">
        <w:rPr>
          <w:b/>
          <w:i/>
        </w:rPr>
        <w:t xml:space="preserve"> and up</w:t>
      </w:r>
    </w:p>
    <w:p w14:paraId="3FA89909" w14:textId="4909F775" w:rsidR="00604608" w:rsidRDefault="001F64A7" w:rsidP="009902B2">
      <w:pPr>
        <w:pStyle w:val="ListParagraph"/>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Paragraph"/>
        <w:numPr>
          <w:ilvl w:val="0"/>
          <w:numId w:val="40"/>
        </w:numPr>
      </w:pPr>
      <w:proofErr w:type="spellStart"/>
      <w:r w:rsidRPr="00045454">
        <w:rPr>
          <w:b/>
          <w:i/>
        </w:rPr>
        <w:t>Bitvis</w:t>
      </w:r>
      <w:proofErr w:type="spellEnd"/>
      <w:r w:rsidRPr="00045454">
        <w:rPr>
          <w:b/>
          <w:i/>
        </w:rPr>
        <w:t xml:space="preserve"> VIP Scoreboard</w:t>
      </w:r>
    </w:p>
    <w:p w14:paraId="1E55B100" w14:textId="77777777" w:rsidR="00045454" w:rsidRDefault="00045454" w:rsidP="00045454">
      <w:pPr>
        <w:pStyle w:val="ListParagraph"/>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224C31A6"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r w:rsidR="000F6CF5">
        <w:t>UVVM</w:t>
      </w:r>
      <w:r>
        <w:t xml:space="preserve"> at </w:t>
      </w:r>
      <w:hyperlink r:id="rId10" w:history="1">
        <w:r w:rsidR="000F6CF5" w:rsidRPr="002C2739">
          <w:rPr>
            <w:rStyle w:val="Hyperlink"/>
          </w:rPr>
          <w:t>info@uvvm.org</w:t>
        </w:r>
      </w:hyperlink>
      <w:r w:rsidR="000F6CF5">
        <w:t xml:space="preserve"> </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v:textbox>
                <w10:wrap type="square"/>
              </v:shape>
            </w:pict>
          </mc:Fallback>
        </mc:AlternateContent>
      </w:r>
    </w:p>
    <w:sectPr w:rsidR="002F3699" w:rsidRPr="00F26B83" w:rsidSect="004C0376">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0D22" w14:textId="77777777" w:rsidR="00AC7D9A" w:rsidRPr="009F58C4" w:rsidRDefault="00AC7D9A">
      <w:pPr>
        <w:rPr>
          <w:rFonts w:ascii="Arial" w:hAnsi="Arial" w:cs="Arial"/>
          <w:lang w:val="sq-AL"/>
        </w:rPr>
      </w:pPr>
      <w:r w:rsidRPr="009F58C4">
        <w:rPr>
          <w:rFonts w:ascii="Arial" w:hAnsi="Arial" w:cs="Arial"/>
          <w:lang w:val="sq-AL"/>
        </w:rPr>
        <w:separator/>
      </w:r>
    </w:p>
  </w:endnote>
  <w:endnote w:type="continuationSeparator" w:id="0">
    <w:p w14:paraId="12949A36" w14:textId="77777777" w:rsidR="00AC7D9A" w:rsidRPr="009F58C4" w:rsidRDefault="00AC7D9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81D86" w:rsidRDefault="00281D86"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81D86" w:rsidRDefault="00281D86"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56A6" w14:textId="77777777" w:rsidR="00281D86" w:rsidRPr="00FA2638" w:rsidRDefault="00281D86" w:rsidP="00E12A0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F6CF5" w:rsidRPr="00C42F52" w14:paraId="35168E3E" w14:textId="77777777" w:rsidTr="004D74A3">
      <w:trPr>
        <w:trHeight w:val="214"/>
        <w:jc w:val="center"/>
      </w:trPr>
      <w:tc>
        <w:tcPr>
          <w:tcW w:w="3918" w:type="dxa"/>
          <w:vAlign w:val="center"/>
        </w:tcPr>
        <w:p w14:paraId="78424532" w14:textId="28E6EDD8" w:rsidR="00281D86" w:rsidRPr="000F6CF5" w:rsidRDefault="00281D86" w:rsidP="004D74A3">
          <w:pPr>
            <w:pStyle w:val="Footer"/>
            <w:tabs>
              <w:tab w:val="clear" w:pos="4153"/>
              <w:tab w:val="clear" w:pos="8306"/>
            </w:tabs>
            <w:spacing w:line="276" w:lineRule="auto"/>
            <w:ind w:right="360"/>
            <w:rPr>
              <w:rFonts w:ascii="Helvetica" w:hAnsi="Helvetica" w:cs="Arial"/>
              <w:color w:val="0070C0"/>
              <w:sz w:val="14"/>
              <w:lang w:val="sq-AL"/>
            </w:rPr>
          </w:pPr>
          <w:r w:rsidRPr="000F6CF5">
            <w:rPr>
              <w:rFonts w:ascii="Helvetica" w:hAnsi="Helvetica" w:cs="Arial"/>
              <w:b/>
              <w:color w:val="0070C0"/>
              <w:sz w:val="14"/>
              <w:lang w:val="sq-AL"/>
            </w:rPr>
            <w:t>UART VVC</w:t>
          </w:r>
          <w:r w:rsidRPr="000F6CF5">
            <w:rPr>
              <w:rFonts w:ascii="Helvetica" w:hAnsi="Helvetica" w:cs="Arial"/>
              <w:color w:val="0070C0"/>
              <w:sz w:val="14"/>
              <w:lang w:val="sq-AL"/>
            </w:rPr>
            <w:t xml:space="preserve"> - Quick Reference</w:t>
          </w:r>
        </w:p>
      </w:tc>
      <w:tc>
        <w:tcPr>
          <w:tcW w:w="3919" w:type="dxa"/>
          <w:vAlign w:val="center"/>
        </w:tcPr>
        <w:p w14:paraId="216579DD" w14:textId="2BA603B5" w:rsidR="00281D86" w:rsidRPr="000F6CF5" w:rsidRDefault="00281D86" w:rsidP="00CC0BBC">
          <w:pPr>
            <w:pStyle w:val="Footer"/>
            <w:tabs>
              <w:tab w:val="clear" w:pos="4153"/>
              <w:tab w:val="clear" w:pos="8306"/>
            </w:tabs>
            <w:spacing w:line="276" w:lineRule="auto"/>
            <w:rPr>
              <w:rFonts w:ascii="Helvetica" w:hAnsi="Helvetica" w:cs="Arial"/>
              <w:color w:val="0070C0"/>
              <w:sz w:val="14"/>
              <w:lang w:val="sq-AL"/>
            </w:rPr>
          </w:pPr>
          <w:r w:rsidRPr="000F6CF5">
            <w:rPr>
              <w:rFonts w:ascii="Helvetica" w:hAnsi="Helvetica" w:cs="Arial"/>
              <w:b/>
              <w:color w:val="0070C0"/>
              <w:sz w:val="14"/>
              <w:lang w:val="sq-AL"/>
            </w:rPr>
            <w:t xml:space="preserve">Version </w:t>
          </w:r>
          <w:r w:rsidR="00DC0C16" w:rsidRPr="000F6CF5">
            <w:rPr>
              <w:rFonts w:ascii="Helvetica" w:hAnsi="Helvetica" w:cs="Arial"/>
              <w:b/>
              <w:color w:val="0070C0"/>
              <w:sz w:val="14"/>
              <w:lang w:val="sq-AL"/>
            </w:rPr>
            <w:t>3</w:t>
          </w:r>
          <w:r w:rsidRPr="000F6CF5">
            <w:rPr>
              <w:rFonts w:ascii="Helvetica" w:hAnsi="Helvetica" w:cs="Arial"/>
              <w:b/>
              <w:color w:val="0070C0"/>
              <w:sz w:val="14"/>
              <w:lang w:val="sq-AL"/>
            </w:rPr>
            <w:t>.</w:t>
          </w:r>
          <w:r w:rsidR="00DC0C16" w:rsidRPr="000F6CF5">
            <w:rPr>
              <w:rFonts w:ascii="Helvetica" w:hAnsi="Helvetica" w:cs="Arial"/>
              <w:b/>
              <w:color w:val="0070C0"/>
              <w:sz w:val="14"/>
              <w:lang w:val="sq-AL"/>
            </w:rPr>
            <w:t>0</w:t>
          </w:r>
          <w:r w:rsidRPr="000F6CF5">
            <w:rPr>
              <w:rFonts w:ascii="Helvetica" w:hAnsi="Helvetica" w:cs="Arial"/>
              <w:b/>
              <w:color w:val="0070C0"/>
              <w:sz w:val="14"/>
              <w:lang w:val="sq-AL"/>
            </w:rPr>
            <w:t>.x</w:t>
          </w:r>
          <w:r w:rsidRPr="000F6CF5">
            <w:rPr>
              <w:rFonts w:ascii="Helvetica" w:hAnsi="Helvetica" w:cs="Arial"/>
              <w:color w:val="0070C0"/>
              <w:sz w:val="14"/>
              <w:lang w:val="sq-AL"/>
            </w:rPr>
            <w:t xml:space="preserve"> - Last update: </w:t>
          </w:r>
          <w:r w:rsidRPr="000F6CF5">
            <w:rPr>
              <w:rFonts w:ascii="Helvetica" w:hAnsi="Helvetica" w:cs="Arial"/>
              <w:color w:val="0070C0"/>
              <w:sz w:val="14"/>
              <w:lang w:val="sq-AL"/>
            </w:rPr>
            <w:fldChar w:fldCharType="begin"/>
          </w:r>
          <w:r w:rsidRPr="000F6CF5">
            <w:rPr>
              <w:rFonts w:ascii="Helvetica" w:hAnsi="Helvetica" w:cs="Arial"/>
              <w:color w:val="0070C0"/>
              <w:sz w:val="14"/>
              <w:lang w:val="en-US"/>
            </w:rPr>
            <w:instrText xml:space="preserve"> DATE  \@ "yyyy-MM-dd" </w:instrText>
          </w:r>
          <w:r w:rsidRPr="000F6CF5">
            <w:rPr>
              <w:rFonts w:ascii="Helvetica" w:hAnsi="Helvetica" w:cs="Arial"/>
              <w:color w:val="0070C0"/>
              <w:sz w:val="14"/>
              <w:lang w:val="sq-AL"/>
            </w:rPr>
            <w:fldChar w:fldCharType="separate"/>
          </w:r>
          <w:r w:rsidR="00AB5EF5">
            <w:rPr>
              <w:rFonts w:ascii="Helvetica" w:hAnsi="Helvetica" w:cs="Arial"/>
              <w:noProof/>
              <w:color w:val="0070C0"/>
              <w:sz w:val="14"/>
              <w:lang w:val="en-US"/>
            </w:rPr>
            <w:t>2024-06-27</w:t>
          </w:r>
          <w:r w:rsidRPr="000F6CF5">
            <w:rPr>
              <w:rFonts w:ascii="Helvetica" w:hAnsi="Helvetica" w:cs="Arial"/>
              <w:color w:val="0070C0"/>
              <w:sz w:val="14"/>
              <w:lang w:val="sq-AL"/>
            </w:rPr>
            <w:fldChar w:fldCharType="end"/>
          </w:r>
        </w:p>
      </w:tc>
      <w:tc>
        <w:tcPr>
          <w:tcW w:w="3929" w:type="dxa"/>
          <w:vAlign w:val="center"/>
        </w:tcPr>
        <w:p w14:paraId="4D00DFF0" w14:textId="10251287" w:rsidR="00281D86" w:rsidRPr="000F6CF5"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BB7772" w:rsidRPr="000F6CF5">
              <w:rPr>
                <w:rStyle w:val="Hyperlink"/>
                <w:rFonts w:ascii="Helvetica" w:hAnsi="Helvetica" w:cs="Arial"/>
                <w:color w:val="0070C0"/>
                <w:sz w:val="14"/>
                <w:lang w:val="sq-AL"/>
              </w:rPr>
              <w:t>info@uvvm.org</w:t>
            </w:r>
          </w:hyperlink>
          <w:r w:rsidR="00BB7772" w:rsidRPr="000F6CF5">
            <w:rPr>
              <w:rFonts w:ascii="Helvetica" w:hAnsi="Helvetica" w:cs="Arial"/>
              <w:color w:val="0070C0"/>
              <w:sz w:val="14"/>
              <w:lang w:val="sq-AL"/>
            </w:rPr>
            <w:t xml:space="preserve"> </w:t>
          </w:r>
          <w:r w:rsidR="00281D86" w:rsidRPr="000F6CF5">
            <w:rPr>
              <w:rFonts w:ascii="Helvetica" w:hAnsi="Helvetica" w:cs="Arial"/>
              <w:color w:val="0070C0"/>
              <w:sz w:val="14"/>
              <w:lang w:val="sq-AL"/>
            </w:rPr>
            <w:t xml:space="preserve">    </w:t>
          </w:r>
          <w:r w:rsidR="00BB7772" w:rsidRPr="000F6CF5">
            <w:rPr>
              <w:rFonts w:ascii="Helvetica" w:hAnsi="Helvetica" w:cs="Arial"/>
              <w:color w:val="0070C0"/>
              <w:sz w:val="14"/>
              <w:lang w:val="sq-AL"/>
            </w:rPr>
            <w:t xml:space="preserve">                                          </w:t>
          </w:r>
          <w:hyperlink r:id="rId2" w:history="1">
            <w:r w:rsidR="00BB7772" w:rsidRPr="000F6CF5">
              <w:rPr>
                <w:rStyle w:val="Hyperlink"/>
                <w:rFonts w:ascii="Helvetica" w:hAnsi="Helvetica" w:cs="Arial"/>
                <w:color w:val="0070C0"/>
                <w:sz w:val="14"/>
                <w:lang w:val="sq-AL"/>
              </w:rPr>
              <w:t>www.uvvm.org</w:t>
            </w:r>
          </w:hyperlink>
          <w:r w:rsidR="00BB7772" w:rsidRPr="000F6CF5">
            <w:rPr>
              <w:rFonts w:ascii="Helvetica" w:hAnsi="Helvetica" w:cs="Arial"/>
              <w:color w:val="0070C0"/>
              <w:sz w:val="14"/>
              <w:u w:val="single"/>
              <w:lang w:val="sq-AL"/>
            </w:rPr>
            <w:t xml:space="preserve"> </w:t>
          </w:r>
          <w:r w:rsidR="00281D86" w:rsidRPr="000F6CF5">
            <w:rPr>
              <w:rStyle w:val="Hyperlink"/>
              <w:rFonts w:ascii="Helvetica" w:hAnsi="Helvetica" w:cs="Arial"/>
              <w:color w:val="0070C0"/>
              <w:sz w:val="14"/>
              <w:lang w:val="sq-AL"/>
            </w:rPr>
            <w:t xml:space="preserve"> </w:t>
          </w:r>
        </w:p>
      </w:tc>
      <w:tc>
        <w:tcPr>
          <w:tcW w:w="3409" w:type="dxa"/>
          <w:vAlign w:val="center"/>
        </w:tcPr>
        <w:p w14:paraId="359BCD0F" w14:textId="67490470" w:rsidR="00281D86" w:rsidRPr="000F6CF5" w:rsidRDefault="00281D86"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281D86" w:rsidRPr="000F6CF5" w:rsidRDefault="00281D86" w:rsidP="00C23A56">
    <w:pPr>
      <w:pStyle w:val="Footer"/>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61A1C91" w:rsidR="00281D86" w:rsidRPr="003354AD" w:rsidRDefault="00281D8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BB7772">
      <w:rPr>
        <w:iCs/>
        <w:color w:val="000000" w:themeColor="text1"/>
        <w:sz w:val="14"/>
        <w:szCs w:val="16"/>
      </w:rPr>
      <w:t>24</w:t>
    </w:r>
    <w:r>
      <w:rPr>
        <w:iCs/>
        <w:color w:val="000000" w:themeColor="text1"/>
        <w:sz w:val="14"/>
        <w:szCs w:val="16"/>
      </w:rPr>
      <w:t xml:space="preserve"> by </w:t>
    </w:r>
    <w:r w:rsidR="00BB7772">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281D86" w:rsidRDefault="0028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82CDD" w14:textId="77777777" w:rsidR="00AC7D9A" w:rsidRPr="009F58C4" w:rsidRDefault="00AC7D9A">
      <w:pPr>
        <w:rPr>
          <w:rFonts w:ascii="Arial" w:hAnsi="Arial" w:cs="Arial"/>
          <w:lang w:val="sq-AL"/>
        </w:rPr>
      </w:pPr>
      <w:r w:rsidRPr="009F58C4">
        <w:rPr>
          <w:rFonts w:ascii="Arial" w:hAnsi="Arial" w:cs="Arial"/>
          <w:lang w:val="sq-AL"/>
        </w:rPr>
        <w:separator/>
      </w:r>
    </w:p>
  </w:footnote>
  <w:footnote w:type="continuationSeparator" w:id="0">
    <w:p w14:paraId="3C76E1E3" w14:textId="77777777" w:rsidR="00AC7D9A" w:rsidRPr="009F58C4" w:rsidRDefault="00AC7D9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52C6B86C" w:rsidR="00281D86" w:rsidRDefault="00281D86"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E56B8C7" w:rsidR="00281D86" w:rsidRDefault="00281D86" w:rsidP="000308F1">
    <w:pPr>
      <w:pStyle w:val="Header"/>
      <w:jc w:val="right"/>
    </w:pPr>
  </w:p>
  <w:p w14:paraId="04F01531" w14:textId="77777777" w:rsidR="00281D86" w:rsidRDefault="00281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846283276">
    <w:abstractNumId w:val="38"/>
  </w:num>
  <w:num w:numId="2" w16cid:durableId="1235314109">
    <w:abstractNumId w:val="0"/>
  </w:num>
  <w:num w:numId="3" w16cid:durableId="3556755">
    <w:abstractNumId w:val="9"/>
  </w:num>
  <w:num w:numId="4" w16cid:durableId="799348101">
    <w:abstractNumId w:val="18"/>
  </w:num>
  <w:num w:numId="5" w16cid:durableId="1086266011">
    <w:abstractNumId w:val="30"/>
  </w:num>
  <w:num w:numId="6" w16cid:durableId="445924201">
    <w:abstractNumId w:val="20"/>
  </w:num>
  <w:num w:numId="7" w16cid:durableId="607350584">
    <w:abstractNumId w:val="11"/>
  </w:num>
  <w:num w:numId="8" w16cid:durableId="605888742">
    <w:abstractNumId w:val="32"/>
  </w:num>
  <w:num w:numId="9" w16cid:durableId="355428435">
    <w:abstractNumId w:val="27"/>
  </w:num>
  <w:num w:numId="10" w16cid:durableId="1675451040">
    <w:abstractNumId w:val="7"/>
  </w:num>
  <w:num w:numId="11" w16cid:durableId="1606959592">
    <w:abstractNumId w:val="1"/>
  </w:num>
  <w:num w:numId="12" w16cid:durableId="638535265">
    <w:abstractNumId w:val="37"/>
  </w:num>
  <w:num w:numId="13" w16cid:durableId="1367875853">
    <w:abstractNumId w:val="8"/>
  </w:num>
  <w:num w:numId="14" w16cid:durableId="835342431">
    <w:abstractNumId w:val="21"/>
  </w:num>
  <w:num w:numId="15" w16cid:durableId="1530724924">
    <w:abstractNumId w:val="23"/>
  </w:num>
  <w:num w:numId="16" w16cid:durableId="1721977844">
    <w:abstractNumId w:val="29"/>
  </w:num>
  <w:num w:numId="17" w16cid:durableId="1515875816">
    <w:abstractNumId w:val="16"/>
  </w:num>
  <w:num w:numId="18" w16cid:durableId="853692625">
    <w:abstractNumId w:val="2"/>
  </w:num>
  <w:num w:numId="19" w16cid:durableId="2119986851">
    <w:abstractNumId w:val="34"/>
  </w:num>
  <w:num w:numId="20" w16cid:durableId="33622213">
    <w:abstractNumId w:val="4"/>
  </w:num>
  <w:num w:numId="21" w16cid:durableId="1401827562">
    <w:abstractNumId w:val="35"/>
  </w:num>
  <w:num w:numId="22" w16cid:durableId="340813580">
    <w:abstractNumId w:val="13"/>
  </w:num>
  <w:num w:numId="23" w16cid:durableId="657148012">
    <w:abstractNumId w:val="40"/>
  </w:num>
  <w:num w:numId="24" w16cid:durableId="227767852">
    <w:abstractNumId w:val="36"/>
  </w:num>
  <w:num w:numId="25" w16cid:durableId="541984900">
    <w:abstractNumId w:val="17"/>
  </w:num>
  <w:num w:numId="26" w16cid:durableId="595330374">
    <w:abstractNumId w:val="39"/>
  </w:num>
  <w:num w:numId="27" w16cid:durableId="1383866411">
    <w:abstractNumId w:val="12"/>
  </w:num>
  <w:num w:numId="28" w16cid:durableId="756095096">
    <w:abstractNumId w:val="24"/>
  </w:num>
  <w:num w:numId="29" w16cid:durableId="483592579">
    <w:abstractNumId w:val="10"/>
  </w:num>
  <w:num w:numId="30" w16cid:durableId="1450974952">
    <w:abstractNumId w:val="28"/>
  </w:num>
  <w:num w:numId="31" w16cid:durableId="89543025">
    <w:abstractNumId w:val="26"/>
  </w:num>
  <w:num w:numId="32" w16cid:durableId="1068502027">
    <w:abstractNumId w:val="15"/>
  </w:num>
  <w:num w:numId="33" w16cid:durableId="287056456">
    <w:abstractNumId w:val="41"/>
  </w:num>
  <w:num w:numId="34" w16cid:durableId="260912733">
    <w:abstractNumId w:val="42"/>
  </w:num>
  <w:num w:numId="35" w16cid:durableId="597252276">
    <w:abstractNumId w:val="5"/>
  </w:num>
  <w:num w:numId="36" w16cid:durableId="64183389">
    <w:abstractNumId w:val="22"/>
  </w:num>
  <w:num w:numId="37" w16cid:durableId="1336690483">
    <w:abstractNumId w:val="31"/>
  </w:num>
  <w:num w:numId="38" w16cid:durableId="997004156">
    <w:abstractNumId w:val="19"/>
  </w:num>
  <w:num w:numId="39" w16cid:durableId="884608801">
    <w:abstractNumId w:val="14"/>
  </w:num>
  <w:num w:numId="40" w16cid:durableId="1273787037">
    <w:abstractNumId w:val="3"/>
  </w:num>
  <w:num w:numId="41" w16cid:durableId="889998967">
    <w:abstractNumId w:val="25"/>
  </w:num>
  <w:num w:numId="42" w16cid:durableId="209920526">
    <w:abstractNumId w:val="33"/>
  </w:num>
  <w:num w:numId="43" w16cid:durableId="212776943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565A"/>
    <w:rsid w:val="00097549"/>
    <w:rsid w:val="00097BE5"/>
    <w:rsid w:val="000A288C"/>
    <w:rsid w:val="000A2A20"/>
    <w:rsid w:val="000A3B4E"/>
    <w:rsid w:val="000A5C20"/>
    <w:rsid w:val="000A6656"/>
    <w:rsid w:val="000B0FF0"/>
    <w:rsid w:val="000B1007"/>
    <w:rsid w:val="000B2268"/>
    <w:rsid w:val="000B2B19"/>
    <w:rsid w:val="000B3A3B"/>
    <w:rsid w:val="000B5D48"/>
    <w:rsid w:val="000B7345"/>
    <w:rsid w:val="000C0876"/>
    <w:rsid w:val="000C35D0"/>
    <w:rsid w:val="000C3991"/>
    <w:rsid w:val="000C4464"/>
    <w:rsid w:val="000C4A2D"/>
    <w:rsid w:val="000C71D0"/>
    <w:rsid w:val="000D0AE1"/>
    <w:rsid w:val="000D415F"/>
    <w:rsid w:val="000D4711"/>
    <w:rsid w:val="000D607E"/>
    <w:rsid w:val="000D72F1"/>
    <w:rsid w:val="000E2A5F"/>
    <w:rsid w:val="000E6E0F"/>
    <w:rsid w:val="000F1D70"/>
    <w:rsid w:val="000F5759"/>
    <w:rsid w:val="000F57ED"/>
    <w:rsid w:val="000F6CF5"/>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1747"/>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1EC"/>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1D86"/>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4229"/>
    <w:rsid w:val="002A532C"/>
    <w:rsid w:val="002B06DB"/>
    <w:rsid w:val="002B5B3D"/>
    <w:rsid w:val="002B7E27"/>
    <w:rsid w:val="002C169D"/>
    <w:rsid w:val="002C5C03"/>
    <w:rsid w:val="002C6713"/>
    <w:rsid w:val="002D1C1F"/>
    <w:rsid w:val="002D3479"/>
    <w:rsid w:val="002D64EC"/>
    <w:rsid w:val="002D6661"/>
    <w:rsid w:val="002D670F"/>
    <w:rsid w:val="002D6BA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A9B"/>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C89"/>
    <w:rsid w:val="003C1B13"/>
    <w:rsid w:val="003C548A"/>
    <w:rsid w:val="003C728A"/>
    <w:rsid w:val="003D1878"/>
    <w:rsid w:val="003D2F27"/>
    <w:rsid w:val="003D461F"/>
    <w:rsid w:val="003D7714"/>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4FC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2975"/>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6960"/>
    <w:rsid w:val="004876CE"/>
    <w:rsid w:val="00487CF4"/>
    <w:rsid w:val="004907E6"/>
    <w:rsid w:val="00491696"/>
    <w:rsid w:val="00493329"/>
    <w:rsid w:val="0049509F"/>
    <w:rsid w:val="004A2121"/>
    <w:rsid w:val="004A230F"/>
    <w:rsid w:val="004A2635"/>
    <w:rsid w:val="004A2C1A"/>
    <w:rsid w:val="004A524C"/>
    <w:rsid w:val="004A6673"/>
    <w:rsid w:val="004A7A99"/>
    <w:rsid w:val="004B22F1"/>
    <w:rsid w:val="004B38E3"/>
    <w:rsid w:val="004B41B8"/>
    <w:rsid w:val="004B566C"/>
    <w:rsid w:val="004C0376"/>
    <w:rsid w:val="004C1056"/>
    <w:rsid w:val="004C111B"/>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56A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27511"/>
    <w:rsid w:val="00631EF1"/>
    <w:rsid w:val="0063374A"/>
    <w:rsid w:val="00634CDC"/>
    <w:rsid w:val="006354F8"/>
    <w:rsid w:val="00635625"/>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725"/>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27728"/>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5A00"/>
    <w:rsid w:val="007C6EA5"/>
    <w:rsid w:val="007C74C4"/>
    <w:rsid w:val="007D009A"/>
    <w:rsid w:val="007D0BCB"/>
    <w:rsid w:val="007D3EED"/>
    <w:rsid w:val="007D424F"/>
    <w:rsid w:val="007D5B19"/>
    <w:rsid w:val="007D792D"/>
    <w:rsid w:val="007E107C"/>
    <w:rsid w:val="007E19AE"/>
    <w:rsid w:val="007E334C"/>
    <w:rsid w:val="007E5EAD"/>
    <w:rsid w:val="007E61A0"/>
    <w:rsid w:val="007E7DE2"/>
    <w:rsid w:val="007F0554"/>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4781D"/>
    <w:rsid w:val="00850279"/>
    <w:rsid w:val="0085036D"/>
    <w:rsid w:val="00854471"/>
    <w:rsid w:val="00854C17"/>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6C8A"/>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D85"/>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1A13"/>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3608"/>
    <w:rsid w:val="009F4CA8"/>
    <w:rsid w:val="009F5372"/>
    <w:rsid w:val="009F5881"/>
    <w:rsid w:val="009F58C4"/>
    <w:rsid w:val="009F5D79"/>
    <w:rsid w:val="009F5FDC"/>
    <w:rsid w:val="00A015F7"/>
    <w:rsid w:val="00A01AA7"/>
    <w:rsid w:val="00A020AF"/>
    <w:rsid w:val="00A02EC3"/>
    <w:rsid w:val="00A044A9"/>
    <w:rsid w:val="00A05AA5"/>
    <w:rsid w:val="00A06B73"/>
    <w:rsid w:val="00A07253"/>
    <w:rsid w:val="00A104F5"/>
    <w:rsid w:val="00A11120"/>
    <w:rsid w:val="00A12B35"/>
    <w:rsid w:val="00A13537"/>
    <w:rsid w:val="00A13FFE"/>
    <w:rsid w:val="00A14FC8"/>
    <w:rsid w:val="00A160FB"/>
    <w:rsid w:val="00A17A16"/>
    <w:rsid w:val="00A21ACE"/>
    <w:rsid w:val="00A220FE"/>
    <w:rsid w:val="00A22121"/>
    <w:rsid w:val="00A2333D"/>
    <w:rsid w:val="00A23CEC"/>
    <w:rsid w:val="00A24D76"/>
    <w:rsid w:val="00A24F4B"/>
    <w:rsid w:val="00A25668"/>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87BC6"/>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2915"/>
    <w:rsid w:val="00AB5693"/>
    <w:rsid w:val="00AB56CD"/>
    <w:rsid w:val="00AB5EF5"/>
    <w:rsid w:val="00AB63B1"/>
    <w:rsid w:val="00AB7E96"/>
    <w:rsid w:val="00AC1780"/>
    <w:rsid w:val="00AC21CC"/>
    <w:rsid w:val="00AC6E5C"/>
    <w:rsid w:val="00AC7D9A"/>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43F4"/>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4B72"/>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33A"/>
    <w:rsid w:val="00B91664"/>
    <w:rsid w:val="00B92311"/>
    <w:rsid w:val="00B92C71"/>
    <w:rsid w:val="00B92CFB"/>
    <w:rsid w:val="00B9371E"/>
    <w:rsid w:val="00B93AB8"/>
    <w:rsid w:val="00B97327"/>
    <w:rsid w:val="00BA2110"/>
    <w:rsid w:val="00BA2BAD"/>
    <w:rsid w:val="00BA443B"/>
    <w:rsid w:val="00BA6213"/>
    <w:rsid w:val="00BA7593"/>
    <w:rsid w:val="00BB082A"/>
    <w:rsid w:val="00BB142D"/>
    <w:rsid w:val="00BB28B5"/>
    <w:rsid w:val="00BB6334"/>
    <w:rsid w:val="00BB70D2"/>
    <w:rsid w:val="00BB7772"/>
    <w:rsid w:val="00BB7B24"/>
    <w:rsid w:val="00BC0D7A"/>
    <w:rsid w:val="00BC0ED7"/>
    <w:rsid w:val="00BC1032"/>
    <w:rsid w:val="00BC67B9"/>
    <w:rsid w:val="00BC6998"/>
    <w:rsid w:val="00BD077D"/>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2F52"/>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000"/>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17E2"/>
    <w:rsid w:val="00D32DA1"/>
    <w:rsid w:val="00D34190"/>
    <w:rsid w:val="00D34469"/>
    <w:rsid w:val="00D3450E"/>
    <w:rsid w:val="00D35666"/>
    <w:rsid w:val="00D42346"/>
    <w:rsid w:val="00D4612C"/>
    <w:rsid w:val="00D46F64"/>
    <w:rsid w:val="00D52901"/>
    <w:rsid w:val="00D5340E"/>
    <w:rsid w:val="00D54BBF"/>
    <w:rsid w:val="00D55539"/>
    <w:rsid w:val="00D56A4B"/>
    <w:rsid w:val="00D6132E"/>
    <w:rsid w:val="00D6310B"/>
    <w:rsid w:val="00D646E4"/>
    <w:rsid w:val="00D64A4F"/>
    <w:rsid w:val="00D669D3"/>
    <w:rsid w:val="00D67E4D"/>
    <w:rsid w:val="00D70143"/>
    <w:rsid w:val="00D74DC5"/>
    <w:rsid w:val="00D75BB7"/>
    <w:rsid w:val="00D77EB9"/>
    <w:rsid w:val="00D811AB"/>
    <w:rsid w:val="00D845C3"/>
    <w:rsid w:val="00D87475"/>
    <w:rsid w:val="00D90159"/>
    <w:rsid w:val="00D93383"/>
    <w:rsid w:val="00D93BAF"/>
    <w:rsid w:val="00D9524C"/>
    <w:rsid w:val="00D9558A"/>
    <w:rsid w:val="00D9590C"/>
    <w:rsid w:val="00D97E0B"/>
    <w:rsid w:val="00DA4EA3"/>
    <w:rsid w:val="00DA53A0"/>
    <w:rsid w:val="00DA5F6B"/>
    <w:rsid w:val="00DA6821"/>
    <w:rsid w:val="00DB050C"/>
    <w:rsid w:val="00DB083D"/>
    <w:rsid w:val="00DB0F24"/>
    <w:rsid w:val="00DB17F2"/>
    <w:rsid w:val="00DB33FB"/>
    <w:rsid w:val="00DB77B9"/>
    <w:rsid w:val="00DC0C16"/>
    <w:rsid w:val="00DC1CB5"/>
    <w:rsid w:val="00DC238A"/>
    <w:rsid w:val="00DC254C"/>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6E78"/>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16DB4"/>
    <w:rsid w:val="00E2092C"/>
    <w:rsid w:val="00E2206C"/>
    <w:rsid w:val="00E221D6"/>
    <w:rsid w:val="00E22993"/>
    <w:rsid w:val="00E22AF8"/>
    <w:rsid w:val="00E239DC"/>
    <w:rsid w:val="00E258C3"/>
    <w:rsid w:val="00E2686D"/>
    <w:rsid w:val="00E279FC"/>
    <w:rsid w:val="00E30419"/>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56842"/>
    <w:rsid w:val="00E606DE"/>
    <w:rsid w:val="00E61652"/>
    <w:rsid w:val="00E6170C"/>
    <w:rsid w:val="00E63BC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43CD"/>
    <w:rsid w:val="00EC57A5"/>
    <w:rsid w:val="00EC6016"/>
    <w:rsid w:val="00EC6126"/>
    <w:rsid w:val="00EC65AA"/>
    <w:rsid w:val="00EC69F5"/>
    <w:rsid w:val="00ED0A53"/>
    <w:rsid w:val="00ED4624"/>
    <w:rsid w:val="00ED4C67"/>
    <w:rsid w:val="00ED565B"/>
    <w:rsid w:val="00ED5859"/>
    <w:rsid w:val="00EE4223"/>
    <w:rsid w:val="00EE4583"/>
    <w:rsid w:val="00EE4FE0"/>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120"/>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19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2AFD"/>
    <w:rsid w:val="00F94A54"/>
    <w:rsid w:val="00F95064"/>
    <w:rsid w:val="00F96C1A"/>
    <w:rsid w:val="00F97818"/>
    <w:rsid w:val="00F9793E"/>
    <w:rsid w:val="00FA11B3"/>
    <w:rsid w:val="00FA265F"/>
    <w:rsid w:val="00FA55B9"/>
    <w:rsid w:val="00FA5C45"/>
    <w:rsid w:val="00FA79E1"/>
    <w:rsid w:val="00FB1499"/>
    <w:rsid w:val="00FB313E"/>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078F"/>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E12A0A"/>
    <w:rPr>
      <w:rFonts w:ascii="Arial Narrow" w:hAnsi="Arial Narrow"/>
      <w:sz w:val="16"/>
      <w:lang w:val="en-GB" w:eastAsia="en-US"/>
    </w:rPr>
  </w:style>
  <w:style w:type="character" w:customStyle="1" w:styleId="Heading1Char">
    <w:name w:val="Heading 1 Char"/>
    <w:basedOn w:val="DefaultParagraphFont"/>
    <w:link w:val="Heading1"/>
    <w:rsid w:val="0089129B"/>
    <w:rPr>
      <w:rFonts w:ascii="Verdana" w:hAnsi="Verdana"/>
      <w:b/>
      <w:kern w:val="28"/>
      <w:lang w:val="en-GB" w:eastAsia="en-US"/>
    </w:rPr>
  </w:style>
  <w:style w:type="character" w:styleId="UnresolvedMention">
    <w:name w:val="Unresolved Mention"/>
    <w:basedOn w:val="DefaultParagraphFont"/>
    <w:uiPriority w:val="99"/>
    <w:semiHidden/>
    <w:unhideWhenUsed/>
    <w:rsid w:val="00BB7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1482">
      <w:bodyDiv w:val="1"/>
      <w:marLeft w:val="0"/>
      <w:marRight w:val="0"/>
      <w:marTop w:val="0"/>
      <w:marBottom w:val="0"/>
      <w:divBdr>
        <w:top w:val="none" w:sz="0" w:space="0" w:color="auto"/>
        <w:left w:val="none" w:sz="0" w:space="0" w:color="auto"/>
        <w:bottom w:val="none" w:sz="0" w:space="0" w:color="auto"/>
        <w:right w:val="none" w:sz="0" w:space="0" w:color="auto"/>
      </w:divBdr>
      <w:divsChild>
        <w:div w:id="1168667987">
          <w:marLeft w:val="0"/>
          <w:marRight w:val="0"/>
          <w:marTop w:val="0"/>
          <w:marBottom w:val="0"/>
          <w:divBdr>
            <w:top w:val="none" w:sz="0" w:space="0" w:color="auto"/>
            <w:left w:val="none" w:sz="0" w:space="0" w:color="auto"/>
            <w:bottom w:val="none" w:sz="0" w:space="0" w:color="auto"/>
            <w:right w:val="none" w:sz="0" w:space="0" w:color="auto"/>
          </w:divBdr>
          <w:divsChild>
            <w:div w:id="3446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706878695">
      <w:bodyDiv w:val="1"/>
      <w:marLeft w:val="0"/>
      <w:marRight w:val="0"/>
      <w:marTop w:val="0"/>
      <w:marBottom w:val="0"/>
      <w:divBdr>
        <w:top w:val="none" w:sz="0" w:space="0" w:color="auto"/>
        <w:left w:val="none" w:sz="0" w:space="0" w:color="auto"/>
        <w:bottom w:val="none" w:sz="0" w:space="0" w:color="auto"/>
        <w:right w:val="none" w:sz="0" w:space="0" w:color="auto"/>
      </w:divBdr>
      <w:divsChild>
        <w:div w:id="281301062">
          <w:marLeft w:val="0"/>
          <w:marRight w:val="0"/>
          <w:marTop w:val="0"/>
          <w:marBottom w:val="0"/>
          <w:divBdr>
            <w:top w:val="none" w:sz="0" w:space="0" w:color="auto"/>
            <w:left w:val="none" w:sz="0" w:space="0" w:color="auto"/>
            <w:bottom w:val="none" w:sz="0" w:space="0" w:color="auto"/>
            <w:right w:val="none" w:sz="0" w:space="0" w:color="auto"/>
          </w:divBdr>
          <w:divsChild>
            <w:div w:id="11718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40645606">
      <w:bodyDiv w:val="1"/>
      <w:marLeft w:val="0"/>
      <w:marRight w:val="0"/>
      <w:marTop w:val="0"/>
      <w:marBottom w:val="0"/>
      <w:divBdr>
        <w:top w:val="none" w:sz="0" w:space="0" w:color="auto"/>
        <w:left w:val="none" w:sz="0" w:space="0" w:color="auto"/>
        <w:bottom w:val="none" w:sz="0" w:space="0" w:color="auto"/>
        <w:right w:val="none" w:sz="0" w:space="0" w:color="auto"/>
      </w:divBdr>
      <w:divsChild>
        <w:div w:id="56636419">
          <w:marLeft w:val="0"/>
          <w:marRight w:val="0"/>
          <w:marTop w:val="0"/>
          <w:marBottom w:val="0"/>
          <w:divBdr>
            <w:top w:val="none" w:sz="0" w:space="0" w:color="auto"/>
            <w:left w:val="none" w:sz="0" w:space="0" w:color="auto"/>
            <w:bottom w:val="none" w:sz="0" w:space="0" w:color="auto"/>
            <w:right w:val="none" w:sz="0" w:space="0" w:color="auto"/>
          </w:divBdr>
          <w:divsChild>
            <w:div w:id="1991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3063</Words>
  <Characters>17463</Characters>
  <Application>Microsoft Office Word</Application>
  <DocSecurity>0</DocSecurity>
  <Lines>145</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20486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2024-03-08T11:26:00Z</dcterms:created>
  <dcterms:modified xsi:type="dcterms:W3CDTF">2024-06-27T10:38:00Z</dcterms:modified>
</cp:coreProperties>
</file>