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spellStart"/>
            <w:proofErr w:type="gramEnd"/>
            <w:r w:rsidR="00DC5A49" w:rsidRPr="00932DDF">
              <w:rPr>
                <w:rFonts w:cs="Verdana"/>
                <w:b w:val="0"/>
                <w:bCs w:val="0"/>
                <w:i/>
                <w:sz w:val="15"/>
                <w:szCs w:val="28"/>
              </w:rPr>
              <w:t>C_ADDR_</w:t>
            </w:r>
            <w:r w:rsidR="00C375B3">
              <w:rPr>
                <w:rFonts w:cs="Verdana"/>
                <w:b w:val="0"/>
                <w:bCs w:val="0"/>
                <w:i/>
                <w:sz w:val="15"/>
                <w:szCs w:val="28"/>
              </w:rPr>
              <w:t>UART_TX</w:t>
            </w:r>
            <w:proofErr w:type="spellEnd"/>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712706">
              <w:rPr>
                <w:rFonts w:cs="Verdana"/>
                <w:b w:val="0"/>
                <w:bCs w:val="0"/>
                <w:i/>
                <w:sz w:val="15"/>
                <w:szCs w:val="28"/>
              </w:rPr>
              <w:t>UART_BAUD</w:t>
            </w:r>
            <w:proofErr w:type="spellEnd"/>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712706">
              <w:rPr>
                <w:rFonts w:cs="Verdana"/>
                <w:b w:val="0"/>
                <w:bCs w:val="0"/>
                <w:i/>
                <w:sz w:val="15"/>
                <w:szCs w:val="28"/>
              </w:rPr>
              <w:t>UART_RX</w:t>
            </w:r>
            <w:proofErr w:type="spellEnd"/>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w:t>
            </w:r>
            <w:proofErr w:type="gramStart"/>
            <w:r w:rsidR="00712706">
              <w:rPr>
                <w:rFonts w:cs="Verdana"/>
                <w:b w:val="0"/>
                <w:sz w:val="15"/>
                <w:szCs w:val="13"/>
              </w:rPr>
              <w:t>until</w:t>
            </w:r>
            <w:proofErr w:type="spellEnd"/>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w:t>
            </w:r>
            <w:proofErr w:type="gramStart"/>
            <w:r w:rsidR="00712706">
              <w:rPr>
                <w:rFonts w:cs="Verdana"/>
                <w:b w:val="0"/>
                <w:bCs w:val="0"/>
                <w:i/>
                <w:sz w:val="15"/>
                <w:szCs w:val="28"/>
              </w:rPr>
              <w:t>until</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w:t>
            </w:r>
            <w:r w:rsidR="00712706">
              <w:rPr>
                <w:rFonts w:cs="Verdana"/>
                <w:b w:val="0"/>
                <w:bCs w:val="0"/>
                <w:i/>
                <w:sz w:val="15"/>
                <w:szCs w:val="28"/>
              </w:rPr>
              <w:t>UART_RX</w:t>
            </w:r>
            <w:proofErr w:type="spellEnd"/>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607"/>
              <w:gridCol w:w="3853"/>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proofErr w:type="spellStart"/>
                  <w:r w:rsidRPr="0042320D">
                    <w:rPr>
                      <w:szCs w:val="16"/>
                    </w:rPr>
                    <w:t>BFM</w:t>
                  </w:r>
                  <w:proofErr w:type="spellEnd"/>
                  <w:r w:rsidRPr="0042320D">
                    <w:rPr>
                      <w:szCs w:val="16"/>
                    </w:rPr>
                    <w:t xml:space="preserve">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7A2E00">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607"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3853"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7A2E00">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607"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853"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7A2E00">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607"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853"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7A2E00">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607"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7A2E00">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607"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853"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7A2E00">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607"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853"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7A2E00">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607"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7A2E00">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607"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53"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7A2E00">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607"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7A2E00">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607"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3853"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7A2E00">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607"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853"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7A2E00" w:rsidRPr="0042320D" w14:paraId="0F72D369" w14:textId="77777777" w:rsidTr="007A2E00">
              <w:trPr>
                <w:trHeight w:val="30"/>
              </w:trPr>
              <w:tc>
                <w:tcPr>
                  <w:tcW w:w="3071" w:type="dxa"/>
                  <w:shd w:val="clear" w:color="auto" w:fill="auto"/>
                  <w:vAlign w:val="bottom"/>
                </w:tcPr>
                <w:p w14:paraId="68F3173A" w14:textId="15F8C07C" w:rsidR="007A2E00" w:rsidRDefault="007A2E00"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607" w:type="dxa"/>
                  <w:shd w:val="clear" w:color="auto" w:fill="auto"/>
                  <w:vAlign w:val="bottom"/>
                </w:tcPr>
                <w:p w14:paraId="50CEFEDC" w14:textId="56A6F81F" w:rsidR="007A2E00" w:rsidRDefault="007A2E00"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853" w:type="dxa"/>
                  <w:shd w:val="clear" w:color="auto" w:fill="auto"/>
                  <w:vAlign w:val="bottom"/>
                </w:tcPr>
                <w:p w14:paraId="30142241" w14:textId="148F078E"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7A2E00">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607"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7A2E00">
              <w:trPr>
                <w:trHeight w:val="20"/>
              </w:trPr>
              <w:tc>
                <w:tcPr>
                  <w:tcW w:w="3071" w:type="dxa"/>
                  <w:shd w:val="clear" w:color="auto" w:fill="auto"/>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607" w:type="dxa"/>
                  <w:shd w:val="clear" w:color="auto" w:fill="auto"/>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auto"/>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7A2E00">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607"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7A2E00">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607"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4E906506"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F17801">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proofErr w:type="gramStart"/>
            <w:r>
              <w:rPr>
                <w:sz w:val="15"/>
                <w:szCs w:val="15"/>
              </w:rPr>
              <w:t>config.clock</w:t>
            </w:r>
            <w:proofErr w:type="gramEnd"/>
            <w:r>
              <w:rPr>
                <w:sz w:val="15"/>
                <w:szCs w:val="15"/>
              </w:rPr>
              <w:t>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proofErr w:type="gramStart"/>
            <w:r w:rsidR="00B85730">
              <w:rPr>
                <w:sz w:val="15"/>
                <w:szCs w:val="15"/>
              </w:rPr>
              <w:t>config.clock</w:t>
            </w:r>
            <w:proofErr w:type="gramEnd"/>
            <w:r w:rsidR="00B85730">
              <w:rPr>
                <w:sz w:val="15"/>
                <w:szCs w:val="15"/>
              </w:rPr>
              <w:t>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the procedure will wait one clock cycle and evaluate the ready signal again. This will repeat until ready is set to ‘1</w:t>
            </w:r>
            <w:proofErr w:type="gramStart"/>
            <w:r w:rsidR="007E6B5E">
              <w:rPr>
                <w:sz w:val="15"/>
                <w:szCs w:val="15"/>
              </w:rPr>
              <w:t>’, or</w:t>
            </w:r>
            <w:proofErr w:type="gramEnd"/>
            <w:r w:rsidR="007E6B5E">
              <w:rPr>
                <w:sz w:val="15"/>
                <w:szCs w:val="15"/>
              </w:rPr>
              <w:t xml:space="preserve">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proofErr w:type="gramStart"/>
            <w:r>
              <w:rPr>
                <w:sz w:val="15"/>
                <w:szCs w:val="15"/>
              </w:rPr>
              <w:t>config.clock</w:t>
            </w:r>
            <w:proofErr w:type="gramEnd"/>
            <w:r>
              <w:rPr>
                <w:sz w:val="15"/>
                <w:szCs w:val="15"/>
              </w:rPr>
              <w:t>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C_SCOPE</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w:t>
            </w:r>
            <w:proofErr w:type="spellStart"/>
            <w:proofErr w:type="gramEnd"/>
            <w:r w:rsidR="004713CC" w:rsidRPr="008D4FA0">
              <w:rPr>
                <w:rFonts w:ascii="Courier New" w:hAnsi="Courier New" w:cs="Courier New"/>
                <w:sz w:val="15"/>
                <w:szCs w:val="15"/>
              </w:rPr>
              <w:t>C_ADDR_UART_TX</w:t>
            </w:r>
            <w:proofErr w:type="spellEnd"/>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spellStart"/>
            <w:proofErr w:type="gramStart"/>
            <w:r>
              <w:rPr>
                <w:sz w:val="15"/>
                <w:szCs w:val="15"/>
              </w:rPr>
              <w:t>config.clock</w:t>
            </w:r>
            <w:proofErr w:type="gramEnd"/>
            <w:r>
              <w:rPr>
                <w:sz w:val="15"/>
                <w:szCs w:val="15"/>
              </w:rPr>
              <w:t>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w:t>
            </w:r>
            <w:proofErr w:type="gramStart"/>
            <w:r w:rsidR="000161E2" w:rsidRPr="000161E2">
              <w:rPr>
                <w:sz w:val="15"/>
                <w:szCs w:val="15"/>
              </w:rPr>
              <w:t>’, or</w:t>
            </w:r>
            <w:proofErr w:type="gramEnd"/>
            <w:r w:rsidR="000161E2" w:rsidRPr="000161E2">
              <w:rPr>
                <w:sz w:val="15"/>
                <w:szCs w:val="15"/>
              </w:rPr>
              <w:t xml:space="preserve">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proofErr w:type="gramStart"/>
            <w:r w:rsidRPr="00552E8C">
              <w:rPr>
                <w:sz w:val="15"/>
                <w:szCs w:val="15"/>
              </w:rPr>
              <w:t>config.clock</w:t>
            </w:r>
            <w:proofErr w:type="gramEnd"/>
            <w:r w:rsidRPr="00552E8C">
              <w:rPr>
                <w:sz w:val="15"/>
                <w:szCs w:val="15"/>
              </w:rPr>
              <w:t>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w:t>
            </w:r>
            <w:proofErr w:type="gramStart"/>
            <w:r w:rsidRPr="0064625C">
              <w:rPr>
                <w:sz w:val="15"/>
                <w:szCs w:val="15"/>
              </w:rPr>
              <w:t>check</w:t>
            </w:r>
            <w:proofErr w:type="spellEnd"/>
            <w:r w:rsidRPr="0064625C">
              <w:rPr>
                <w:sz w:val="15"/>
                <w:szCs w:val="15"/>
              </w:rPr>
              <w:t>(</w:t>
            </w:r>
            <w:proofErr w:type="gram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proofErr w:type="gramStart"/>
            <w:r w:rsidRPr="0064625C">
              <w:rPr>
                <w:sz w:val="15"/>
                <w:szCs w:val="15"/>
              </w:rPr>
              <w:t>proc</w:t>
            </w:r>
            <w:proofErr w:type="gramEnd"/>
            <w:r w:rsidRPr="0064625C">
              <w:rPr>
                <w:sz w:val="15"/>
                <w:szCs w:val="15"/>
              </w:rPr>
              <w:t>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spellEnd"/>
            <w:r w:rsidR="00575C41" w:rsidRPr="008D4FA0">
              <w:rPr>
                <w:rFonts w:ascii="Courier New" w:hAnsi="Courier New" w:cs="Courier New"/>
                <w:sz w:val="15"/>
                <w:szCs w:val="13"/>
              </w:rPr>
              <w:t>(</w:t>
            </w:r>
            <w:proofErr w:type="gram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sbi_read</w:t>
            </w:r>
            <w:proofErr w:type="spell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w:t>
            </w:r>
            <w:proofErr w:type="spellStart"/>
            <w:r w:rsidR="00440179" w:rsidRPr="008D4FA0">
              <w:rPr>
                <w:rFonts w:ascii="Courier New" w:hAnsi="Courier New" w:cs="Courier New"/>
                <w:sz w:val="15"/>
                <w:szCs w:val="15"/>
              </w:rPr>
              <w:t>C_SCOPE</w:t>
            </w:r>
            <w:proofErr w:type="spellEnd"/>
            <w:r w:rsidR="00440179" w:rsidRPr="008D4FA0">
              <w:rPr>
                <w:rFonts w:ascii="Courier New" w:hAnsi="Courier New" w:cs="Courier New"/>
                <w:sz w:val="15"/>
                <w:szCs w:val="15"/>
              </w:rPr>
              <w:t xml:space="preserv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spellEnd"/>
            <w:r w:rsidR="00575C41" w:rsidRPr="008D4FA0">
              <w:rPr>
                <w:rFonts w:ascii="Courier New" w:hAnsi="Courier New" w:cs="Courier New"/>
                <w:sz w:val="15"/>
                <w:szCs w:val="28"/>
              </w:rPr>
              <w:t>(</w:t>
            </w:r>
            <w:proofErr w:type="spellStart"/>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T_BAUD</w:t>
            </w:r>
            <w:proofErr w:type="spellEnd"/>
            <w:r w:rsidR="004713CC" w:rsidRPr="008D4FA0">
              <w:rPr>
                <w:rFonts w:ascii="Courier New" w:hAnsi="Courier New" w:cs="Courier New"/>
                <w:sz w:val="15"/>
                <w:szCs w:val="28"/>
              </w:rPr>
              <w:t xml:space="preserve">,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check</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w:t>
            </w:r>
            <w:proofErr w:type="gramStart"/>
            <w:r>
              <w:rPr>
                <w:rFonts w:cs="Courier New"/>
                <w:b/>
                <w:sz w:val="16"/>
              </w:rPr>
              <w:t>check</w:t>
            </w:r>
            <w:proofErr w:type="spellEnd"/>
            <w:r w:rsidR="00575C41" w:rsidRPr="00575C41">
              <w:rPr>
                <w:rFonts w:cs="Courier New"/>
                <w:b/>
                <w:sz w:val="16"/>
              </w:rPr>
              <w:t>(</w:t>
            </w:r>
            <w:proofErr w:type="spellStart"/>
            <w:proofErr w:type="gramEnd"/>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w:t>
            </w:r>
            <w:proofErr w:type="gramStart"/>
            <w:r w:rsidR="008D52E5" w:rsidRPr="002A494A">
              <w:rPr>
                <w:sz w:val="15"/>
                <w:szCs w:val="15"/>
              </w:rPr>
              <w:t>check</w:t>
            </w:r>
            <w:proofErr w:type="spellEnd"/>
            <w:r w:rsidR="008D52E5" w:rsidRPr="002A494A">
              <w:rPr>
                <w:sz w:val="15"/>
                <w:szCs w:val="15"/>
              </w:rPr>
              <w:t>(</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proofErr w:type="spellStart"/>
            <w:r w:rsidR="004713CC" w:rsidRPr="008D4FA0">
              <w:rPr>
                <w:rFonts w:ascii="Courier New" w:hAnsi="Courier New" w:cs="Courier New"/>
                <w:sz w:val="15"/>
                <w:szCs w:val="15"/>
              </w:rPr>
              <w:t>C_SCOPE</w:t>
            </w:r>
            <w:proofErr w:type="spellEnd"/>
            <w:r w:rsidR="004713CC" w:rsidRPr="008D4FA0">
              <w:rPr>
                <w:rFonts w:ascii="Courier New" w:hAnsi="Courier New" w:cs="Courier New"/>
                <w:sz w:val="15"/>
                <w:szCs w:val="15"/>
              </w:rP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C_SBI_BFM_CONFIG_DEFAULT</w:t>
            </w:r>
            <w:proofErr w:type="spellEnd"/>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spellEnd"/>
            <w:r w:rsidR="00913B6B" w:rsidRPr="008D4FA0">
              <w:rPr>
                <w:rFonts w:ascii="Courier New" w:hAnsi="Courier New" w:cs="Courier New"/>
                <w:sz w:val="15"/>
                <w:szCs w:val="28"/>
              </w:rPr>
              <w:t>(</w:t>
            </w:r>
            <w:proofErr w:type="spellStart"/>
            <w:proofErr w:type="gramEnd"/>
            <w:r w:rsidR="00913B6B" w:rsidRPr="008D4FA0">
              <w:rPr>
                <w:rFonts w:ascii="Courier New" w:hAnsi="Courier New" w:cs="Courier New"/>
                <w:sz w:val="15"/>
                <w:szCs w:val="28"/>
              </w:rPr>
              <w:t>C_ADDR_UART_RX</w:t>
            </w:r>
            <w:proofErr w:type="spellEnd"/>
            <w:r w:rsidR="00913B6B" w:rsidRPr="008D4FA0">
              <w:rPr>
                <w:rFonts w:ascii="Courier New" w:hAnsi="Courier New" w:cs="Courier New"/>
                <w:sz w:val="15"/>
                <w:szCs w:val="28"/>
              </w:rPr>
              <w:t>,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proofErr w:type="spellStart"/>
            <w:r w:rsidRPr="002D5690">
              <w:rPr>
                <w:b/>
                <w:szCs w:val="14"/>
              </w:rPr>
              <w:lastRenderedPageBreak/>
              <w:t>sbi_poll_</w:t>
            </w:r>
            <w:proofErr w:type="gramStart"/>
            <w:r w:rsidRPr="002D5690">
              <w:rPr>
                <w:b/>
                <w:szCs w:val="14"/>
              </w:rPr>
              <w:t>until</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sbi_poll_until</w:t>
            </w:r>
            <w:proofErr w:type="spellEnd"/>
            <w:r w:rsidRPr="007F6C37">
              <w:rPr>
                <w:rFonts w:cs="Courier New"/>
                <w:b/>
                <w:sz w:val="16"/>
              </w:rPr>
              <w:t>(</w:t>
            </w:r>
            <w:proofErr w:type="spellStart"/>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w:t>
            </w:r>
            <w:proofErr w:type="gramStart"/>
            <w:r>
              <w:rPr>
                <w:sz w:val="15"/>
                <w:szCs w:val="15"/>
              </w:rPr>
              <w:t>until</w:t>
            </w:r>
            <w:proofErr w:type="spellEnd"/>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w:t>
            </w:r>
            <w:proofErr w:type="spellStart"/>
            <w:r w:rsidR="004713CC" w:rsidRPr="008D4FA0">
              <w:rPr>
                <w:rFonts w:ascii="Courier New" w:hAnsi="Courier New" w:cs="Courier New"/>
                <w:sz w:val="15"/>
                <w:szCs w:val="15"/>
              </w:rPr>
              <w:t>C_SCOPE</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proofErr w:type="spellStart"/>
            <w:r w:rsidR="004713CC" w:rsidRPr="008D4FA0">
              <w:rPr>
                <w:rFonts w:ascii="Courier New" w:hAnsi="Courier New" w:cs="Courier New"/>
                <w:sz w:val="15"/>
                <w:szCs w:val="15"/>
              </w:rPr>
              <w:t>C_SBI_BFM_CONFIG_DEFAULT</w:t>
            </w:r>
            <w:proofErr w:type="spellEnd"/>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spellEnd"/>
            <w:r w:rsidR="00940D46" w:rsidRPr="008D4FA0">
              <w:rPr>
                <w:rFonts w:ascii="Courier New" w:hAnsi="Courier New" w:cs="Courier New"/>
                <w:sz w:val="15"/>
                <w:szCs w:val="28"/>
              </w:rPr>
              <w:t>(</w:t>
            </w:r>
            <w:proofErr w:type="spellStart"/>
            <w:proofErr w:type="gramEnd"/>
            <w:r w:rsidR="00940D46" w:rsidRPr="008D4FA0">
              <w:rPr>
                <w:rFonts w:ascii="Courier New" w:hAnsi="Courier New" w:cs="Courier New"/>
                <w:sz w:val="15"/>
                <w:szCs w:val="28"/>
              </w:rPr>
              <w:t>C_ADDR_UART_RX</w:t>
            </w:r>
            <w:proofErr w:type="spellEnd"/>
            <w:r w:rsidR="00940D46" w:rsidRPr="008D4FA0">
              <w:rPr>
                <w:rFonts w:ascii="Courier New" w:hAnsi="Courier New" w:cs="Courier New"/>
                <w:sz w:val="15"/>
                <w:szCs w:val="28"/>
              </w:rPr>
              <w:t>,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spellEnd"/>
            <w:r w:rsidR="004713CC" w:rsidRPr="008D4FA0">
              <w:rPr>
                <w:rFonts w:ascii="Courier New" w:hAnsi="Courier New" w:cs="Courier New"/>
                <w:sz w:val="15"/>
                <w:szCs w:val="28"/>
              </w:rPr>
              <w:t>(</w:t>
            </w:r>
            <w:proofErr w:type="spellStart"/>
            <w:proofErr w:type="gramEnd"/>
            <w:r w:rsidR="004713CC" w:rsidRPr="008D4FA0">
              <w:rPr>
                <w:rFonts w:ascii="Courier New" w:hAnsi="Courier New" w:cs="Courier New"/>
                <w:sz w:val="15"/>
                <w:szCs w:val="28"/>
              </w:rPr>
              <w:t>C_ADDR_UART_RX</w:t>
            </w:r>
            <w:proofErr w:type="spellEnd"/>
            <w:r w:rsidR="004713CC" w:rsidRPr="008D4FA0">
              <w:rPr>
                <w:rFonts w:ascii="Courier New" w:hAnsi="Courier New" w:cs="Courier New"/>
                <w:sz w:val="15"/>
                <w:szCs w:val="28"/>
              </w:rPr>
              <w:t>,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w:t>
            </w:r>
            <w:proofErr w:type="spellStart"/>
            <w:r w:rsidR="004713CC" w:rsidRPr="008D4FA0">
              <w:rPr>
                <w:rFonts w:ascii="Courier New" w:hAnsi="Courier New" w:cs="Courier New"/>
                <w:sz w:val="15"/>
                <w:szCs w:val="28"/>
              </w:rPr>
              <w:t>C_MAX_POLLS</w:t>
            </w:r>
            <w:proofErr w:type="spellEnd"/>
            <w:r w:rsidR="004713CC" w:rsidRPr="008D4FA0">
              <w:rPr>
                <w:rFonts w:ascii="Courier New" w:hAnsi="Courier New" w:cs="Courier New"/>
                <w:sz w:val="15"/>
                <w:szCs w:val="28"/>
              </w:rPr>
              <w:t xml:space="preserve">, </w:t>
            </w:r>
            <w:proofErr w:type="spellStart"/>
            <w:r w:rsidR="004713CC" w:rsidRPr="008D4FA0">
              <w:rPr>
                <w:rFonts w:ascii="Courier New" w:hAnsi="Courier New" w:cs="Courier New"/>
                <w:sz w:val="15"/>
                <w:szCs w:val="28"/>
              </w:rPr>
              <w:t>C_TIMEOUT</w:t>
            </w:r>
            <w:proofErr w:type="spellEnd"/>
            <w:r w:rsidR="004713CC" w:rsidRPr="008D4FA0">
              <w:rPr>
                <w:rFonts w:ascii="Courier New" w:hAnsi="Courier New" w:cs="Courier New"/>
                <w:sz w:val="15"/>
                <w:szCs w:val="28"/>
              </w:rPr>
              <w:t xml:space="preserve">,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w:t>
            </w:r>
            <w:proofErr w:type="spellStart"/>
            <w:r>
              <w:rPr>
                <w:szCs w:val="18"/>
              </w:rPr>
              <w:t>DUT</w:t>
            </w:r>
            <w:proofErr w:type="spellEnd"/>
            <w:r>
              <w:rPr>
                <w:szCs w:val="18"/>
              </w:rPr>
              <w: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xml:space="preserve">’ from </w:t>
            </w:r>
            <w:proofErr w:type="spellStart"/>
            <w:r>
              <w:rPr>
                <w:szCs w:val="18"/>
              </w:rPr>
              <w:t>DUT</w:t>
            </w:r>
            <w:proofErr w:type="spellEnd"/>
            <w:r>
              <w:rPr>
                <w:szCs w:val="18"/>
              </w:rPr>
              <w: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proofErr w:type="spellStart"/>
            <w:r>
              <w:rPr>
                <w:szCs w:val="18"/>
              </w:rPr>
              <w:t>bfm_sync</w:t>
            </w:r>
            <w:proofErr w:type="spellEnd"/>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proofErr w:type="spellStart"/>
            <w:r>
              <w:rPr>
                <w:szCs w:val="18"/>
              </w:rPr>
              <w:t>t_bfm_sync</w:t>
            </w:r>
            <w:proofErr w:type="spellEnd"/>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7A2E00" w:rsidRPr="0042320D" w14:paraId="53637AC7" w14:textId="77777777" w:rsidTr="001A55E3">
        <w:tc>
          <w:tcPr>
            <w:tcW w:w="2588" w:type="dxa"/>
            <w:tcBorders>
              <w:left w:val="nil"/>
              <w:right w:val="nil"/>
            </w:tcBorders>
            <w:shd w:val="clear" w:color="auto" w:fill="auto"/>
            <w:vAlign w:val="center"/>
          </w:tcPr>
          <w:p w14:paraId="53BF9484" w14:textId="2A6A06C0" w:rsidR="007A2E00" w:rsidRDefault="007A2E00" w:rsidP="00CA36E8">
            <w:pPr>
              <w:spacing w:line="276" w:lineRule="auto"/>
              <w:rPr>
                <w:szCs w:val="18"/>
              </w:rPr>
            </w:pPr>
            <w:proofErr w:type="spellStart"/>
            <w:r w:rsidRPr="007A2E00">
              <w:rPr>
                <w:bCs/>
                <w:szCs w:val="18"/>
              </w:rPr>
              <w:t>match_strictness</w:t>
            </w:r>
            <w:proofErr w:type="spellEnd"/>
          </w:p>
        </w:tc>
        <w:tc>
          <w:tcPr>
            <w:tcW w:w="1631" w:type="dxa"/>
            <w:tcBorders>
              <w:left w:val="nil"/>
              <w:right w:val="nil"/>
            </w:tcBorders>
            <w:shd w:val="clear" w:color="auto" w:fill="auto"/>
            <w:vAlign w:val="center"/>
          </w:tcPr>
          <w:p w14:paraId="77B16989" w14:textId="40C63DB9" w:rsidR="007A2E00" w:rsidRDefault="007A2E00" w:rsidP="00CA36E8">
            <w:pPr>
              <w:spacing w:line="276" w:lineRule="auto"/>
              <w:rPr>
                <w:szCs w:val="18"/>
              </w:rPr>
            </w:pPr>
            <w:proofErr w:type="spellStart"/>
            <w:r>
              <w:rPr>
                <w:bCs/>
                <w:szCs w:val="18"/>
              </w:rPr>
              <w:t>t_</w:t>
            </w:r>
            <w:r w:rsidRPr="007A2E00">
              <w:rPr>
                <w:bCs/>
                <w:szCs w:val="18"/>
              </w:rPr>
              <w:t>match_strictness</w:t>
            </w:r>
            <w:proofErr w:type="spellEnd"/>
          </w:p>
        </w:tc>
        <w:tc>
          <w:tcPr>
            <w:tcW w:w="3402" w:type="dxa"/>
            <w:tcBorders>
              <w:left w:val="nil"/>
              <w:right w:val="nil"/>
            </w:tcBorders>
            <w:shd w:val="clear" w:color="auto" w:fill="auto"/>
            <w:vAlign w:val="center"/>
          </w:tcPr>
          <w:p w14:paraId="6C2AA7F3" w14:textId="57EAF9F7" w:rsidR="007A2E00" w:rsidRDefault="007A2E00" w:rsidP="00CA36E8">
            <w:pPr>
              <w:spacing w:line="276" w:lineRule="auto"/>
              <w:rPr>
                <w:szCs w:val="18"/>
              </w:rPr>
            </w:pPr>
            <w:r>
              <w:rPr>
                <w:szCs w:val="18"/>
              </w:rPr>
              <w:t>MATCH_EXACT</w:t>
            </w:r>
          </w:p>
        </w:tc>
        <w:tc>
          <w:tcPr>
            <w:tcW w:w="7508" w:type="dxa"/>
            <w:tcBorders>
              <w:left w:val="nil"/>
              <w:right w:val="nil"/>
            </w:tcBorders>
            <w:shd w:val="clear" w:color="auto" w:fill="auto"/>
          </w:tcPr>
          <w:p w14:paraId="11A5E785" w14:textId="77777777" w:rsidR="007A2E00" w:rsidRPr="007A2E00" w:rsidRDefault="007A2E00" w:rsidP="007A2E00">
            <w:pPr>
              <w:tabs>
                <w:tab w:val="left" w:pos="4820"/>
              </w:tabs>
              <w:spacing w:line="276" w:lineRule="auto"/>
              <w:rPr>
                <w:lang w:val="en-US"/>
              </w:rPr>
            </w:pPr>
            <w:r w:rsidRPr="007A2E00">
              <w:rPr>
                <w:lang w:val="en-US"/>
              </w:rPr>
              <w:t xml:space="preserve">Matching strictness for </w:t>
            </w:r>
            <w:proofErr w:type="spellStart"/>
            <w:r w:rsidRPr="007A2E00">
              <w:rPr>
                <w:lang w:val="en-US"/>
              </w:rPr>
              <w:t>std_logic</w:t>
            </w:r>
            <w:proofErr w:type="spellEnd"/>
            <w:r w:rsidRPr="007A2E00">
              <w:rPr>
                <w:lang w:val="en-US"/>
              </w:rPr>
              <w:t xml:space="preserve"> values in check procedures.</w:t>
            </w:r>
          </w:p>
          <w:p w14:paraId="24AF88E6" w14:textId="77777777" w:rsidR="007A2E00" w:rsidRPr="007A2E00" w:rsidRDefault="007A2E00" w:rsidP="007A2E00">
            <w:pPr>
              <w:tabs>
                <w:tab w:val="left" w:pos="4820"/>
              </w:tabs>
              <w:spacing w:line="276" w:lineRule="auto"/>
              <w:rPr>
                <w:lang w:val="en-US"/>
              </w:rPr>
            </w:pPr>
            <w:r w:rsidRPr="007A2E00">
              <w:rPr>
                <w:lang w:val="en-US"/>
              </w:rPr>
              <w:t>MATCH_EXACT requires both values to be the same. Note that the expected value</w:t>
            </w:r>
          </w:p>
          <w:p w14:paraId="7D23A024" w14:textId="77777777" w:rsidR="007A2E00" w:rsidRPr="007A2E00" w:rsidRDefault="007A2E00" w:rsidP="007A2E00">
            <w:pPr>
              <w:tabs>
                <w:tab w:val="left" w:pos="4820"/>
              </w:tabs>
              <w:spacing w:line="276" w:lineRule="auto"/>
              <w:rPr>
                <w:lang w:val="en-US"/>
              </w:rPr>
            </w:pPr>
            <w:r w:rsidRPr="007A2E00">
              <w:rPr>
                <w:lang w:val="en-US"/>
              </w:rPr>
              <w:t>can contain the don’t care operator ‘</w:t>
            </w:r>
            <w:proofErr w:type="gramStart"/>
            <w:r w:rsidRPr="007A2E00">
              <w:rPr>
                <w:lang w:val="en-US"/>
              </w:rPr>
              <w:t>-‘</w:t>
            </w:r>
            <w:proofErr w:type="gramEnd"/>
            <w:r w:rsidRPr="007A2E00">
              <w:rPr>
                <w:lang w:val="en-US"/>
              </w:rPr>
              <w:t>.</w:t>
            </w:r>
          </w:p>
          <w:p w14:paraId="3B7A06CB" w14:textId="5AC374F2" w:rsidR="007A2E00" w:rsidRPr="007A2E00" w:rsidRDefault="007A2E00" w:rsidP="007A2E00">
            <w:pPr>
              <w:tabs>
                <w:tab w:val="left" w:pos="4820"/>
              </w:tabs>
              <w:spacing w:line="276" w:lineRule="auto"/>
              <w:rPr>
                <w:lang w:val="en-US"/>
              </w:rPr>
            </w:pPr>
            <w:r w:rsidRPr="007A2E00">
              <w:rPr>
                <w:lang w:val="en-US"/>
              </w:rPr>
              <w:t>MATCH_STD allows comparisons between ‘H’ and ‘1’, ‘L’ and ‘0’ and ‘</w:t>
            </w:r>
            <w:proofErr w:type="gramStart"/>
            <w:r w:rsidRPr="007A2E00">
              <w:rPr>
                <w:lang w:val="en-US"/>
              </w:rPr>
              <w:t>-‘ in</w:t>
            </w:r>
            <w:proofErr w:type="gramEnd"/>
            <w:r w:rsidRPr="007A2E00">
              <w:rPr>
                <w:lang w:val="en-US"/>
              </w:rPr>
              <w:t xml:space="preserve"> both values.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 xml:space="preserve">SBI is a single cycle bus with an optional </w:t>
      </w:r>
      <w:proofErr w:type="gramStart"/>
      <w:r w:rsidRPr="00B67FEF">
        <w:t>ready-signalling</w:t>
      </w:r>
      <w:proofErr w:type="gramEnd"/>
      <w:r w:rsidRPr="00B67FEF">
        <w:t>.</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w:t>
      </w:r>
      <w:proofErr w:type="gramStart"/>
      <w:r w:rsidR="003E6FE1" w:rsidRPr="00B67FEF">
        <w:t>ready-signalling</w:t>
      </w:r>
      <w:proofErr w:type="gramEnd"/>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 xml:space="preserve">SBI has optional </w:t>
      </w:r>
      <w:proofErr w:type="gramStart"/>
      <w:r w:rsidRPr="00B67FEF">
        <w:t>ready-signalling</w:t>
      </w:r>
      <w:proofErr w:type="gramEnd"/>
      <w:r w:rsidRPr="00B67FEF">
        <w:t>.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w:t>
      </w:r>
      <w:proofErr w:type="gramStart"/>
      <w:r w:rsidRPr="00B67FEF">
        <w:t>active, but</w:t>
      </w:r>
      <w:proofErr w:type="gramEnd"/>
      <w:r w:rsidRPr="00B67FEF">
        <w:t xml:space="preserve">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proofErr w:type="spellStart"/>
      <w:r w:rsidR="004A6C7B">
        <w:t>sbi_bfm_pkg.vhd</w:t>
      </w:r>
      <w:proofErr w:type="spellEnd"/>
      <w:r w:rsidR="009A6FC5">
        <w:t xml:space="preserve"> </w:t>
      </w:r>
      <w:proofErr w:type="spellStart"/>
      <w:r w:rsidR="009A6FC5">
        <w:t>BFM</w:t>
      </w:r>
      <w:proofErr w:type="spellEnd"/>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lastRenderedPageBreak/>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sidRPr="008D4FA0">
        <w:rPr>
          <w:rFonts w:ascii="Courier New" w:hAnsi="Courier New" w:cs="Courier New"/>
        </w:rPr>
        <w:t>C_ADDR_UART_BAUDRATE</w:t>
      </w:r>
      <w:proofErr w:type="spellEnd"/>
      <w:r w:rsidRPr="008D4FA0">
        <w:rPr>
          <w:rFonts w:ascii="Courier New" w:hAnsi="Courier New" w:cs="Courier New"/>
        </w:rPr>
        <w:t xml:space="preserv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sidR="004A6C7B" w:rsidRPr="008D4FA0">
        <w:rPr>
          <w:rFonts w:ascii="Courier New" w:hAnsi="Courier New" w:cs="Courier New"/>
        </w:rPr>
        <w:t>C_ADDR_UART_BAUDRATE</w:t>
      </w:r>
      <w:proofErr w:type="spellEnd"/>
      <w:r w:rsidR="004A6C7B" w:rsidRPr="008D4FA0">
        <w:rPr>
          <w:rFonts w:ascii="Courier New" w:hAnsi="Courier New" w:cs="Courier New"/>
        </w:rPr>
        <w:t xml:space="preserv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proofErr w:type="spellStart"/>
      <w:r w:rsidR="004A6C7B" w:rsidRPr="008D4FA0">
        <w:rPr>
          <w:rFonts w:ascii="Courier New" w:hAnsi="Courier New" w:cs="Courier New"/>
        </w:rPr>
        <w:t>C_CLK_PERIOD</w:t>
      </w:r>
      <w:proofErr w:type="spellEnd"/>
      <w:r w:rsidRPr="008D4FA0">
        <w:rPr>
          <w:rFonts w:ascii="Courier New" w:hAnsi="Courier New" w:cs="Courier New"/>
        </w:rPr>
        <w:t xml:space="preserve">, </w:t>
      </w:r>
      <w:proofErr w:type="spellStart"/>
      <w:r w:rsidRPr="008D4FA0">
        <w:rPr>
          <w:rFonts w:ascii="Courier New" w:hAnsi="Courier New" w:cs="Courier New"/>
        </w:rPr>
        <w:t>C_SCOPE</w:t>
      </w:r>
      <w:proofErr w:type="spellEnd"/>
      <w:r w:rsidRPr="008D4FA0">
        <w:rPr>
          <w:rFonts w:ascii="Courier New" w:hAnsi="Courier New" w:cs="Courier New"/>
        </w:rPr>
        <w:t xml:space="preserv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proofErr w:type="spellStart"/>
      <w:r w:rsidR="004A6C7B" w:rsidRPr="008D4FA0">
        <w:rPr>
          <w:rFonts w:ascii="Courier New" w:hAnsi="Courier New" w:cs="Courier New"/>
        </w:rPr>
        <w:t>C_SBI_CONFIG_DEFAULT</w:t>
      </w:r>
      <w:proofErr w:type="spellEnd"/>
      <w:r w:rsidR="004A6C7B"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w:t>
      </w:r>
      <w:proofErr w:type="gramStart"/>
      <w:r>
        <w:t>a</w:t>
      </w:r>
      <w:proofErr w:type="gramEnd"/>
      <w:r>
        <w:t xml:space="preserve"> SBI interface. This BFM is not </w:t>
      </w:r>
      <w:proofErr w:type="gramStart"/>
      <w:r>
        <w:t>a</w:t>
      </w:r>
      <w:proofErr w:type="gramEnd"/>
      <w:r>
        <w:t xml:space="preserve">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131E5" w14:textId="77777777" w:rsidR="00DB1C77" w:rsidRPr="009F58C4" w:rsidRDefault="00DB1C77">
      <w:pPr>
        <w:rPr>
          <w:rFonts w:ascii="Arial" w:hAnsi="Arial" w:cs="Arial"/>
          <w:lang w:val="sq-AL"/>
        </w:rPr>
      </w:pPr>
      <w:r w:rsidRPr="009F58C4">
        <w:rPr>
          <w:rFonts w:ascii="Arial" w:hAnsi="Arial" w:cs="Arial"/>
          <w:lang w:val="sq-AL"/>
        </w:rPr>
        <w:separator/>
      </w:r>
    </w:p>
  </w:endnote>
  <w:endnote w:type="continuationSeparator" w:id="0">
    <w:p w14:paraId="6CEEC9E2" w14:textId="77777777" w:rsidR="00DB1C77" w:rsidRPr="009F58C4" w:rsidRDefault="00DB1C7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7A2E00"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C91DD25"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A6583">
            <w:rPr>
              <w:rFonts w:ascii="Helvetica" w:hAnsi="Helvetica" w:cs="Arial"/>
              <w:b/>
              <w:color w:val="1381C4"/>
              <w:sz w:val="14"/>
              <w:lang w:val="sq-AL"/>
            </w:rPr>
            <w:t>8</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17801">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DB1C77"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4953379B"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A2E00">
      <w:rPr>
        <w:iCs/>
        <w:color w:val="000000" w:themeColor="text1"/>
        <w:sz w:val="14"/>
        <w:szCs w:val="16"/>
      </w:rPr>
      <w:t xml:space="preserve">20 </w:t>
    </w:r>
    <w:r>
      <w:rPr>
        <w:iCs/>
        <w:color w:val="000000" w:themeColor="text1"/>
        <w:sz w:val="14"/>
        <w:szCs w:val="16"/>
      </w:rPr>
      <w:t xml:space="preserve">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1A53D" w14:textId="77777777" w:rsidR="00DB1C77" w:rsidRPr="009F58C4" w:rsidRDefault="00DB1C77">
      <w:pPr>
        <w:rPr>
          <w:rFonts w:ascii="Arial" w:hAnsi="Arial" w:cs="Arial"/>
          <w:lang w:val="sq-AL"/>
        </w:rPr>
      </w:pPr>
      <w:r w:rsidRPr="009F58C4">
        <w:rPr>
          <w:rFonts w:ascii="Arial" w:hAnsi="Arial" w:cs="Arial"/>
          <w:lang w:val="sq-AL"/>
        </w:rPr>
        <w:separator/>
      </w:r>
    </w:p>
  </w:footnote>
  <w:footnote w:type="continuationSeparator" w:id="0">
    <w:p w14:paraId="1D915C15" w14:textId="77777777" w:rsidR="00DB1C77" w:rsidRPr="009F58C4" w:rsidRDefault="00DB1C7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4FD"/>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D7AB4"/>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1AE"/>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2E00"/>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12F73"/>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1C77"/>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A6583"/>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801"/>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2331-CE09-4D55-97B5-8435329B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3050</Words>
  <Characters>16170</Characters>
  <Application>Microsoft Office Word</Application>
  <DocSecurity>0</DocSecurity>
  <Lines>134</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19182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2020-10-05T04:31:00Z</dcterms:created>
  <dcterms:modified xsi:type="dcterms:W3CDTF">2020-10-05T04:31:00Z</dcterms:modified>
</cp:coreProperties>
</file>