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w:t>
            </w:r>
            <w:proofErr w:type="gramStart"/>
            <w:r w:rsidR="00712706">
              <w:rPr>
                <w:rFonts w:cs="Verdana"/>
                <w:b w:val="0"/>
                <w:sz w:val="15"/>
                <w:szCs w:val="13"/>
              </w:rPr>
              <w:t>until</w:t>
            </w:r>
            <w:proofErr w:type="spellEnd"/>
            <w:r w:rsidRPr="00234C55">
              <w:rPr>
                <w:rFonts w:cs="Verdana"/>
                <w:b w:val="0"/>
                <w:sz w:val="15"/>
                <w:szCs w:val="13"/>
              </w:rPr>
              <w:t>(</w:t>
            </w:r>
            <w:proofErr w:type="gramEnd"/>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w:t>
            </w:r>
            <w:proofErr w:type="gramStart"/>
            <w:r w:rsidR="00712706">
              <w:rPr>
                <w:rFonts w:cs="Verdana"/>
                <w:b w:val="0"/>
                <w:bCs w:val="0"/>
                <w:i/>
                <w:sz w:val="15"/>
                <w:szCs w:val="28"/>
              </w:rPr>
              <w:t>until</w:t>
            </w:r>
            <w:proofErr w:type="spellEnd"/>
            <w:r w:rsidRPr="00932DDF">
              <w:rPr>
                <w:rFonts w:cs="Verdana"/>
                <w:b w:val="0"/>
                <w:bCs w:val="0"/>
                <w:i/>
                <w:sz w:val="15"/>
                <w:szCs w:val="28"/>
              </w:rPr>
              <w:t>(</w:t>
            </w:r>
            <w:proofErr w:type="gram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w:t>
            </w:r>
            <w:proofErr w:type="gramStart"/>
            <w:r w:rsidR="006D49B3" w:rsidRPr="00944F9F">
              <w:rPr>
                <w:rFonts w:cs="Verdana"/>
                <w:b w:val="0"/>
                <w:bCs w:val="0"/>
                <w:sz w:val="15"/>
                <w:szCs w:val="28"/>
              </w:rPr>
              <w:t>if</w:t>
            </w:r>
            <w:proofErr w:type="spellEnd"/>
            <w:r w:rsidR="004F3EC6">
              <w:rPr>
                <w:rFonts w:cs="Verdana"/>
                <w:b w:val="0"/>
                <w:bCs w:val="0"/>
                <w:sz w:val="15"/>
                <w:szCs w:val="28"/>
              </w:rPr>
              <w:t xml:space="preserve">  &lt;</w:t>
            </w:r>
            <w:proofErr w:type="gramEnd"/>
            <w:r w:rsidR="004F3EC6">
              <w:rPr>
                <w:rFonts w:cs="Verdana"/>
                <w:b w:val="0"/>
                <w:bCs w:val="0"/>
                <w:sz w:val="15"/>
                <w:szCs w:val="28"/>
              </w:rPr>
              <w:t xml:space="preserve">=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607"/>
              <w:gridCol w:w="3853"/>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7A2E00">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607"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3853"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7A2E00">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607"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853"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7A2E00">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607"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853"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7A2E00">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607"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853"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7A2E00">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607"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853"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7A2E00">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607"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853"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7A2E00">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607"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7A2E00">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607"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53"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7A2E00">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607"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7A2E00">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607"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3853"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7A2E00">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607"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853"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7A2E00" w:rsidRPr="0042320D" w14:paraId="0F72D369" w14:textId="77777777" w:rsidTr="007A2E00">
              <w:trPr>
                <w:trHeight w:val="30"/>
              </w:trPr>
              <w:tc>
                <w:tcPr>
                  <w:tcW w:w="3071" w:type="dxa"/>
                  <w:shd w:val="clear" w:color="auto" w:fill="auto"/>
                  <w:vAlign w:val="bottom"/>
                </w:tcPr>
                <w:p w14:paraId="68F3173A" w14:textId="15F8C07C" w:rsidR="007A2E00" w:rsidRDefault="007A2E00"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607" w:type="dxa"/>
                  <w:shd w:val="clear" w:color="auto" w:fill="auto"/>
                  <w:vAlign w:val="bottom"/>
                </w:tcPr>
                <w:p w14:paraId="50CEFEDC" w14:textId="56A6F81F" w:rsidR="007A2E00" w:rsidRDefault="007A2E00"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Pr>
                      <w:rFonts w:cs="Helvetica"/>
                      <w:bCs/>
                      <w:sz w:val="15"/>
                    </w:rPr>
                    <w:t>match_strictness</w:t>
                  </w:r>
                  <w:proofErr w:type="spellEnd"/>
                </w:p>
              </w:tc>
              <w:tc>
                <w:tcPr>
                  <w:tcW w:w="3853" w:type="dxa"/>
                  <w:shd w:val="clear" w:color="auto" w:fill="auto"/>
                  <w:vAlign w:val="bottom"/>
                </w:tcPr>
                <w:p w14:paraId="30142241" w14:textId="148F078E" w:rsidR="007A2E00" w:rsidRDefault="007A2E00"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7A2E00">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607"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7A2E00">
              <w:trPr>
                <w:trHeight w:val="20"/>
              </w:trPr>
              <w:tc>
                <w:tcPr>
                  <w:tcW w:w="3071" w:type="dxa"/>
                  <w:shd w:val="clear" w:color="auto" w:fill="auto"/>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607" w:type="dxa"/>
                  <w:shd w:val="clear" w:color="auto" w:fill="auto"/>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auto"/>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7A2E00">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607"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7A2E00">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607"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853"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Subtitle"/>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123A49A6"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7321AE">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Paragraph"/>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proofErr w:type="gramStart"/>
            <w:r>
              <w:rPr>
                <w:sz w:val="15"/>
                <w:szCs w:val="15"/>
              </w:rPr>
              <w:t>config.clock</w:t>
            </w:r>
            <w:proofErr w:type="gramEnd"/>
            <w:r>
              <w:rPr>
                <w:sz w:val="15"/>
                <w:szCs w:val="15"/>
              </w:rPr>
              <w:t>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Paragraph"/>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Paragraph"/>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Paragraph"/>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Paragraph"/>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Paragraph"/>
              <w:numPr>
                <w:ilvl w:val="0"/>
                <w:numId w:val="14"/>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64835A4D" w14:textId="2F287D0F" w:rsidR="00B43178" w:rsidRDefault="007316B8" w:rsidP="00FC777F">
            <w:pPr>
              <w:pStyle w:val="ListParagraph"/>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Paragraph"/>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proofErr w:type="gramStart"/>
            <w:r w:rsidR="00B85730">
              <w:rPr>
                <w:sz w:val="15"/>
                <w:szCs w:val="15"/>
              </w:rPr>
              <w:t>config.clock</w:t>
            </w:r>
            <w:proofErr w:type="gramEnd"/>
            <w:r w:rsidR="00B85730">
              <w:rPr>
                <w:sz w:val="15"/>
                <w:szCs w:val="15"/>
              </w:rPr>
              <w:t>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Paragraph"/>
              <w:numPr>
                <w:ilvl w:val="2"/>
                <w:numId w:val="14"/>
              </w:numPr>
              <w:tabs>
                <w:tab w:val="left" w:pos="4820"/>
              </w:tabs>
              <w:spacing w:line="276" w:lineRule="auto"/>
              <w:rPr>
                <w:sz w:val="15"/>
                <w:szCs w:val="15"/>
              </w:rPr>
            </w:pPr>
            <w:r>
              <w:rPr>
                <w:sz w:val="15"/>
                <w:szCs w:val="15"/>
              </w:rPr>
              <w:t xml:space="preserve">If ready is ‘0’, </w:t>
            </w:r>
            <w:r w:rsidR="007E6B5E">
              <w:rPr>
                <w:sz w:val="15"/>
                <w:szCs w:val="15"/>
              </w:rPr>
              <w:t>the procedure will wait one clock cycle and evaluate the ready signal again. This will repeat until ready is set to ‘1</w:t>
            </w:r>
            <w:proofErr w:type="gramStart"/>
            <w:r w:rsidR="007E6B5E">
              <w:rPr>
                <w:sz w:val="15"/>
                <w:szCs w:val="15"/>
              </w:rPr>
              <w:t>’, or</w:t>
            </w:r>
            <w:proofErr w:type="gramEnd"/>
            <w:r w:rsidR="007E6B5E">
              <w:rPr>
                <w:sz w:val="15"/>
                <w:szCs w:val="15"/>
              </w:rPr>
              <w:t xml:space="preserve">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Paragraph"/>
              <w:numPr>
                <w:ilvl w:val="0"/>
                <w:numId w:val="20"/>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4425B12E" w14:textId="58C4C3FC" w:rsidR="007316B8" w:rsidRPr="00077B7B" w:rsidRDefault="007316B8" w:rsidP="007316B8">
            <w:pPr>
              <w:pStyle w:val="ListParagraph"/>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proofErr w:type="gramStart"/>
            <w:r>
              <w:rPr>
                <w:sz w:val="15"/>
                <w:szCs w:val="15"/>
              </w:rPr>
              <w:t>config.clock</w:t>
            </w:r>
            <w:proofErr w:type="gramEnd"/>
            <w:r>
              <w:rPr>
                <w:sz w:val="15"/>
                <w:szCs w:val="15"/>
              </w:rPr>
              <w:t>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Paragraph"/>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Paragraph"/>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C_SCOPE,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t>
            </w:r>
            <w:proofErr w:type="gramStart"/>
            <w:r w:rsidR="00E37B08" w:rsidRPr="008D4FA0">
              <w:rPr>
                <w:rFonts w:ascii="Courier New" w:hAnsi="Courier New" w:cs="Courier New"/>
                <w:sz w:val="15"/>
                <w:szCs w:val="15"/>
              </w:rPr>
              <w:t>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w:t>
            </w:r>
            <w:proofErr w:type="gram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read</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w:t>
            </w:r>
            <w:r>
              <w:rPr>
                <w:rFonts w:cs="Courier New"/>
                <w:b/>
                <w:sz w:val="16"/>
              </w:rPr>
              <w:t>g</w:t>
            </w:r>
            <w:proofErr w:type="spellEnd"/>
            <w:r>
              <w:rPr>
                <w:rFonts w:cs="Courier New"/>
                <w:b/>
                <w:sz w:val="16"/>
              </w:rPr>
              <w:t xml:space="preserve">,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Paragraph"/>
              <w:numPr>
                <w:ilvl w:val="0"/>
                <w:numId w:val="15"/>
              </w:numPr>
              <w:tabs>
                <w:tab w:val="left" w:pos="4820"/>
              </w:tabs>
              <w:spacing w:line="276" w:lineRule="auto"/>
              <w:rPr>
                <w:sz w:val="15"/>
                <w:szCs w:val="15"/>
              </w:rPr>
            </w:pPr>
            <w:r>
              <w:rPr>
                <w:sz w:val="15"/>
                <w:szCs w:val="15"/>
              </w:rPr>
              <w:t>At ‘</w:t>
            </w:r>
            <w:proofErr w:type="spellStart"/>
            <w:proofErr w:type="gramStart"/>
            <w:r>
              <w:rPr>
                <w:sz w:val="15"/>
                <w:szCs w:val="15"/>
              </w:rPr>
              <w:t>config.clock</w:t>
            </w:r>
            <w:proofErr w:type="gramEnd"/>
            <w:r>
              <w:rPr>
                <w:sz w:val="15"/>
                <w:szCs w:val="15"/>
              </w:rPr>
              <w:t>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Paragraph"/>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Paragraph"/>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Paragraph"/>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Paragraph"/>
              <w:numPr>
                <w:ilvl w:val="0"/>
                <w:numId w:val="15"/>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435AC8A5" w14:textId="0306BD3B" w:rsidR="00194162" w:rsidRDefault="00FC777F" w:rsidP="00FC777F">
            <w:pPr>
              <w:pStyle w:val="ListParagraph"/>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Paragraph"/>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Paragraph"/>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w:t>
            </w:r>
            <w:proofErr w:type="gramStart"/>
            <w:r w:rsidR="000161E2" w:rsidRPr="000161E2">
              <w:rPr>
                <w:sz w:val="15"/>
                <w:szCs w:val="15"/>
              </w:rPr>
              <w:t>’, or</w:t>
            </w:r>
            <w:proofErr w:type="gramEnd"/>
            <w:r w:rsidR="000161E2" w:rsidRPr="000161E2">
              <w:rPr>
                <w:sz w:val="15"/>
                <w:szCs w:val="15"/>
              </w:rPr>
              <w:t xml:space="preserve">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Paragraph"/>
              <w:numPr>
                <w:ilvl w:val="0"/>
                <w:numId w:val="19"/>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15D8F0D5" w14:textId="17CDF648" w:rsidR="00552E8C" w:rsidRDefault="00552E8C" w:rsidP="00A05A96">
            <w:pPr>
              <w:pStyle w:val="ListParagraph"/>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Paragraph"/>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proofErr w:type="gramStart"/>
            <w:r w:rsidRPr="00552E8C">
              <w:rPr>
                <w:sz w:val="15"/>
                <w:szCs w:val="15"/>
              </w:rPr>
              <w:t>config.clock</w:t>
            </w:r>
            <w:proofErr w:type="gramEnd"/>
            <w:r w:rsidRPr="00552E8C">
              <w:rPr>
                <w:sz w:val="15"/>
                <w:szCs w:val="15"/>
              </w:rPr>
              <w:t>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Paragraph"/>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w:t>
            </w:r>
            <w:proofErr w:type="gramStart"/>
            <w:r w:rsidRPr="0064625C">
              <w:rPr>
                <w:sz w:val="15"/>
                <w:szCs w:val="15"/>
              </w:rPr>
              <w:t>check</w:t>
            </w:r>
            <w:proofErr w:type="spellEnd"/>
            <w:r w:rsidRPr="0064625C">
              <w:rPr>
                <w:sz w:val="15"/>
                <w:szCs w:val="15"/>
              </w:rPr>
              <w:t>(</w:t>
            </w:r>
            <w:proofErr w:type="gram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Paragraph"/>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proofErr w:type="gramStart"/>
            <w:r w:rsidRPr="0064625C">
              <w:rPr>
                <w:sz w:val="15"/>
                <w:szCs w:val="15"/>
              </w:rPr>
              <w:t>proc</w:t>
            </w:r>
            <w:proofErr w:type="gramEnd"/>
            <w:r w:rsidRPr="0064625C">
              <w:rPr>
                <w:sz w:val="15"/>
                <w:szCs w:val="15"/>
              </w:rPr>
              <w:t>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Paragraph"/>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w:t>
            </w:r>
            <w:proofErr w:type="gramStart"/>
            <w:r w:rsidR="00575C41" w:rsidRPr="008D4FA0">
              <w:rPr>
                <w:rFonts w:ascii="Courier New" w:hAnsi="Courier New" w:cs="Courier New"/>
                <w:sz w:val="15"/>
                <w:szCs w:val="13"/>
              </w:rPr>
              <w:t>read</w:t>
            </w:r>
            <w:proofErr w:type="spellEnd"/>
            <w:r w:rsidR="00575C41" w:rsidRPr="008D4FA0">
              <w:rPr>
                <w:rFonts w:ascii="Courier New" w:hAnsi="Courier New" w:cs="Courier New"/>
                <w:sz w:val="15"/>
                <w:szCs w:val="13"/>
              </w:rPr>
              <w:t>(</w:t>
            </w:r>
            <w:proofErr w:type="gram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sbi_read</w:t>
            </w:r>
            <w:proofErr w:type="spell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C_SCOPE,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w:t>
            </w:r>
            <w:proofErr w:type="gramStart"/>
            <w:r w:rsidR="00575C41" w:rsidRPr="008D4FA0">
              <w:rPr>
                <w:rFonts w:ascii="Courier New" w:hAnsi="Courier New" w:cs="Courier New"/>
                <w:sz w:val="15"/>
                <w:szCs w:val="28"/>
              </w:rPr>
              <w:t>read</w:t>
            </w:r>
            <w:proofErr w:type="spellEnd"/>
            <w:r w:rsidR="00575C41" w:rsidRPr="008D4FA0">
              <w:rPr>
                <w:rFonts w:ascii="Courier New" w:hAnsi="Courier New" w:cs="Courier New"/>
                <w:sz w:val="15"/>
                <w:szCs w:val="28"/>
              </w:rPr>
              <w:t>(</w:t>
            </w:r>
            <w:proofErr w:type="gram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 xml:space="preserve">T_BAUD,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check</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w:t>
            </w:r>
            <w:proofErr w:type="gramStart"/>
            <w:r>
              <w:rPr>
                <w:rFonts w:cs="Courier New"/>
                <w:b/>
                <w:sz w:val="16"/>
              </w:rPr>
              <w:t>check</w:t>
            </w:r>
            <w:proofErr w:type="spellEnd"/>
            <w:r w:rsidR="00575C41" w:rsidRPr="00575C41">
              <w:rPr>
                <w:rFonts w:cs="Courier New"/>
                <w:b/>
                <w:sz w:val="16"/>
              </w:rPr>
              <w:t>(</w:t>
            </w:r>
            <w:proofErr w:type="spellStart"/>
            <w:proofErr w:type="gramEnd"/>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w:t>
            </w:r>
            <w:proofErr w:type="spellStart"/>
            <w:r w:rsidR="00575C41" w:rsidRPr="00575C41">
              <w:rPr>
                <w:rFonts w:cs="Courier New"/>
                <w:b/>
                <w:sz w:val="16"/>
              </w:rPr>
              <w:t>msg</w:t>
            </w:r>
            <w:proofErr w:type="spellEnd"/>
            <w:r w:rsidR="00575C41" w:rsidRPr="00575C41">
              <w:rPr>
                <w:rFonts w:cs="Courier New"/>
                <w:b/>
                <w:sz w:val="16"/>
              </w:rPr>
              <w:t xml:space="preserve">,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w:t>
            </w:r>
            <w:proofErr w:type="gramStart"/>
            <w:r w:rsidR="008D52E5" w:rsidRPr="002A494A">
              <w:rPr>
                <w:sz w:val="15"/>
                <w:szCs w:val="15"/>
              </w:rPr>
              <w:t>check</w:t>
            </w:r>
            <w:proofErr w:type="spellEnd"/>
            <w:r w:rsidR="008D52E5" w:rsidRPr="002A494A">
              <w:rPr>
                <w:sz w:val="15"/>
                <w:szCs w:val="15"/>
              </w:rPr>
              <w:t>(</w:t>
            </w:r>
            <w:proofErr w:type="gram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Paragraph"/>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w:t>
            </w:r>
            <w:proofErr w:type="gramStart"/>
            <w:r w:rsidR="00913B6B" w:rsidRPr="008D4FA0">
              <w:rPr>
                <w:rFonts w:ascii="Courier New" w:hAnsi="Courier New" w:cs="Courier New"/>
                <w:sz w:val="15"/>
                <w:szCs w:val="28"/>
              </w:rPr>
              <w:t>check</w:t>
            </w:r>
            <w:proofErr w:type="spellEnd"/>
            <w:r w:rsidR="00913B6B" w:rsidRPr="008D4FA0">
              <w:rPr>
                <w:rFonts w:ascii="Courier New" w:hAnsi="Courier New" w:cs="Courier New"/>
                <w:sz w:val="15"/>
                <w:szCs w:val="28"/>
              </w:rPr>
              <w:t>(</w:t>
            </w:r>
            <w:proofErr w:type="gram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proofErr w:type="spellStart"/>
            <w:r w:rsidRPr="002D5690">
              <w:rPr>
                <w:b/>
                <w:szCs w:val="14"/>
              </w:rPr>
              <w:lastRenderedPageBreak/>
              <w:t>sbi_poll_</w:t>
            </w:r>
            <w:proofErr w:type="gramStart"/>
            <w:r w:rsidRPr="002D5690">
              <w:rPr>
                <w:b/>
                <w:szCs w:val="14"/>
              </w:rPr>
              <w:t>until</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sbi_poll_until</w:t>
            </w:r>
            <w:proofErr w:type="spellEnd"/>
            <w:r w:rsidRPr="007F6C37">
              <w:rPr>
                <w:rFonts w:cs="Courier New"/>
                <w:b/>
                <w:sz w:val="16"/>
              </w:rPr>
              <w:t>(</w:t>
            </w:r>
            <w:proofErr w:type="spellStart"/>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w:t>
            </w:r>
            <w:proofErr w:type="spellStart"/>
            <w:r w:rsidRPr="007F6C37">
              <w:rPr>
                <w:rFonts w:cs="Courier New"/>
                <w:b/>
                <w:sz w:val="16"/>
              </w:rPr>
              <w:t>msg</w:t>
            </w:r>
            <w:proofErr w:type="spellEnd"/>
            <w:r w:rsidRPr="007F6C37">
              <w:rPr>
                <w:rFonts w:cs="Courier New"/>
                <w:b/>
                <w:sz w:val="16"/>
              </w:rPr>
              <w:t xml:space="preserve">,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w:t>
            </w:r>
            <w:proofErr w:type="gramStart"/>
            <w:r>
              <w:rPr>
                <w:sz w:val="15"/>
                <w:szCs w:val="15"/>
              </w:rPr>
              <w:t>until</w:t>
            </w:r>
            <w:proofErr w:type="spellEnd"/>
            <w:r w:rsidRPr="002A494A">
              <w:rPr>
                <w:sz w:val="15"/>
                <w:szCs w:val="15"/>
              </w:rPr>
              <w:t>(</w:t>
            </w:r>
            <w:proofErr w:type="gram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Paragraph"/>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Paragraph"/>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Paragraph"/>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Paragraph"/>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Paragraph"/>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Paragraph"/>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w:t>
            </w:r>
            <w:proofErr w:type="gramStart"/>
            <w:r w:rsidR="00940D46" w:rsidRPr="008D4FA0">
              <w:rPr>
                <w:rFonts w:ascii="Courier New" w:hAnsi="Courier New" w:cs="Courier New"/>
                <w:sz w:val="15"/>
                <w:szCs w:val="28"/>
              </w:rPr>
              <w:t>until</w:t>
            </w:r>
            <w:proofErr w:type="spellEnd"/>
            <w:r w:rsidR="00940D46" w:rsidRPr="008D4FA0">
              <w:rPr>
                <w:rFonts w:ascii="Courier New" w:hAnsi="Courier New" w:cs="Courier New"/>
                <w:sz w:val="15"/>
                <w:szCs w:val="28"/>
              </w:rPr>
              <w:t>(</w:t>
            </w:r>
            <w:proofErr w:type="gram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w:t>
            </w:r>
            <w:proofErr w:type="gramStart"/>
            <w:r w:rsidR="004713CC" w:rsidRPr="008D4FA0">
              <w:rPr>
                <w:rFonts w:ascii="Courier New" w:hAnsi="Courier New" w:cs="Courier New"/>
                <w:sz w:val="15"/>
                <w:szCs w:val="28"/>
              </w:rPr>
              <w:t>until</w:t>
            </w:r>
            <w:proofErr w:type="spellEnd"/>
            <w:r w:rsidR="004713CC" w:rsidRPr="008D4FA0">
              <w:rPr>
                <w:rFonts w:ascii="Courier New" w:hAnsi="Courier New" w:cs="Courier New"/>
                <w:sz w:val="15"/>
                <w:szCs w:val="28"/>
              </w:rPr>
              <w:t>(</w:t>
            </w:r>
            <w:proofErr w:type="gram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w:t>
            </w:r>
            <w:proofErr w:type="gramStart"/>
            <w:r w:rsidR="007F6C37" w:rsidRPr="002D5690">
              <w:rPr>
                <w:b/>
                <w:szCs w:val="14"/>
              </w:rPr>
              <w:t>signals</w:t>
            </w:r>
            <w:proofErr w:type="spellEnd"/>
            <w:r w:rsidR="007F6C37" w:rsidRPr="002D5690">
              <w:rPr>
                <w:b/>
                <w:szCs w:val="14"/>
              </w:rPr>
              <w:t>(</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w:t>
            </w:r>
            <w:proofErr w:type="gramStart"/>
            <w:r w:rsidR="00D1791E" w:rsidRPr="008D4FA0">
              <w:rPr>
                <w:rFonts w:ascii="Courier New" w:hAnsi="Courier New" w:cs="Courier New"/>
                <w:sz w:val="15"/>
                <w:szCs w:val="15"/>
              </w:rPr>
              <w:t>if</w:t>
            </w:r>
            <w:proofErr w:type="spellEnd"/>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402"/>
        <w:gridCol w:w="7508"/>
      </w:tblGrid>
      <w:tr w:rsidR="00304956" w:rsidRPr="0042320D" w14:paraId="18237F1E" w14:textId="77777777" w:rsidTr="001A55E3">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631"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750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A55E3">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1631"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402"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508"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1A55E3">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1631"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402"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7508"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1A55E3">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1631"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402"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7508"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1A55E3">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1631"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402"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7508"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1A55E3">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1631"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402"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7508"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1A55E3">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1631"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402"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7508"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1A55E3">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1631"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402"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7508"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1A55E3">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1631"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1A55E3">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1631"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AF2EB6" w:rsidRPr="0042320D" w14:paraId="2E01D568" w14:textId="77777777" w:rsidTr="001A55E3">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proofErr w:type="spellStart"/>
            <w:r>
              <w:rPr>
                <w:szCs w:val="18"/>
              </w:rPr>
              <w:t>bfm_sync</w:t>
            </w:r>
            <w:proofErr w:type="spellEnd"/>
          </w:p>
        </w:tc>
        <w:tc>
          <w:tcPr>
            <w:tcW w:w="1631" w:type="dxa"/>
            <w:tcBorders>
              <w:left w:val="nil"/>
              <w:right w:val="nil"/>
            </w:tcBorders>
            <w:shd w:val="clear" w:color="auto" w:fill="auto"/>
            <w:vAlign w:val="center"/>
          </w:tcPr>
          <w:p w14:paraId="3B504FE0" w14:textId="32A1DB08" w:rsidR="00AF2EB6" w:rsidRDefault="00AF2EB6" w:rsidP="00CA36E8">
            <w:pPr>
              <w:spacing w:line="276" w:lineRule="auto"/>
              <w:rPr>
                <w:szCs w:val="18"/>
              </w:rPr>
            </w:pPr>
            <w:proofErr w:type="spellStart"/>
            <w:r>
              <w:rPr>
                <w:szCs w:val="18"/>
              </w:rPr>
              <w:t>t_bfm_sync</w:t>
            </w:r>
            <w:proofErr w:type="spellEnd"/>
          </w:p>
        </w:tc>
        <w:tc>
          <w:tcPr>
            <w:tcW w:w="3402"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7508" w:type="dxa"/>
            <w:tcBorders>
              <w:left w:val="nil"/>
              <w:right w:val="nil"/>
            </w:tcBorders>
            <w:shd w:val="clear" w:color="auto" w:fill="auto"/>
          </w:tcPr>
          <w:p w14:paraId="2CFE2C9A" w14:textId="606C7C80" w:rsidR="00AF2EB6" w:rsidRDefault="001A55E3"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7A2E00" w:rsidRPr="0042320D" w14:paraId="53637AC7" w14:textId="77777777" w:rsidTr="001A55E3">
        <w:tc>
          <w:tcPr>
            <w:tcW w:w="2588" w:type="dxa"/>
            <w:tcBorders>
              <w:left w:val="nil"/>
              <w:right w:val="nil"/>
            </w:tcBorders>
            <w:shd w:val="clear" w:color="auto" w:fill="auto"/>
            <w:vAlign w:val="center"/>
          </w:tcPr>
          <w:p w14:paraId="53BF9484" w14:textId="2A6A06C0" w:rsidR="007A2E00" w:rsidRDefault="007A2E00" w:rsidP="00CA36E8">
            <w:pPr>
              <w:spacing w:line="276" w:lineRule="auto"/>
              <w:rPr>
                <w:szCs w:val="18"/>
              </w:rPr>
            </w:pPr>
            <w:proofErr w:type="spellStart"/>
            <w:r w:rsidRPr="007A2E00">
              <w:rPr>
                <w:bCs/>
                <w:szCs w:val="18"/>
              </w:rPr>
              <w:t>match_strictness</w:t>
            </w:r>
            <w:proofErr w:type="spellEnd"/>
          </w:p>
        </w:tc>
        <w:tc>
          <w:tcPr>
            <w:tcW w:w="1631" w:type="dxa"/>
            <w:tcBorders>
              <w:left w:val="nil"/>
              <w:right w:val="nil"/>
            </w:tcBorders>
            <w:shd w:val="clear" w:color="auto" w:fill="auto"/>
            <w:vAlign w:val="center"/>
          </w:tcPr>
          <w:p w14:paraId="77B16989" w14:textId="40C63DB9" w:rsidR="007A2E00" w:rsidRDefault="007A2E00" w:rsidP="00CA36E8">
            <w:pPr>
              <w:spacing w:line="276" w:lineRule="auto"/>
              <w:rPr>
                <w:szCs w:val="18"/>
              </w:rPr>
            </w:pPr>
            <w:proofErr w:type="spellStart"/>
            <w:r>
              <w:rPr>
                <w:bCs/>
                <w:szCs w:val="18"/>
              </w:rPr>
              <w:t>t_</w:t>
            </w:r>
            <w:r w:rsidRPr="007A2E00">
              <w:rPr>
                <w:bCs/>
                <w:szCs w:val="18"/>
              </w:rPr>
              <w:t>match_strictness</w:t>
            </w:r>
            <w:proofErr w:type="spellEnd"/>
          </w:p>
        </w:tc>
        <w:tc>
          <w:tcPr>
            <w:tcW w:w="3402" w:type="dxa"/>
            <w:tcBorders>
              <w:left w:val="nil"/>
              <w:right w:val="nil"/>
            </w:tcBorders>
            <w:shd w:val="clear" w:color="auto" w:fill="auto"/>
            <w:vAlign w:val="center"/>
          </w:tcPr>
          <w:p w14:paraId="6C2AA7F3" w14:textId="57EAF9F7" w:rsidR="007A2E00" w:rsidRDefault="007A2E00" w:rsidP="00CA36E8">
            <w:pPr>
              <w:spacing w:line="276" w:lineRule="auto"/>
              <w:rPr>
                <w:szCs w:val="18"/>
              </w:rPr>
            </w:pPr>
            <w:r>
              <w:rPr>
                <w:szCs w:val="18"/>
              </w:rPr>
              <w:t>MATCH_EXACT</w:t>
            </w:r>
          </w:p>
        </w:tc>
        <w:tc>
          <w:tcPr>
            <w:tcW w:w="7508" w:type="dxa"/>
            <w:tcBorders>
              <w:left w:val="nil"/>
              <w:right w:val="nil"/>
            </w:tcBorders>
            <w:shd w:val="clear" w:color="auto" w:fill="auto"/>
          </w:tcPr>
          <w:p w14:paraId="11A5E785" w14:textId="77777777" w:rsidR="007A2E00" w:rsidRPr="007A2E00" w:rsidRDefault="007A2E00" w:rsidP="007A2E00">
            <w:pPr>
              <w:tabs>
                <w:tab w:val="left" w:pos="4820"/>
              </w:tabs>
              <w:spacing w:line="276" w:lineRule="auto"/>
              <w:rPr>
                <w:lang w:val="en-US"/>
              </w:rPr>
            </w:pPr>
            <w:r w:rsidRPr="007A2E00">
              <w:rPr>
                <w:lang w:val="en-US"/>
              </w:rPr>
              <w:t xml:space="preserve">Matching strictness for </w:t>
            </w:r>
            <w:proofErr w:type="spellStart"/>
            <w:r w:rsidRPr="007A2E00">
              <w:rPr>
                <w:lang w:val="en-US"/>
              </w:rPr>
              <w:t>std_logic</w:t>
            </w:r>
            <w:proofErr w:type="spellEnd"/>
            <w:r w:rsidRPr="007A2E00">
              <w:rPr>
                <w:lang w:val="en-US"/>
              </w:rPr>
              <w:t xml:space="preserve"> values in check procedures.</w:t>
            </w:r>
          </w:p>
          <w:p w14:paraId="24AF88E6" w14:textId="77777777" w:rsidR="007A2E00" w:rsidRPr="007A2E00" w:rsidRDefault="007A2E00" w:rsidP="007A2E00">
            <w:pPr>
              <w:tabs>
                <w:tab w:val="left" w:pos="4820"/>
              </w:tabs>
              <w:spacing w:line="276" w:lineRule="auto"/>
              <w:rPr>
                <w:lang w:val="en-US"/>
              </w:rPr>
            </w:pPr>
            <w:r w:rsidRPr="007A2E00">
              <w:rPr>
                <w:lang w:val="en-US"/>
              </w:rPr>
              <w:t>MATCH_EXACT requires both values to be the same. Note that the expected value</w:t>
            </w:r>
          </w:p>
          <w:p w14:paraId="7D23A024" w14:textId="77777777" w:rsidR="007A2E00" w:rsidRPr="007A2E00" w:rsidRDefault="007A2E00" w:rsidP="007A2E00">
            <w:pPr>
              <w:tabs>
                <w:tab w:val="left" w:pos="4820"/>
              </w:tabs>
              <w:spacing w:line="276" w:lineRule="auto"/>
              <w:rPr>
                <w:lang w:val="en-US"/>
              </w:rPr>
            </w:pPr>
            <w:r w:rsidRPr="007A2E00">
              <w:rPr>
                <w:lang w:val="en-US"/>
              </w:rPr>
              <w:t>can contain the don’t care operator ‘</w:t>
            </w:r>
            <w:proofErr w:type="gramStart"/>
            <w:r w:rsidRPr="007A2E00">
              <w:rPr>
                <w:lang w:val="en-US"/>
              </w:rPr>
              <w:t>-‘</w:t>
            </w:r>
            <w:proofErr w:type="gramEnd"/>
            <w:r w:rsidRPr="007A2E00">
              <w:rPr>
                <w:lang w:val="en-US"/>
              </w:rPr>
              <w:t>.</w:t>
            </w:r>
          </w:p>
          <w:p w14:paraId="3B7A06CB" w14:textId="5AC374F2" w:rsidR="007A2E00" w:rsidRPr="007A2E00" w:rsidRDefault="007A2E00" w:rsidP="007A2E00">
            <w:pPr>
              <w:tabs>
                <w:tab w:val="left" w:pos="4820"/>
              </w:tabs>
              <w:spacing w:line="276" w:lineRule="auto"/>
              <w:rPr>
                <w:lang w:val="en-US"/>
              </w:rPr>
            </w:pPr>
            <w:r w:rsidRPr="007A2E00">
              <w:rPr>
                <w:lang w:val="en-US"/>
              </w:rPr>
              <w:t>MATCH_STD allows comparisons between ‘H’ and ‘1’, ‘L’ and ‘0’ and ‘</w:t>
            </w:r>
            <w:proofErr w:type="gramStart"/>
            <w:r w:rsidRPr="007A2E00">
              <w:rPr>
                <w:lang w:val="en-US"/>
              </w:rPr>
              <w:t>-‘ in</w:t>
            </w:r>
            <w:proofErr w:type="gramEnd"/>
            <w:r w:rsidRPr="007A2E00">
              <w:rPr>
                <w:lang w:val="en-US"/>
              </w:rPr>
              <w:t xml:space="preserve"> both values.</w:t>
            </w:r>
          </w:p>
        </w:tc>
      </w:tr>
      <w:tr w:rsidR="00D3614B" w:rsidRPr="0042320D" w14:paraId="11AE6D65" w14:textId="77777777" w:rsidTr="001A55E3">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1631"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7508"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1A55E3">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1631"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7508"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1A55E3">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1631"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7508"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1A55E3">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1631"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402"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7508"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2C881A86" w14:textId="77777777"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Paragraph"/>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Heading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 xml:space="preserve">SBI is our name for the simplest bus interface possible, one that has been used for decades in the electronics industry. Some think of it as a simple SRAM interface, but that is not a standard, and is probably understood and used in </w:t>
      </w:r>
      <w:proofErr w:type="gramStart"/>
      <w:r w:rsidRPr="00B67FEF">
        <w:t>many different ways</w:t>
      </w:r>
      <w:proofErr w:type="gramEnd"/>
      <w:r w:rsidRPr="00B67FEF">
        <w:t>.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 xml:space="preserve">SBI is a single cycle bus with an optional </w:t>
      </w:r>
      <w:proofErr w:type="gramStart"/>
      <w:r w:rsidRPr="00B67FEF">
        <w:t>ready-signalling</w:t>
      </w:r>
      <w:proofErr w:type="gramEnd"/>
      <w:r w:rsidRPr="00B67FEF">
        <w:t>.</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w:t>
      </w:r>
      <w:proofErr w:type="gramStart"/>
      <w:r w:rsidR="003E6FE1" w:rsidRPr="00B67FEF">
        <w:t>ready-signalling</w:t>
      </w:r>
      <w:proofErr w:type="gramEnd"/>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 xml:space="preserve">SBI has optional </w:t>
      </w:r>
      <w:proofErr w:type="gramStart"/>
      <w:r w:rsidRPr="00B67FEF">
        <w:t>ready-signalling</w:t>
      </w:r>
      <w:proofErr w:type="gramEnd"/>
      <w:r w:rsidRPr="00B67FEF">
        <w:t>.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w:t>
      </w:r>
      <w:proofErr w:type="gramStart"/>
      <w:r w:rsidRPr="00B67FEF">
        <w:t>active, but</w:t>
      </w:r>
      <w:proofErr w:type="gramEnd"/>
      <w:r w:rsidRPr="00B67FEF">
        <w:t xml:space="preserve"> must do so on the first rising edge of </w:t>
      </w:r>
      <w:r w:rsidR="003E6FE1">
        <w:t>the clock after 'ready' active.</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link"/>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Heading1"/>
        <w:rPr>
          <w:rFonts w:ascii="Helvetica" w:hAnsi="Helvetica"/>
        </w:rPr>
      </w:pPr>
      <w:bookmarkStart w:id="5" w:name="_Ref423952304"/>
      <w:r w:rsidRPr="00250BB7">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t>
      </w:r>
      <w:proofErr w:type="gramStart"/>
      <w:r w:rsidRPr="008D4FA0">
        <w:rPr>
          <w:rFonts w:ascii="Courier New" w:hAnsi="Courier New" w:cs="Courier New"/>
        </w:rPr>
        <w:t>write</w:t>
      </w:r>
      <w:proofErr w:type="spellEnd"/>
      <w:r w:rsidRPr="008D4FA0">
        <w:rPr>
          <w:rFonts w:ascii="Courier New" w:hAnsi="Courier New" w:cs="Courier New"/>
        </w:rPr>
        <w:t>(</w:t>
      </w:r>
      <w:proofErr w:type="gram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gram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roofErr w:type="gramStart"/>
      <w:r w:rsidR="004A6C7B" w:rsidRPr="008D4FA0">
        <w:rPr>
          <w:rFonts w:ascii="Courier New" w:hAnsi="Courier New" w:cs="Courier New"/>
        </w:rPr>
        <w:t>);</w:t>
      </w:r>
      <w:proofErr w:type="gramEnd"/>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spellEnd"/>
      <w:r w:rsidRPr="005B5DD0">
        <w:rPr>
          <w:rFonts w:ascii="Courier New" w:hAnsi="Courier New" w:cs="Courier New"/>
          <w:color w:val="000000"/>
          <w:szCs w:val="18"/>
          <w:lang w:val="en-US" w:eastAsia="nb-NO"/>
        </w:rPr>
        <w:t>(</w:t>
      </w:r>
      <w:proofErr w:type="spellStart"/>
      <w:proofErr w:type="gramEnd"/>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proofErr w:type="gramStart"/>
      <w:r w:rsidRPr="005B5DD0">
        <w:rPr>
          <w:rFonts w:ascii="Courier New" w:hAnsi="Courier New" w:cs="Courier New"/>
          <w:color w:val="000000"/>
          <w:szCs w:val="18"/>
          <w:lang w:val="en-US" w:eastAsia="nb-NO"/>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w:t>
      </w:r>
      <w:proofErr w:type="gramStart"/>
      <w:r>
        <w:t>a</w:t>
      </w:r>
      <w:proofErr w:type="gramEnd"/>
      <w:r>
        <w:t xml:space="preserve"> SBI interface. This BFM is not </w:t>
      </w:r>
      <w:proofErr w:type="gramStart"/>
      <w:r>
        <w:t>a</w:t>
      </w:r>
      <w:proofErr w:type="gramEnd"/>
      <w:r>
        <w:t xml:space="preserve"> SBI protocol checker. </w:t>
      </w:r>
      <w:r>
        <w:br/>
        <w:t xml:space="preserve">For a more advanced BFM please contact Bitvis AS at </w:t>
      </w:r>
      <w:hyperlink r:id="rId13" w:history="1">
        <w:r w:rsidRPr="00DA5060">
          <w:rPr>
            <w:rStyle w:val="Hyperlink"/>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024FB" w14:textId="77777777" w:rsidR="006D7AB4" w:rsidRPr="009F58C4" w:rsidRDefault="006D7AB4">
      <w:pPr>
        <w:rPr>
          <w:rFonts w:ascii="Arial" w:hAnsi="Arial" w:cs="Arial"/>
          <w:lang w:val="sq-AL"/>
        </w:rPr>
      </w:pPr>
      <w:r w:rsidRPr="009F58C4">
        <w:rPr>
          <w:rFonts w:ascii="Arial" w:hAnsi="Arial" w:cs="Arial"/>
          <w:lang w:val="sq-AL"/>
        </w:rPr>
        <w:separator/>
      </w:r>
    </w:p>
  </w:endnote>
  <w:endnote w:type="continuationSeparator" w:id="0">
    <w:p w14:paraId="2B48F266" w14:textId="77777777" w:rsidR="006D7AB4" w:rsidRPr="009F58C4" w:rsidRDefault="006D7AB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8F2AB4" w:rsidRDefault="008F2AB4"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8F2AB4" w:rsidRDefault="008F2AB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7016" w14:textId="77777777" w:rsidR="00F82375" w:rsidRPr="00FA2638" w:rsidRDefault="00F82375" w:rsidP="00F82375">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7A2E00" w14:paraId="35168E3E" w14:textId="77777777" w:rsidTr="00E61652">
      <w:trPr>
        <w:trHeight w:val="284"/>
        <w:jc w:val="center"/>
      </w:trPr>
      <w:tc>
        <w:tcPr>
          <w:tcW w:w="3918" w:type="dxa"/>
          <w:vAlign w:val="center"/>
        </w:tcPr>
        <w:p w14:paraId="78424532" w14:textId="31438004" w:rsidR="008F2AB4" w:rsidRPr="00DA1B07" w:rsidRDefault="008F2AB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0FDACE7" w:rsidR="008F2AB4" w:rsidRPr="00DA1B07" w:rsidRDefault="008F2AB4"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12F73">
            <w:rPr>
              <w:rFonts w:ascii="Helvetica" w:hAnsi="Helvetica" w:cs="Arial"/>
              <w:b/>
              <w:color w:val="1381C4"/>
              <w:sz w:val="14"/>
              <w:lang w:val="sq-AL"/>
            </w:rPr>
            <w:t>7</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A2E00">
            <w:rPr>
              <w:rFonts w:ascii="Helvetica" w:hAnsi="Helvetica" w:cs="Arial"/>
              <w:noProof/>
              <w:color w:val="1381C4"/>
              <w:sz w:val="14"/>
              <w:lang w:val="en-US"/>
            </w:rPr>
            <w:t>2020-05-28</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6D7AB4" w:rsidP="00615DBA">
          <w:pPr>
            <w:pStyle w:val="Footer"/>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link"/>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4953379B"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A2E00">
      <w:rPr>
        <w:iCs/>
        <w:color w:val="000000" w:themeColor="text1"/>
        <w:sz w:val="14"/>
        <w:szCs w:val="16"/>
      </w:rPr>
      <w:t xml:space="preserve">20 </w:t>
    </w:r>
    <w:r>
      <w:rPr>
        <w:iCs/>
        <w:color w:val="000000" w:themeColor="text1"/>
        <w:sz w:val="14"/>
        <w:szCs w:val="16"/>
      </w:rPr>
      <w:t xml:space="preserve">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C7C75" w14:textId="77777777" w:rsidR="006D7AB4" w:rsidRPr="009F58C4" w:rsidRDefault="006D7AB4">
      <w:pPr>
        <w:rPr>
          <w:rFonts w:ascii="Arial" w:hAnsi="Arial" w:cs="Arial"/>
          <w:lang w:val="sq-AL"/>
        </w:rPr>
      </w:pPr>
      <w:r w:rsidRPr="009F58C4">
        <w:rPr>
          <w:rFonts w:ascii="Arial" w:hAnsi="Arial" w:cs="Arial"/>
          <w:lang w:val="sq-AL"/>
        </w:rPr>
        <w:separator/>
      </w:r>
    </w:p>
  </w:footnote>
  <w:footnote w:type="continuationSeparator" w:id="0">
    <w:p w14:paraId="7EC9CB09" w14:textId="77777777" w:rsidR="006D7AB4" w:rsidRPr="009F58C4" w:rsidRDefault="006D7AB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8F2AB4" w:rsidRDefault="008F2AB4"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8F2AB4" w:rsidRDefault="008F2AB4"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2706"/>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4EB0"/>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55E3"/>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1F90"/>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4FD"/>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6E72"/>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D7AB4"/>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1AE"/>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2E00"/>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12F73"/>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E7151"/>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45BD8"/>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2331-CE09-4D55-97B5-8435329B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3050</Words>
  <Characters>16170</Characters>
  <Application>Microsoft Office Word</Application>
  <DocSecurity>0</DocSecurity>
  <Lines>134</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19182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2020-05-19T08:07:00Z</dcterms:created>
  <dcterms:modified xsi:type="dcterms:W3CDTF">2020-05-28T16:15:00Z</dcterms:modified>
</cp:coreProperties>
</file>