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6BB1659"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r w:rsidR="00DE6BBB">
              <w:rPr>
                <w:rFonts w:cs="Verdana"/>
                <w:color w:val="FFFFFF"/>
                <w:szCs w:val="30"/>
              </w:rPr>
              <w:t xml:space="preserve"> </w:t>
            </w:r>
            <w:r w:rsidR="00DE6BBB" w:rsidRPr="00DE6BBB">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4BAAF2D1"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 xml:space="preserve">nding data to </w:t>
            </w:r>
            <w:r w:rsidR="00FC767E">
              <w:rPr>
                <w:rFonts w:cs="Verdana"/>
                <w:b w:val="0"/>
                <w:bCs w:val="0"/>
                <w:sz w:val="15"/>
                <w:szCs w:val="28"/>
              </w:rPr>
              <w:t>DUT UART instance</w:t>
            </w:r>
            <w:r w:rsidR="000F6B7E">
              <w:rPr>
                <w:rFonts w:cs="Verdana"/>
                <w:b w:val="0"/>
                <w:bCs w:val="0"/>
                <w:sz w:val="15"/>
                <w:szCs w:val="28"/>
              </w:rPr>
              <w:t xml:space="preserve"> 1</w:t>
            </w:r>
            <w:r w:rsidR="00C22FF5" w:rsidRPr="00C22FF5">
              <w:rPr>
                <w:rFonts w:cs="Verdana"/>
                <w:b w:val="0"/>
                <w:bCs w:val="0"/>
                <w:sz w:val="15"/>
                <w:szCs w:val="28"/>
              </w:rPr>
              <w:t>”</w:t>
            </w:r>
            <w:r w:rsidR="009B37E1" w:rsidRPr="00C22FF5">
              <w:rPr>
                <w:rFonts w:cs="Verdana"/>
                <w:b w:val="0"/>
                <w:sz w:val="15"/>
                <w:szCs w:val="13"/>
              </w:rPr>
              <w:t xml:space="preserve">,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2B0B516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FC767E">
              <w:rPr>
                <w:rFonts w:cs="Verdana"/>
                <w:b w:val="0"/>
                <w:bCs w:val="0"/>
                <w:i/>
                <w:sz w:val="15"/>
                <w:szCs w:val="28"/>
              </w:rPr>
              <w:t xml:space="preserve"> UART instance 1</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57AC674"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data_value, msg,</w:t>
            </w:r>
            <w:r w:rsidR="00E86489" w:rsidRPr="00CD57FD">
              <w:rPr>
                <w:rFonts w:cs="Verdana"/>
                <w:color w:val="FFFFFF"/>
                <w:szCs w:val="30"/>
                <w:lang w:val="en-US"/>
              </w:rPr>
              <w:t xml:space="preserve">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ACA744F"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w:t>
            </w:r>
            <w:r w:rsidR="00FC767E">
              <w:rPr>
                <w:rFonts w:cs="Verdana"/>
                <w:b w:val="0"/>
                <w:bCs w:val="0"/>
                <w:sz w:val="15"/>
                <w:szCs w:val="28"/>
              </w:rPr>
              <w:t>DUT UART instance</w:t>
            </w:r>
            <w:r w:rsidR="00DC5A49" w:rsidRPr="00DC5A49">
              <w:rPr>
                <w:rFonts w:cs="Verdana"/>
                <w:b w:val="0"/>
                <w:bCs w:val="0"/>
                <w:sz w:val="15"/>
                <w:szCs w:val="28"/>
              </w:rPr>
              <w:t xml:space="preserve"> 1”</w:t>
            </w:r>
            <w:r w:rsidR="00020948" w:rsidRPr="00DC5A49">
              <w:rPr>
                <w:rFonts w:cs="Verdana"/>
                <w:b w:val="0"/>
                <w:sz w:val="15"/>
                <w:szCs w:val="13"/>
              </w:rPr>
              <w:t xml:space="preserve">,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7140A1E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w:t>
            </w:r>
            <w:r w:rsidR="00FC767E">
              <w:rPr>
                <w:rFonts w:cs="Verdana"/>
                <w:b w:val="0"/>
                <w:bCs w:val="0"/>
                <w:i/>
                <w:sz w:val="15"/>
                <w:szCs w:val="28"/>
              </w:rPr>
              <w:t xml:space="preserve">DUT UART instance </w:t>
            </w:r>
            <w:r w:rsidR="009C25CC" w:rsidRPr="009C25CC">
              <w:rPr>
                <w:rFonts w:cs="Verdana"/>
                <w:b w:val="0"/>
                <w:bCs w:val="0"/>
                <w:i/>
                <w:sz w:val="15"/>
                <w:szCs w:val="28"/>
              </w:rPr>
              <w:t>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EBF85A1"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sidR="000F10C8">
              <w:rPr>
                <w:rFonts w:cs="Verdana"/>
                <w:color w:val="FFFFFF"/>
                <w:szCs w:val="30"/>
                <w:lang w:val="en-US"/>
              </w:rPr>
              <w:t xml:space="preserve"> msg, rx, terminate_loop,</w:t>
            </w:r>
            <w:r w:rsidR="00675E2F">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 xml:space="preserve">max_receptions,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r w:rsidR="003861D9">
              <w:rPr>
                <w:rFonts w:cs="Verdana"/>
                <w:color w:val="FFFFFF"/>
                <w:szCs w:val="30"/>
                <w:lang w:val="en-US"/>
              </w:rPr>
              <w:t>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62737D06"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r w:rsidR="00A00160">
              <w:rPr>
                <w:rFonts w:cs="Verdana"/>
                <w:b w:val="0"/>
                <w:sz w:val="15"/>
                <w:szCs w:val="13"/>
              </w:rPr>
              <w:t>rx, terminate_signal</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9FC94AE">
            <wp:simplePos x="0" y="0"/>
            <wp:positionH relativeFrom="margin">
              <wp:posOffset>8900969</wp:posOffset>
            </wp:positionH>
            <wp:positionV relativeFrom="paragraph">
              <wp:posOffset>2042564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825734" w:rsidRPr="0042320D" w14:paraId="7C16DE9D" w14:textId="77777777" w:rsidTr="00825734">
        <w:trPr>
          <w:trHeight w:val="98"/>
        </w:trPr>
        <w:tc>
          <w:tcPr>
            <w:tcW w:w="3668" w:type="dxa"/>
            <w:tcBorders>
              <w:top w:val="nil"/>
              <w:left w:val="nil"/>
              <w:bottom w:val="nil"/>
              <w:right w:val="nil"/>
            </w:tcBorders>
            <w:shd w:val="clear" w:color="auto" w:fill="auto"/>
            <w:vAlign w:val="bottom"/>
          </w:tcPr>
          <w:p w14:paraId="62655227" w14:textId="0265EEFE" w:rsidR="00825734" w:rsidRDefault="00825734"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557" w:type="dxa"/>
            <w:tcBorders>
              <w:top w:val="nil"/>
              <w:left w:val="nil"/>
              <w:bottom w:val="nil"/>
              <w:right w:val="nil"/>
            </w:tcBorders>
            <w:shd w:val="clear" w:color="auto" w:fill="auto"/>
            <w:vAlign w:val="bottom"/>
          </w:tcPr>
          <w:p w14:paraId="640D7EA1" w14:textId="280D0E1D"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515" w:type="dxa"/>
            <w:tcBorders>
              <w:top w:val="nil"/>
              <w:left w:val="nil"/>
              <w:bottom w:val="nil"/>
              <w:right w:val="nil"/>
            </w:tcBorders>
            <w:shd w:val="clear" w:color="auto" w:fill="auto"/>
            <w:vAlign w:val="bottom"/>
          </w:tcPr>
          <w:p w14:paraId="74BFC5DE" w14:textId="7B9DCA7C"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436E2E" w:rsidRPr="0042320D" w14:paraId="6EFE4238" w14:textId="77777777" w:rsidTr="00825734">
        <w:trPr>
          <w:trHeight w:val="98"/>
        </w:trPr>
        <w:tc>
          <w:tcPr>
            <w:tcW w:w="3668" w:type="dxa"/>
            <w:tcBorders>
              <w:top w:val="nil"/>
              <w:left w:val="nil"/>
              <w:bottom w:val="nil"/>
              <w:right w:val="nil"/>
            </w:tcBorders>
            <w:shd w:val="clear" w:color="auto" w:fill="E7E6E6" w:themeFill="background2"/>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557" w:type="dxa"/>
            <w:tcBorders>
              <w:top w:val="nil"/>
              <w:left w:val="nil"/>
              <w:bottom w:val="nil"/>
              <w:right w:val="nil"/>
            </w:tcBorders>
            <w:shd w:val="clear" w:color="auto" w:fill="E7E6E6" w:themeFill="background2"/>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825734">
        <w:trPr>
          <w:trHeight w:val="98"/>
        </w:trPr>
        <w:tc>
          <w:tcPr>
            <w:tcW w:w="3668" w:type="dxa"/>
            <w:tcBorders>
              <w:top w:val="nil"/>
              <w:left w:val="nil"/>
              <w:bottom w:val="nil"/>
              <w:right w:val="nil"/>
            </w:tcBorders>
            <w:shd w:val="clear" w:color="auto" w:fill="auto"/>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557" w:type="dxa"/>
            <w:tcBorders>
              <w:top w:val="nil"/>
              <w:left w:val="nil"/>
              <w:bottom w:val="nil"/>
              <w:right w:val="nil"/>
            </w:tcBorders>
            <w:shd w:val="clear" w:color="auto" w:fill="auto"/>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825734">
        <w:trPr>
          <w:trHeight w:val="98"/>
        </w:trPr>
        <w:tc>
          <w:tcPr>
            <w:tcW w:w="3668" w:type="dxa"/>
            <w:tcBorders>
              <w:top w:val="nil"/>
              <w:left w:val="nil"/>
              <w:bottom w:val="nil"/>
              <w:right w:val="nil"/>
            </w:tcBorders>
            <w:shd w:val="clear" w:color="auto" w:fill="E7E6E6" w:themeFill="background2"/>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557" w:type="dxa"/>
            <w:tcBorders>
              <w:top w:val="nil"/>
              <w:left w:val="nil"/>
              <w:bottom w:val="nil"/>
              <w:right w:val="nil"/>
            </w:tcBorders>
            <w:shd w:val="clear" w:color="auto" w:fill="E7E6E6" w:themeFill="background2"/>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825734">
        <w:trPr>
          <w:trHeight w:val="98"/>
        </w:trPr>
        <w:tc>
          <w:tcPr>
            <w:tcW w:w="3668" w:type="dxa"/>
            <w:tcBorders>
              <w:top w:val="nil"/>
              <w:left w:val="nil"/>
              <w:bottom w:val="nil"/>
              <w:right w:val="nil"/>
            </w:tcBorders>
            <w:shd w:val="clear" w:color="auto" w:fill="auto"/>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557" w:type="dxa"/>
            <w:tcBorders>
              <w:top w:val="nil"/>
              <w:left w:val="nil"/>
              <w:bottom w:val="nil"/>
              <w:right w:val="nil"/>
            </w:tcBorders>
            <w:shd w:val="clear" w:color="auto" w:fill="auto"/>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825734">
        <w:trPr>
          <w:trHeight w:val="98"/>
        </w:trPr>
        <w:tc>
          <w:tcPr>
            <w:tcW w:w="3668" w:type="dxa"/>
            <w:tcBorders>
              <w:top w:val="nil"/>
              <w:left w:val="nil"/>
              <w:bottom w:val="nil"/>
              <w:right w:val="nil"/>
            </w:tcBorders>
            <w:shd w:val="clear" w:color="auto" w:fill="E7E6E6" w:themeFill="background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r w:rsidRPr="00EC008B">
              <w:rPr>
                <w:rFonts w:cs="Helvetica"/>
                <w:bCs/>
                <w:sz w:val="15"/>
                <w:highlight w:val="darkGray"/>
              </w:rPr>
              <w:t>error_injection</w:t>
            </w:r>
          </w:p>
        </w:tc>
        <w:tc>
          <w:tcPr>
            <w:tcW w:w="1557" w:type="dxa"/>
            <w:tcBorders>
              <w:top w:val="nil"/>
              <w:left w:val="nil"/>
              <w:bottom w:val="nil"/>
              <w:right w:val="nil"/>
            </w:tcBorders>
            <w:shd w:val="clear" w:color="auto" w:fill="E7E6E6" w:themeFill="background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
        </w:tc>
        <w:tc>
          <w:tcPr>
            <w:tcW w:w="3515" w:type="dxa"/>
            <w:tcBorders>
              <w:top w:val="nil"/>
              <w:left w:val="nil"/>
              <w:bottom w:val="nil"/>
              <w:right w:val="nil"/>
            </w:tcBorders>
            <w:shd w:val="clear" w:color="auto" w:fill="E7E6E6" w:themeFill="background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2C35FC14" w14:textId="36494880" w:rsidR="00DE6BBB" w:rsidRDefault="00DE6BBB" w:rsidP="00DE6BBB"/>
    <w:p w14:paraId="346F204E" w14:textId="77777777" w:rsidR="00DE6BBB" w:rsidRPr="00DE6BBB" w:rsidRDefault="00DE6BBB" w:rsidP="00DE6BBB"/>
    <w:p w14:paraId="2E144FFA" w14:textId="3943ED23" w:rsidR="00DE6BBB" w:rsidRPr="0047388F" w:rsidRDefault="00DE6BBB" w:rsidP="00DE6BBB">
      <w:pPr>
        <w:tabs>
          <w:tab w:val="left" w:pos="851"/>
        </w:tabs>
        <w:rPr>
          <w:szCs w:val="18"/>
        </w:rPr>
      </w:pPr>
      <w:r w:rsidRPr="0047388F">
        <w:rPr>
          <w:szCs w:val="18"/>
        </w:rPr>
        <w:lastRenderedPageBreak/>
        <w:t>Note 1:</w:t>
      </w:r>
      <w:r>
        <w:rPr>
          <w:szCs w:val="18"/>
        </w:rPr>
        <w:t xml:space="preserve"> the BFM configuration has to be defined and used when calling the UART BFM procedures. See section </w:t>
      </w:r>
      <w:r>
        <w:rPr>
          <w:szCs w:val="18"/>
        </w:rPr>
        <w:fldChar w:fldCharType="begin"/>
      </w:r>
      <w:r>
        <w:rPr>
          <w:szCs w:val="18"/>
        </w:rPr>
        <w:instrText xml:space="preserve"> REF _Ref44660843 \r \h </w:instrText>
      </w:r>
      <w:r>
        <w:rPr>
          <w:szCs w:val="18"/>
        </w:rPr>
        <w:fldChar w:fldCharType="separate"/>
      </w:r>
      <w:r w:rsidR="00684FF7">
        <w:rPr>
          <w:b/>
          <w:bCs/>
          <w:szCs w:val="18"/>
          <w:lang w:val="nb-NO"/>
        </w:rPr>
        <w:t>Feil! Fant ikke referansekilden.</w:t>
      </w:r>
      <w:r>
        <w:rPr>
          <w:szCs w:val="18"/>
        </w:rPr>
        <w:fldChar w:fldCharType="end"/>
      </w:r>
      <w:r>
        <w:rPr>
          <w:szCs w:val="18"/>
        </w:rPr>
        <w:t xml:space="preserve"> for an example of how to define a local BFM config</w:t>
      </w:r>
      <w:r w:rsidRPr="0047388F">
        <w:rPr>
          <w:szCs w:val="18"/>
        </w:rPr>
        <w:t>.</w:t>
      </w:r>
    </w:p>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0BC751F9"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84FF7">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parity_bit_error</w:t>
            </w:r>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stop_bit_error</w:t>
            </w:r>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Will invert the first stop bit in a transmission if TRUE. Note that the following UART frame may be misinterpreted if there is no Idle period or additional stop bits after the error injection. Hence a stop_bit_error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UVVM Essential Mechanisms’ located in uvvm_vvc_framework/doc.</w:t>
      </w:r>
      <w:r w:rsidR="001A058C" w:rsidRPr="00EC008B">
        <w:rPr>
          <w:highlight w:val="darkGray"/>
        </w:rPr>
        <w:br/>
      </w:r>
      <w:r w:rsidR="001A058C" w:rsidRPr="00EC008B">
        <w:rPr>
          <w:rFonts w:ascii="Verdana" w:hAnsi="Verdana"/>
          <w:sz w:val="14"/>
          <w:highlight w:val="darkGray"/>
        </w:rPr>
        <w:t>Note: The error_injection_config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bookmarkStart w:id="3" w:name="_Ref44664622"/>
      <w:r w:rsidRPr="0042320D">
        <w:rPr>
          <w:rFonts w:ascii="Helvetica" w:hAnsi="Helvetica"/>
        </w:rPr>
        <w:t>BFM procedure details and examples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tx, [config, [scope, [msg_id_panel]]])</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Errors may be injected – depending on the error_injection_config sub-record within the bfm_config</w:t>
            </w:r>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2D459835"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 tx);</w:t>
            </w:r>
          </w:p>
          <w:p w14:paraId="29A256AA" w14:textId="4158BEB9"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w:t>
            </w:r>
            <w:r w:rsidR="00836CF9">
              <w:rPr>
                <w:rFonts w:ascii="Courier New" w:hAnsi="Courier New" w:cs="Courier New"/>
                <w:sz w:val="15"/>
                <w:szCs w:val="15"/>
              </w:rPr>
              <w:t xml:space="preserve"> </w:t>
            </w:r>
            <w:r w:rsidR="005D7F2C" w:rsidRPr="00F94BF0">
              <w:rPr>
                <w:rFonts w:ascii="Courier New" w:hAnsi="Courier New" w:cs="Courier New"/>
                <w:sz w:val="15"/>
                <w:szCs w:val="15"/>
              </w:rPr>
              <w:t xml:space="preserve">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31F29DFD"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FC767E">
              <w:rPr>
                <w:rFonts w:ascii="Courier New" w:hAnsi="Courier New" w:cs="Courier New"/>
                <w:sz w:val="15"/>
                <w:szCs w:val="15"/>
              </w:rPr>
              <w:t xml:space="preserve"> UART instance 1</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r w:rsidRPr="0098788B">
              <w:rPr>
                <w:rFonts w:cs="Courier New"/>
                <w:b/>
                <w:sz w:val="16"/>
              </w:rPr>
              <w:t>uart_receive (data_value, msg, rx, terminate_loop, [config, [scope, [msg_id_panel, [proc_name]]]])</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1ECBDA9" w:rsidR="00F94BF0" w:rsidRDefault="00F94BF0" w:rsidP="00F94BF0">
            <w:pPr>
              <w:pStyle w:val="Listeavsnitt"/>
              <w:tabs>
                <w:tab w:val="left" w:pos="4820"/>
              </w:tabs>
              <w:spacing w:line="276" w:lineRule="auto"/>
              <w:ind w:left="360"/>
              <w:rPr>
                <w:sz w:val="6"/>
                <w:szCs w:val="6"/>
              </w:rPr>
            </w:pPr>
          </w:p>
          <w:p w14:paraId="2234ED17" w14:textId="77777777" w:rsidR="00ED306F" w:rsidRPr="003D034E" w:rsidRDefault="00ED306F" w:rsidP="00F94BF0">
            <w:pPr>
              <w:pStyle w:val="Listeavsnitt"/>
              <w:tabs>
                <w:tab w:val="left" w:pos="4820"/>
              </w:tabs>
              <w:spacing w:line="276" w:lineRule="auto"/>
              <w:ind w:left="360"/>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0ED1B2A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w:t>
            </w:r>
          </w:p>
          <w:p w14:paraId="7D6D193A" w14:textId="26539E66"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28762F"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lastRenderedPageBreak/>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r w:rsidRPr="005C6864">
              <w:rPr>
                <w:b/>
                <w:szCs w:val="14"/>
              </w:rPr>
              <w:lastRenderedPageBreak/>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E21E014" w:rsidR="008D52E5" w:rsidRDefault="002925CA" w:rsidP="002925CA">
            <w:pPr>
              <w:tabs>
                <w:tab w:val="left" w:pos="4820"/>
              </w:tabs>
              <w:spacing w:line="276" w:lineRule="auto"/>
              <w:rPr>
                <w:rFonts w:cs="Courier New"/>
                <w:b/>
                <w:sz w:val="16"/>
              </w:rPr>
            </w:pPr>
            <w:r w:rsidRPr="002925CA">
              <w:rPr>
                <w:rFonts w:cs="Courier New"/>
                <w:b/>
                <w:sz w:val="16"/>
              </w:rPr>
              <w:t xml:space="preserve">uart_expect (data_exp, </w:t>
            </w:r>
            <w:r w:rsidR="000F10C8">
              <w:rPr>
                <w:rFonts w:cs="Courier New"/>
                <w:b/>
                <w:sz w:val="16"/>
              </w:rPr>
              <w:t>msg, r</w:t>
            </w:r>
            <w:r w:rsidR="00DF094B">
              <w:rPr>
                <w:rFonts w:cs="Courier New"/>
                <w:b/>
                <w:sz w:val="16"/>
              </w:rPr>
              <w:t>x</w:t>
            </w:r>
            <w:r w:rsidR="000F10C8">
              <w:rPr>
                <w:rFonts w:cs="Courier New"/>
                <w:b/>
                <w:sz w:val="16"/>
              </w:rPr>
              <w:t>, terminate_loop, [</w:t>
            </w:r>
            <w:r w:rsidRPr="002925CA">
              <w:rPr>
                <w:rFonts w:cs="Courier New"/>
                <w:b/>
                <w:sz w:val="16"/>
              </w:rPr>
              <w:t xml:space="preserve">max_receptions, </w:t>
            </w:r>
            <w:r w:rsidR="000F10C8">
              <w:rPr>
                <w:rFonts w:cs="Courier New"/>
                <w:b/>
                <w:sz w:val="16"/>
              </w:rPr>
              <w:t>[</w:t>
            </w:r>
            <w:r w:rsidRPr="002925CA">
              <w:rPr>
                <w:rFonts w:cs="Courier New"/>
                <w:b/>
                <w:sz w:val="16"/>
              </w:rPr>
              <w:t xml:space="preserve">timeout,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rx, terminate_signal,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825734" w:rsidRPr="0042320D" w14:paraId="30F97F64" w14:textId="77777777" w:rsidTr="00372173">
        <w:tc>
          <w:tcPr>
            <w:tcW w:w="3829" w:type="dxa"/>
            <w:tcBorders>
              <w:left w:val="nil"/>
              <w:right w:val="nil"/>
            </w:tcBorders>
            <w:shd w:val="clear" w:color="auto" w:fill="auto"/>
            <w:vAlign w:val="center"/>
          </w:tcPr>
          <w:p w14:paraId="0DA0B2C9" w14:textId="6E98FCC3" w:rsidR="00825734" w:rsidRDefault="00825734" w:rsidP="0028686E">
            <w:pPr>
              <w:spacing w:line="276" w:lineRule="auto"/>
              <w:rPr>
                <w:szCs w:val="18"/>
              </w:rPr>
            </w:pPr>
            <w:r w:rsidRPr="00825734">
              <w:rPr>
                <w:bCs/>
                <w:szCs w:val="18"/>
              </w:rPr>
              <w:t>match_strictness</w:t>
            </w:r>
          </w:p>
        </w:tc>
        <w:tc>
          <w:tcPr>
            <w:tcW w:w="1850" w:type="dxa"/>
            <w:tcBorders>
              <w:left w:val="nil"/>
              <w:right w:val="nil"/>
            </w:tcBorders>
            <w:shd w:val="clear" w:color="auto" w:fill="auto"/>
            <w:vAlign w:val="center"/>
          </w:tcPr>
          <w:p w14:paraId="68F7931F" w14:textId="05E1AABF" w:rsidR="00825734" w:rsidRDefault="00825734" w:rsidP="0028686E">
            <w:pPr>
              <w:spacing w:line="276" w:lineRule="auto"/>
              <w:rPr>
                <w:szCs w:val="18"/>
              </w:rPr>
            </w:pPr>
            <w:r>
              <w:rPr>
                <w:bCs/>
                <w:szCs w:val="18"/>
              </w:rPr>
              <w:t>t_</w:t>
            </w:r>
            <w:r w:rsidRPr="00825734">
              <w:rPr>
                <w:bCs/>
                <w:szCs w:val="18"/>
              </w:rPr>
              <w:t>match_strictness</w:t>
            </w:r>
          </w:p>
        </w:tc>
        <w:tc>
          <w:tcPr>
            <w:tcW w:w="3770" w:type="dxa"/>
            <w:tcBorders>
              <w:left w:val="nil"/>
              <w:right w:val="nil"/>
            </w:tcBorders>
            <w:shd w:val="clear" w:color="auto" w:fill="auto"/>
            <w:vAlign w:val="center"/>
          </w:tcPr>
          <w:p w14:paraId="7CD3FEC0" w14:textId="2CBE91F3" w:rsidR="00825734" w:rsidRDefault="00825734" w:rsidP="0028686E">
            <w:pPr>
              <w:spacing w:line="276" w:lineRule="auto"/>
              <w:rPr>
                <w:szCs w:val="18"/>
              </w:rPr>
            </w:pPr>
            <w:r>
              <w:rPr>
                <w:szCs w:val="18"/>
              </w:rPr>
              <w:t>MATCH_EXACT</w:t>
            </w:r>
          </w:p>
        </w:tc>
        <w:tc>
          <w:tcPr>
            <w:tcW w:w="5906" w:type="dxa"/>
            <w:tcBorders>
              <w:left w:val="nil"/>
              <w:right w:val="nil"/>
            </w:tcBorders>
            <w:shd w:val="clear" w:color="auto" w:fill="auto"/>
          </w:tcPr>
          <w:p w14:paraId="7FC9591D" w14:textId="77777777" w:rsidR="00825734" w:rsidRPr="00825734" w:rsidRDefault="00825734" w:rsidP="00825734">
            <w:pPr>
              <w:tabs>
                <w:tab w:val="left" w:pos="4820"/>
              </w:tabs>
              <w:spacing w:line="276" w:lineRule="auto"/>
              <w:rPr>
                <w:szCs w:val="18"/>
                <w:lang w:val="en-US"/>
              </w:rPr>
            </w:pPr>
            <w:r w:rsidRPr="00825734">
              <w:rPr>
                <w:szCs w:val="18"/>
                <w:lang w:val="en-US"/>
              </w:rPr>
              <w:t>Matching strictness for std_logic values in check procedures.</w:t>
            </w:r>
          </w:p>
          <w:p w14:paraId="6A6C9F93" w14:textId="77777777" w:rsidR="00825734" w:rsidRPr="00825734" w:rsidRDefault="00825734" w:rsidP="00825734">
            <w:pPr>
              <w:tabs>
                <w:tab w:val="left" w:pos="4820"/>
              </w:tabs>
              <w:spacing w:line="276" w:lineRule="auto"/>
              <w:rPr>
                <w:szCs w:val="18"/>
                <w:lang w:val="en-US"/>
              </w:rPr>
            </w:pPr>
            <w:r w:rsidRPr="00825734">
              <w:rPr>
                <w:szCs w:val="18"/>
                <w:lang w:val="en-US"/>
              </w:rPr>
              <w:t>MATCH_EXACT requires both values to be the same. Note that the expected value</w:t>
            </w:r>
          </w:p>
          <w:p w14:paraId="6432B5EC" w14:textId="77777777" w:rsidR="00825734" w:rsidRPr="00825734" w:rsidRDefault="00825734" w:rsidP="00825734">
            <w:pPr>
              <w:tabs>
                <w:tab w:val="left" w:pos="4820"/>
              </w:tabs>
              <w:spacing w:line="276" w:lineRule="auto"/>
              <w:rPr>
                <w:szCs w:val="18"/>
                <w:lang w:val="en-US"/>
              </w:rPr>
            </w:pPr>
            <w:r w:rsidRPr="00825734">
              <w:rPr>
                <w:szCs w:val="18"/>
                <w:lang w:val="en-US"/>
              </w:rPr>
              <w:t>can contain the don’t care operator ‘-‘.</w:t>
            </w:r>
          </w:p>
          <w:p w14:paraId="6BE0FA91" w14:textId="087A11AE" w:rsidR="00825734" w:rsidRPr="00825734" w:rsidRDefault="00825734" w:rsidP="00825734">
            <w:pPr>
              <w:tabs>
                <w:tab w:val="left" w:pos="4820"/>
              </w:tabs>
              <w:spacing w:line="276" w:lineRule="auto"/>
              <w:rPr>
                <w:szCs w:val="18"/>
                <w:lang w:val="en-US"/>
              </w:rPr>
            </w:pPr>
            <w:r w:rsidRPr="00825734">
              <w:rPr>
                <w:szCs w:val="18"/>
                <w:lang w:val="en-US"/>
              </w:rPr>
              <w:t>MATCH_STD allows comparisons between ‘H’ and ‘1’, ‘L’ and ‘0’ and ‘-‘ in both values.</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r w:rsidRPr="00EC008B">
              <w:rPr>
                <w:szCs w:val="18"/>
                <w:highlight w:val="darkGray"/>
              </w:rPr>
              <w:t>error_injection</w:t>
            </w:r>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UVVM Essential Mechanisms’ located in uvvm_vvc_framework/doc.</w:t>
            </w:r>
          </w:p>
        </w:tc>
      </w:tr>
      <w:tr w:rsidR="00395A6A" w:rsidRPr="0042320D" w14:paraId="45AF6E0D" w14:textId="77777777" w:rsidTr="00372173">
        <w:tc>
          <w:tcPr>
            <w:tcW w:w="3829" w:type="dxa"/>
            <w:tcBorders>
              <w:left w:val="nil"/>
              <w:bottom w:val="nil"/>
              <w:right w:val="nil"/>
            </w:tcBorders>
            <w:shd w:val="clear" w:color="auto" w:fill="auto"/>
            <w:vAlign w:val="center"/>
          </w:tcPr>
          <w:p w14:paraId="67FEDB12" w14:textId="77777777" w:rsidR="00395A6A" w:rsidRDefault="00395A6A" w:rsidP="0028686E">
            <w:pPr>
              <w:spacing w:line="276" w:lineRule="auto"/>
              <w:rPr>
                <w:sz w:val="10"/>
                <w:szCs w:val="10"/>
              </w:rPr>
            </w:pPr>
          </w:p>
          <w:p w14:paraId="150FCE09" w14:textId="77777777" w:rsidR="00DE6BBB" w:rsidRDefault="00DE6BBB" w:rsidP="0028686E">
            <w:pPr>
              <w:spacing w:line="276" w:lineRule="auto"/>
              <w:rPr>
                <w:sz w:val="10"/>
                <w:szCs w:val="10"/>
              </w:rPr>
            </w:pPr>
          </w:p>
          <w:p w14:paraId="6F955C80" w14:textId="77777777" w:rsidR="00DE6BBB" w:rsidRDefault="00DE6BBB" w:rsidP="0028686E">
            <w:pPr>
              <w:spacing w:line="276" w:lineRule="auto"/>
              <w:rPr>
                <w:sz w:val="10"/>
                <w:szCs w:val="10"/>
              </w:rPr>
            </w:pPr>
          </w:p>
          <w:p w14:paraId="1DAC9C64" w14:textId="1A5FFDB9" w:rsidR="00DE6BBB" w:rsidRPr="00DE6BBB" w:rsidRDefault="00DE6BBB" w:rsidP="0028686E">
            <w:pPr>
              <w:spacing w:line="276" w:lineRule="auto"/>
              <w:rPr>
                <w:sz w:val="10"/>
                <w:szCs w:val="10"/>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1DFF128D" w14:textId="500A807A" w:rsidR="00CC37DA" w:rsidRDefault="00E32F57" w:rsidP="002405F3">
      <w:r w:rsidRPr="0042320D">
        <w:t>For addi</w:t>
      </w:r>
      <w:r w:rsidR="00CB44E4" w:rsidRPr="0042320D">
        <w:t xml:space="preserve">tional documentation on the </w:t>
      </w:r>
      <w:r w:rsidR="00A1274F">
        <w:t>UART protocol, please see the UART specification.</w:t>
      </w:r>
    </w:p>
    <w:p w14:paraId="3DEFAA67" w14:textId="2E690258" w:rsidR="00DE6BBB" w:rsidRDefault="00DE6BBB" w:rsidP="002405F3"/>
    <w:p w14:paraId="0D8BA40B" w14:textId="77777777" w:rsidR="00DE6BBB" w:rsidRPr="00DE6BBB" w:rsidRDefault="00DE6BBB" w:rsidP="002405F3"/>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26937AE" w14:textId="25A366F1" w:rsidR="00093F64" w:rsidRPr="0042320D" w:rsidRDefault="00093F64" w:rsidP="00093F64">
      <w:pPr>
        <w:rPr>
          <w:sz w:val="20"/>
          <w:szCs w:val="22"/>
        </w:rPr>
      </w:pPr>
      <w:r w:rsidRPr="00093F64">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04C1DFEC"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1CB8188F" w14:textId="77777777" w:rsidR="00825734" w:rsidRPr="0042320D" w:rsidRDefault="00825734" w:rsidP="002405F3"/>
    <w:p w14:paraId="640EF012" w14:textId="346E410A" w:rsidR="00E5040A" w:rsidRPr="0042320D" w:rsidRDefault="00E5040A" w:rsidP="00E61652">
      <w:pPr>
        <w:pStyle w:val="Overskrift1"/>
        <w:rPr>
          <w:rFonts w:ascii="Helvetica" w:hAnsi="Helvetica"/>
        </w:rPr>
      </w:pPr>
      <w:bookmarkStart w:id="5" w:name="_Ref423952304"/>
      <w:r w:rsidRPr="0042320D">
        <w:rPr>
          <w:rFonts w:ascii="Helvetica" w:hAnsi="Helvetica"/>
        </w:rPr>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4DEEC5DD" w:rsidR="00E5040A" w:rsidRPr="00836CF9"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tx,</w:t>
      </w:r>
      <w:r w:rsidR="00836CF9">
        <w:rPr>
          <w:rFonts w:ascii="Courier New" w:hAnsi="Courier New" w:cs="Courier New"/>
        </w:rPr>
        <w:t xml:space="preserve"> </w:t>
      </w:r>
      <w:r w:rsidRPr="00F94BF0">
        <w:rPr>
          <w:rFonts w:ascii="Courier New" w:hAnsi="Courier New" w:cs="Courier New"/>
        </w:rPr>
        <w:t>C_UART_CONFIG_</w:t>
      </w:r>
      <w:r w:rsidR="00B90C5F">
        <w:rPr>
          <w:rFonts w:ascii="Courier New" w:hAnsi="Courier New" w:cs="Courier New"/>
        </w:rPr>
        <w:t>LOCAL</w:t>
      </w:r>
      <w:r w:rsidRPr="00F94BF0">
        <w:rPr>
          <w:rFonts w:ascii="Courier New" w:hAnsi="Courier New" w:cs="Courier New"/>
        </w:rPr>
        <w: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418BF58A"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9814430" w14:textId="4120E4B5" w:rsidR="00615DBA" w:rsidRDefault="00615DBA" w:rsidP="00532952"/>
    <w:p w14:paraId="25F2BBC3" w14:textId="6C19F0AB" w:rsidR="00DE6BBB" w:rsidRDefault="00DE6BBB" w:rsidP="00532952"/>
    <w:p w14:paraId="3A32BF3E" w14:textId="722D5EAF" w:rsidR="00DE6BBB" w:rsidRDefault="00A632D0" w:rsidP="00532952">
      <w:r>
        <w:t xml:space="preserve">See section </w:t>
      </w:r>
      <w:r>
        <w:fldChar w:fldCharType="begin"/>
      </w:r>
      <w:r>
        <w:instrText xml:space="preserve"> REF _Ref44664919 \r \h </w:instrText>
      </w:r>
      <w:r>
        <w:fldChar w:fldCharType="separate"/>
      </w:r>
      <w:r w:rsidR="00684FF7">
        <w:t>6</w:t>
      </w:r>
      <w:r>
        <w:fldChar w:fldCharType="end"/>
      </w:r>
      <w:r>
        <w:t xml:space="preserve"> for defining a BFM configuration to use with the local overload and when calling the BFM procedures.</w:t>
      </w:r>
    </w:p>
    <w:p w14:paraId="61C0F5D7" w14:textId="42A420E2" w:rsidR="00DE6BBB" w:rsidRDefault="00DE6BBB" w:rsidP="00532952"/>
    <w:p w14:paraId="2D8E4788" w14:textId="465B068C" w:rsidR="00DE6BBB" w:rsidRDefault="00DE6BBB" w:rsidP="00532952"/>
    <w:p w14:paraId="2D16F00B" w14:textId="483F01FE" w:rsidR="00DE6BBB" w:rsidRDefault="00DE6BBB" w:rsidP="00DE6BBB">
      <w:pPr>
        <w:pStyle w:val="Overskrift1"/>
      </w:pPr>
      <w:bookmarkStart w:id="6" w:name="_Ref44664919"/>
      <w:r>
        <w:lastRenderedPageBreak/>
        <w:t>Local BFM configuration</w:t>
      </w:r>
      <w:bookmarkEnd w:id="6"/>
    </w:p>
    <w:p w14:paraId="040E1B49" w14:textId="4171DC18" w:rsidR="00DE6BBB" w:rsidRDefault="00DE6BBB" w:rsidP="00DE6BBB">
      <w:r>
        <w:t>The</w:t>
      </w:r>
      <w:r w:rsidR="000715A4">
        <w:t xml:space="preserve"> </w:t>
      </w:r>
      <w:r>
        <w:t xml:space="preserve">UART BFM requires that a local configuration is declared in the testbench and used in the BFM procedure calls. The default BFM configuration is defined with a </w:t>
      </w:r>
      <w:r w:rsidR="00A632D0">
        <w:t>clock period</w:t>
      </w:r>
      <w:r>
        <w:t xml:space="preserve"> of -1 ns so that the BFM can detect and alert the user that the configuration has not been set. See </w:t>
      </w:r>
      <w:r w:rsidR="00A632D0">
        <w:t xml:space="preserve">page 1 </w:t>
      </w:r>
      <w:r>
        <w:t xml:space="preserve">for the UART BFM configuration record </w:t>
      </w:r>
      <w:r w:rsidR="00A632D0">
        <w:t>fields</w:t>
      </w:r>
      <w:r>
        <w:t>.</w:t>
      </w:r>
    </w:p>
    <w:p w14:paraId="2C396A9B" w14:textId="77777777" w:rsidR="00DE6BBB" w:rsidRDefault="00DE6BBB" w:rsidP="00DE6BBB"/>
    <w:p w14:paraId="31BB80CB" w14:textId="68515AF1" w:rsidR="00DE6BBB" w:rsidRDefault="00DE6BBB" w:rsidP="00DE6BBB">
      <w:r>
        <w:t>Defining a local</w:t>
      </w:r>
      <w:r w:rsidR="00B86C6D">
        <w:t xml:space="preserve"> UART</w:t>
      </w:r>
      <w:r>
        <w:t xml:space="preserve"> BFM configuration:</w:t>
      </w:r>
    </w:p>
    <w:p w14:paraId="0148C657" w14:textId="77777777" w:rsidR="00DE6BBB" w:rsidRDefault="00DE6BBB" w:rsidP="00DE6BBB"/>
    <w:p w14:paraId="5FED9BDF" w14:textId="76FBE3E2" w:rsidR="00DE6BBB" w:rsidRDefault="00DE6BBB" w:rsidP="00DE6BBB">
      <w:pPr>
        <w:rPr>
          <w:rFonts w:ascii="Courier New" w:hAnsi="Courier New" w:cs="Courier New"/>
        </w:rPr>
      </w:pPr>
      <w:r>
        <w:rPr>
          <w:rFonts w:ascii="Courier New" w:hAnsi="Courier New" w:cs="Courier New"/>
        </w:rPr>
        <w:t>constant C_UART_CONFIG_</w:t>
      </w:r>
      <w:r w:rsidR="00E04504">
        <w:rPr>
          <w:rFonts w:ascii="Courier New" w:hAnsi="Courier New" w:cs="Courier New"/>
        </w:rPr>
        <w:t>LOCAL</w:t>
      </w:r>
      <w:r>
        <w:rPr>
          <w:rFonts w:ascii="Courier New" w:hAnsi="Courier New" w:cs="Courier New"/>
        </w:rPr>
        <w:t xml:space="preserve"> : t_uart_bfm_config := (</w:t>
      </w:r>
    </w:p>
    <w:p w14:paraId="08BA65E1" w14:textId="7490DE1D"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bit_time                                  =&gt; </w:t>
      </w:r>
      <w:r>
        <w:rPr>
          <w:rFonts w:ascii="Courier New" w:hAnsi="Courier New" w:cs="Courier New"/>
          <w:color w:val="000000" w:themeColor="text1"/>
          <w:szCs w:val="18"/>
          <w:lang w:val="en-US" w:eastAsia="nb-NO"/>
        </w:rPr>
        <w:t>C_UART_BIT_TIME</w:t>
      </w:r>
      <w:r w:rsidRPr="00EE5DBD">
        <w:rPr>
          <w:rFonts w:ascii="Courier New" w:hAnsi="Courier New" w:cs="Courier New"/>
          <w:color w:val="000000" w:themeColor="text1"/>
          <w:szCs w:val="18"/>
          <w:lang w:val="en-US" w:eastAsia="nb-NO"/>
        </w:rPr>
        <w:t>,</w:t>
      </w:r>
    </w:p>
    <w:p w14:paraId="71E313BF"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num_data_bits                             =&gt; 8,</w:t>
      </w:r>
    </w:p>
    <w:p w14:paraId="2F796A44"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idle_state                                =&gt; '1',</w:t>
      </w:r>
    </w:p>
    <w:p w14:paraId="5FEE917C"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num_stop_bits                             =&gt; STOP_BITS_ONE,</w:t>
      </w:r>
    </w:p>
    <w:p w14:paraId="5E5039A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parity                                    =&gt; PARITY_ODD,</w:t>
      </w:r>
    </w:p>
    <w:p w14:paraId="46BFD1CB" w14:textId="3EB54198"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                                   =&gt; 0 ns,                </w:t>
      </w:r>
    </w:p>
    <w:p w14:paraId="47E03FB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timeout_severity                          =&gt; error,</w:t>
      </w:r>
    </w:p>
    <w:p w14:paraId="00F87F89"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num_bytes_to_log_before_expected_data     =&gt; 10,</w:t>
      </w:r>
    </w:p>
    <w:p w14:paraId="5841658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match_strictness                          =&gt; MATCH_EXACT,</w:t>
      </w:r>
    </w:p>
    <w:p w14:paraId="5FE03C0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                                =&gt; ID_BFM,</w:t>
      </w:r>
    </w:p>
    <w:p w14:paraId="386B3A3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id_for_bfm_wait                           =&gt; ID_BFM_WAIT,</w:t>
      </w:r>
    </w:p>
    <w:p w14:paraId="04A47AB7"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id_for_bfm_poll                           =&gt; ID_BFM_POLL,</w:t>
      </w:r>
    </w:p>
    <w:p w14:paraId="35047D3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id_for_bfm_poll_summary                   =&gt; ID_BFM_POLL_SUMMARY,</w:t>
      </w:r>
    </w:p>
    <w:p w14:paraId="0843C248"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error_injection                           =&gt; C_BFM_ERROR_INJECTION_INACTIVE</w:t>
      </w:r>
    </w:p>
    <w:p w14:paraId="431AC5B8" w14:textId="77777777" w:rsidR="00DE6BBB" w:rsidRPr="002F2075" w:rsidRDefault="00DE6BBB" w:rsidP="00DE6BBB">
      <w:pPr>
        <w:rPr>
          <w:rFonts w:ascii="Courier New" w:hAnsi="Courier New" w:cs="Courier New"/>
          <w:lang w:val="en-US"/>
        </w:rPr>
      </w:pPr>
      <w:r>
        <w:rPr>
          <w:rFonts w:ascii="Courier New" w:hAnsi="Courier New" w:cs="Courier New"/>
          <w:lang w:val="en-US"/>
        </w:rPr>
        <w:t>);</w:t>
      </w:r>
    </w:p>
    <w:p w14:paraId="751FF7D6" w14:textId="77777777" w:rsidR="00DE6BBB" w:rsidRPr="002F2075" w:rsidRDefault="00DE6BBB" w:rsidP="00DE6BBB">
      <w:pPr>
        <w:rPr>
          <w:lang w:val="en-US"/>
        </w:rPr>
      </w:pPr>
    </w:p>
    <w:p w14:paraId="6673BE55" w14:textId="77777777" w:rsidR="00DE6BBB" w:rsidRPr="002F2075" w:rsidRDefault="00DE6BBB" w:rsidP="00DE6BBB">
      <w:pPr>
        <w:rPr>
          <w:lang w:val="en-US"/>
        </w:rPr>
      </w:pPr>
    </w:p>
    <w:p w14:paraId="0159AACF" w14:textId="10FF05CE" w:rsidR="00DE6BBB" w:rsidRPr="002F2075" w:rsidRDefault="00DE6BBB" w:rsidP="00DE6BBB">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684FF7">
        <w:rPr>
          <w:lang w:val="en-US"/>
        </w:rPr>
        <w:t>5</w:t>
      </w:r>
      <w:r>
        <w:rPr>
          <w:lang w:val="en-US"/>
        </w:rPr>
        <w:fldChar w:fldCharType="end"/>
      </w:r>
      <w:r>
        <w:rPr>
          <w:lang w:val="en-US"/>
        </w:rPr>
        <w:t xml:space="preserve"> for how to define a local overload procedure and how to use a BFM config with the procedure call.</w:t>
      </w:r>
    </w:p>
    <w:p w14:paraId="343C428B" w14:textId="170FFCC8" w:rsidR="00DE6BBB" w:rsidRDefault="00DE6BBB" w:rsidP="00DE6BBB">
      <w:pPr>
        <w:rPr>
          <w:lang w:val="en-US"/>
        </w:rPr>
      </w:pPr>
    </w:p>
    <w:p w14:paraId="357AF0B2" w14:textId="4870B0A9" w:rsidR="00DE6BBB" w:rsidRDefault="00DE6BBB" w:rsidP="00DE6BBB">
      <w:pPr>
        <w:rPr>
          <w:lang w:val="en-US"/>
        </w:rPr>
      </w:pPr>
    </w:p>
    <w:p w14:paraId="26360EA0" w14:textId="02DBD1B1" w:rsidR="00DE6BBB" w:rsidRDefault="00DE6BBB" w:rsidP="00DE6BBB">
      <w:pPr>
        <w:rPr>
          <w:lang w:val="en-US"/>
        </w:rPr>
      </w:pPr>
    </w:p>
    <w:p w14:paraId="4608244E" w14:textId="77777777" w:rsidR="00DE6BBB" w:rsidRPr="00DE6BBB" w:rsidRDefault="00DE6BBB" w:rsidP="00DE6BBB">
      <w:pPr>
        <w:rPr>
          <w:lang w:val="en-US"/>
        </w:rPr>
      </w:pPr>
    </w:p>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2A99CE60" w14:textId="5D92E5C9" w:rsidR="005011FC" w:rsidRDefault="005011FC" w:rsidP="002F3699">
      <w:pPr>
        <w:rPr>
          <w:b/>
          <w:i/>
          <w:iCs/>
          <w:sz w:val="14"/>
          <w:szCs w:val="16"/>
        </w:rPr>
      </w:pPr>
    </w:p>
    <w:p w14:paraId="678646EE" w14:textId="77777777" w:rsidR="00825734" w:rsidRDefault="00825734"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A51A7" w14:textId="77777777" w:rsidR="00D1521E" w:rsidRPr="009F58C4" w:rsidRDefault="00D1521E">
      <w:pPr>
        <w:rPr>
          <w:rFonts w:ascii="Arial" w:hAnsi="Arial" w:cs="Arial"/>
          <w:lang w:val="sq-AL"/>
        </w:rPr>
      </w:pPr>
      <w:r w:rsidRPr="009F58C4">
        <w:rPr>
          <w:rFonts w:ascii="Arial" w:hAnsi="Arial" w:cs="Arial"/>
          <w:lang w:val="sq-AL"/>
        </w:rPr>
        <w:separator/>
      </w:r>
    </w:p>
  </w:endnote>
  <w:endnote w:type="continuationSeparator" w:id="0">
    <w:p w14:paraId="4977B18E" w14:textId="77777777" w:rsidR="00D1521E" w:rsidRPr="009F58C4" w:rsidRDefault="00D1521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E6BBB"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098145AE"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AE5141">
            <w:rPr>
              <w:rFonts w:ascii="Helvetica" w:hAnsi="Helvetica" w:cs="Arial"/>
              <w:b/>
              <w:color w:val="1381C4"/>
              <w:sz w:val="14"/>
              <w:lang w:val="sq-AL"/>
            </w:rPr>
            <w:t>8</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684FF7">
            <w:rPr>
              <w:rFonts w:ascii="Helvetica" w:hAnsi="Helvetica" w:cs="Arial"/>
              <w:noProof/>
              <w:color w:val="1381C4"/>
              <w:sz w:val="14"/>
              <w:lang w:val="en-US"/>
            </w:rPr>
            <w:t>2020-10-05</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D1521E"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CD34B60"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w:t>
    </w:r>
    <w:r w:rsidR="00825734">
      <w:rPr>
        <w:iCs/>
        <w:color w:val="000000" w:themeColor="text1"/>
        <w:sz w:val="14"/>
        <w:szCs w:val="16"/>
      </w:rPr>
      <w:t>20</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90C64" w14:textId="77777777" w:rsidR="00D1521E" w:rsidRPr="009F58C4" w:rsidRDefault="00D1521E">
      <w:pPr>
        <w:rPr>
          <w:rFonts w:ascii="Arial" w:hAnsi="Arial" w:cs="Arial"/>
          <w:lang w:val="sq-AL"/>
        </w:rPr>
      </w:pPr>
      <w:r w:rsidRPr="009F58C4">
        <w:rPr>
          <w:rFonts w:ascii="Arial" w:hAnsi="Arial" w:cs="Arial"/>
          <w:lang w:val="sq-AL"/>
        </w:rPr>
        <w:separator/>
      </w:r>
    </w:p>
  </w:footnote>
  <w:footnote w:type="continuationSeparator" w:id="0">
    <w:p w14:paraId="7BA5E885" w14:textId="77777777" w:rsidR="00D1521E" w:rsidRPr="009F58C4" w:rsidRDefault="00D1521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5A4"/>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1E94"/>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17D9"/>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31DE"/>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4FF7"/>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5734"/>
    <w:rsid w:val="0082621E"/>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6E3"/>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38C"/>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D3248"/>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9F6023"/>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2411"/>
    <w:rsid w:val="00A62CB3"/>
    <w:rsid w:val="00A632D0"/>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5141"/>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86C6D"/>
    <w:rsid w:val="00B90C5F"/>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067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521E"/>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58D9"/>
    <w:rsid w:val="00DD7D3A"/>
    <w:rsid w:val="00DE0722"/>
    <w:rsid w:val="00DE0E94"/>
    <w:rsid w:val="00DE2346"/>
    <w:rsid w:val="00DE3659"/>
    <w:rsid w:val="00DE5A0A"/>
    <w:rsid w:val="00DE6BBB"/>
    <w:rsid w:val="00DE773E"/>
    <w:rsid w:val="00DE7BA1"/>
    <w:rsid w:val="00DF094B"/>
    <w:rsid w:val="00DF0D22"/>
    <w:rsid w:val="00DF185F"/>
    <w:rsid w:val="00DF1CB1"/>
    <w:rsid w:val="00DF2E3D"/>
    <w:rsid w:val="00DF2EE6"/>
    <w:rsid w:val="00DF4407"/>
    <w:rsid w:val="00DF50AC"/>
    <w:rsid w:val="00DF5BEB"/>
    <w:rsid w:val="00E0127F"/>
    <w:rsid w:val="00E031CF"/>
    <w:rsid w:val="00E035C1"/>
    <w:rsid w:val="00E04504"/>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306F"/>
    <w:rsid w:val="00ED4624"/>
    <w:rsid w:val="00ED4C67"/>
    <w:rsid w:val="00ED565B"/>
    <w:rsid w:val="00ED6887"/>
    <w:rsid w:val="00EE4223"/>
    <w:rsid w:val="00EE5D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54D7"/>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C767E"/>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365901">
      <w:bodyDiv w:val="1"/>
      <w:marLeft w:val="0"/>
      <w:marRight w:val="0"/>
      <w:marTop w:val="0"/>
      <w:marBottom w:val="0"/>
      <w:divBdr>
        <w:top w:val="none" w:sz="0" w:space="0" w:color="auto"/>
        <w:left w:val="none" w:sz="0" w:space="0" w:color="auto"/>
        <w:bottom w:val="none" w:sz="0" w:space="0" w:color="auto"/>
        <w:right w:val="none" w:sz="0" w:space="0" w:color="auto"/>
      </w:divBdr>
      <w:divsChild>
        <w:div w:id="1354308327">
          <w:marLeft w:val="0"/>
          <w:marRight w:val="0"/>
          <w:marTop w:val="0"/>
          <w:marBottom w:val="0"/>
          <w:divBdr>
            <w:top w:val="none" w:sz="0" w:space="0" w:color="auto"/>
            <w:left w:val="none" w:sz="0" w:space="0" w:color="auto"/>
            <w:bottom w:val="none" w:sz="0" w:space="0" w:color="auto"/>
            <w:right w:val="none" w:sz="0" w:space="0" w:color="auto"/>
          </w:divBdr>
          <w:divsChild>
            <w:div w:id="1942444924">
              <w:marLeft w:val="0"/>
              <w:marRight w:val="0"/>
              <w:marTop w:val="0"/>
              <w:marBottom w:val="0"/>
              <w:divBdr>
                <w:top w:val="none" w:sz="0" w:space="0" w:color="auto"/>
                <w:left w:val="none" w:sz="0" w:space="0" w:color="auto"/>
                <w:bottom w:val="none" w:sz="0" w:space="0" w:color="auto"/>
                <w:right w:val="none" w:sz="0" w:space="0" w:color="auto"/>
              </w:divBdr>
            </w:div>
            <w:div w:id="1447037968">
              <w:marLeft w:val="0"/>
              <w:marRight w:val="0"/>
              <w:marTop w:val="0"/>
              <w:marBottom w:val="0"/>
              <w:divBdr>
                <w:top w:val="none" w:sz="0" w:space="0" w:color="auto"/>
                <w:left w:val="none" w:sz="0" w:space="0" w:color="auto"/>
                <w:bottom w:val="none" w:sz="0" w:space="0" w:color="auto"/>
                <w:right w:val="none" w:sz="0" w:space="0" w:color="auto"/>
              </w:divBdr>
            </w:div>
            <w:div w:id="1486896708">
              <w:marLeft w:val="0"/>
              <w:marRight w:val="0"/>
              <w:marTop w:val="0"/>
              <w:marBottom w:val="0"/>
              <w:divBdr>
                <w:top w:val="none" w:sz="0" w:space="0" w:color="auto"/>
                <w:left w:val="none" w:sz="0" w:space="0" w:color="auto"/>
                <w:bottom w:val="none" w:sz="0" w:space="0" w:color="auto"/>
                <w:right w:val="none" w:sz="0" w:space="0" w:color="auto"/>
              </w:divBdr>
            </w:div>
            <w:div w:id="1602685539">
              <w:marLeft w:val="0"/>
              <w:marRight w:val="0"/>
              <w:marTop w:val="0"/>
              <w:marBottom w:val="0"/>
              <w:divBdr>
                <w:top w:val="none" w:sz="0" w:space="0" w:color="auto"/>
                <w:left w:val="none" w:sz="0" w:space="0" w:color="auto"/>
                <w:bottom w:val="none" w:sz="0" w:space="0" w:color="auto"/>
                <w:right w:val="none" w:sz="0" w:space="0" w:color="auto"/>
              </w:divBdr>
            </w:div>
            <w:div w:id="20209141">
              <w:marLeft w:val="0"/>
              <w:marRight w:val="0"/>
              <w:marTop w:val="0"/>
              <w:marBottom w:val="0"/>
              <w:divBdr>
                <w:top w:val="none" w:sz="0" w:space="0" w:color="auto"/>
                <w:left w:val="none" w:sz="0" w:space="0" w:color="auto"/>
                <w:bottom w:val="none" w:sz="0" w:space="0" w:color="auto"/>
                <w:right w:val="none" w:sz="0" w:space="0" w:color="auto"/>
              </w:divBdr>
            </w:div>
            <w:div w:id="895357356">
              <w:marLeft w:val="0"/>
              <w:marRight w:val="0"/>
              <w:marTop w:val="0"/>
              <w:marBottom w:val="0"/>
              <w:divBdr>
                <w:top w:val="none" w:sz="0" w:space="0" w:color="auto"/>
                <w:left w:val="none" w:sz="0" w:space="0" w:color="auto"/>
                <w:bottom w:val="none" w:sz="0" w:space="0" w:color="auto"/>
                <w:right w:val="none" w:sz="0" w:space="0" w:color="auto"/>
              </w:divBdr>
            </w:div>
            <w:div w:id="2029135495">
              <w:marLeft w:val="0"/>
              <w:marRight w:val="0"/>
              <w:marTop w:val="0"/>
              <w:marBottom w:val="0"/>
              <w:divBdr>
                <w:top w:val="none" w:sz="0" w:space="0" w:color="auto"/>
                <w:left w:val="none" w:sz="0" w:space="0" w:color="auto"/>
                <w:bottom w:val="none" w:sz="0" w:space="0" w:color="auto"/>
                <w:right w:val="none" w:sz="0" w:space="0" w:color="auto"/>
              </w:divBdr>
            </w:div>
            <w:div w:id="395855154">
              <w:marLeft w:val="0"/>
              <w:marRight w:val="0"/>
              <w:marTop w:val="0"/>
              <w:marBottom w:val="0"/>
              <w:divBdr>
                <w:top w:val="none" w:sz="0" w:space="0" w:color="auto"/>
                <w:left w:val="none" w:sz="0" w:space="0" w:color="auto"/>
                <w:bottom w:val="none" w:sz="0" w:space="0" w:color="auto"/>
                <w:right w:val="none" w:sz="0" w:space="0" w:color="auto"/>
              </w:divBdr>
            </w:div>
            <w:div w:id="509567746">
              <w:marLeft w:val="0"/>
              <w:marRight w:val="0"/>
              <w:marTop w:val="0"/>
              <w:marBottom w:val="0"/>
              <w:divBdr>
                <w:top w:val="none" w:sz="0" w:space="0" w:color="auto"/>
                <w:left w:val="none" w:sz="0" w:space="0" w:color="auto"/>
                <w:bottom w:val="none" w:sz="0" w:space="0" w:color="auto"/>
                <w:right w:val="none" w:sz="0" w:space="0" w:color="auto"/>
              </w:divBdr>
            </w:div>
            <w:div w:id="1683974335">
              <w:marLeft w:val="0"/>
              <w:marRight w:val="0"/>
              <w:marTop w:val="0"/>
              <w:marBottom w:val="0"/>
              <w:divBdr>
                <w:top w:val="none" w:sz="0" w:space="0" w:color="auto"/>
                <w:left w:val="none" w:sz="0" w:space="0" w:color="auto"/>
                <w:bottom w:val="none" w:sz="0" w:space="0" w:color="auto"/>
                <w:right w:val="none" w:sz="0" w:space="0" w:color="auto"/>
              </w:divBdr>
            </w:div>
            <w:div w:id="31155803">
              <w:marLeft w:val="0"/>
              <w:marRight w:val="0"/>
              <w:marTop w:val="0"/>
              <w:marBottom w:val="0"/>
              <w:divBdr>
                <w:top w:val="none" w:sz="0" w:space="0" w:color="auto"/>
                <w:left w:val="none" w:sz="0" w:space="0" w:color="auto"/>
                <w:bottom w:val="none" w:sz="0" w:space="0" w:color="auto"/>
                <w:right w:val="none" w:sz="0" w:space="0" w:color="auto"/>
              </w:divBdr>
            </w:div>
            <w:div w:id="1272279442">
              <w:marLeft w:val="0"/>
              <w:marRight w:val="0"/>
              <w:marTop w:val="0"/>
              <w:marBottom w:val="0"/>
              <w:divBdr>
                <w:top w:val="none" w:sz="0" w:space="0" w:color="auto"/>
                <w:left w:val="none" w:sz="0" w:space="0" w:color="auto"/>
                <w:bottom w:val="none" w:sz="0" w:space="0" w:color="auto"/>
                <w:right w:val="none" w:sz="0" w:space="0" w:color="auto"/>
              </w:divBdr>
            </w:div>
            <w:div w:id="482310375">
              <w:marLeft w:val="0"/>
              <w:marRight w:val="0"/>
              <w:marTop w:val="0"/>
              <w:marBottom w:val="0"/>
              <w:divBdr>
                <w:top w:val="none" w:sz="0" w:space="0" w:color="auto"/>
                <w:left w:val="none" w:sz="0" w:space="0" w:color="auto"/>
                <w:bottom w:val="none" w:sz="0" w:space="0" w:color="auto"/>
                <w:right w:val="none" w:sz="0" w:space="0" w:color="auto"/>
              </w:divBdr>
            </w:div>
            <w:div w:id="1808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8982">
      <w:bodyDiv w:val="1"/>
      <w:marLeft w:val="0"/>
      <w:marRight w:val="0"/>
      <w:marTop w:val="0"/>
      <w:marBottom w:val="0"/>
      <w:divBdr>
        <w:top w:val="none" w:sz="0" w:space="0" w:color="auto"/>
        <w:left w:val="none" w:sz="0" w:space="0" w:color="auto"/>
        <w:bottom w:val="none" w:sz="0" w:space="0" w:color="auto"/>
        <w:right w:val="none" w:sz="0" w:space="0" w:color="auto"/>
      </w:divBdr>
      <w:divsChild>
        <w:div w:id="1308558047">
          <w:marLeft w:val="0"/>
          <w:marRight w:val="0"/>
          <w:marTop w:val="0"/>
          <w:marBottom w:val="0"/>
          <w:divBdr>
            <w:top w:val="none" w:sz="0" w:space="0" w:color="auto"/>
            <w:left w:val="none" w:sz="0" w:space="0" w:color="auto"/>
            <w:bottom w:val="none" w:sz="0" w:space="0" w:color="auto"/>
            <w:right w:val="none" w:sz="0" w:space="0" w:color="auto"/>
          </w:divBdr>
          <w:divsChild>
            <w:div w:id="1166631387">
              <w:marLeft w:val="0"/>
              <w:marRight w:val="0"/>
              <w:marTop w:val="0"/>
              <w:marBottom w:val="0"/>
              <w:divBdr>
                <w:top w:val="none" w:sz="0" w:space="0" w:color="auto"/>
                <w:left w:val="none" w:sz="0" w:space="0" w:color="auto"/>
                <w:bottom w:val="none" w:sz="0" w:space="0" w:color="auto"/>
                <w:right w:val="none" w:sz="0" w:space="0" w:color="auto"/>
              </w:divBdr>
            </w:div>
            <w:div w:id="690035081">
              <w:marLeft w:val="0"/>
              <w:marRight w:val="0"/>
              <w:marTop w:val="0"/>
              <w:marBottom w:val="0"/>
              <w:divBdr>
                <w:top w:val="none" w:sz="0" w:space="0" w:color="auto"/>
                <w:left w:val="none" w:sz="0" w:space="0" w:color="auto"/>
                <w:bottom w:val="none" w:sz="0" w:space="0" w:color="auto"/>
                <w:right w:val="none" w:sz="0" w:space="0" w:color="auto"/>
              </w:divBdr>
            </w:div>
            <w:div w:id="941841004">
              <w:marLeft w:val="0"/>
              <w:marRight w:val="0"/>
              <w:marTop w:val="0"/>
              <w:marBottom w:val="0"/>
              <w:divBdr>
                <w:top w:val="none" w:sz="0" w:space="0" w:color="auto"/>
                <w:left w:val="none" w:sz="0" w:space="0" w:color="auto"/>
                <w:bottom w:val="none" w:sz="0" w:space="0" w:color="auto"/>
                <w:right w:val="none" w:sz="0" w:space="0" w:color="auto"/>
              </w:divBdr>
            </w:div>
            <w:div w:id="325783852">
              <w:marLeft w:val="0"/>
              <w:marRight w:val="0"/>
              <w:marTop w:val="0"/>
              <w:marBottom w:val="0"/>
              <w:divBdr>
                <w:top w:val="none" w:sz="0" w:space="0" w:color="auto"/>
                <w:left w:val="none" w:sz="0" w:space="0" w:color="auto"/>
                <w:bottom w:val="none" w:sz="0" w:space="0" w:color="auto"/>
                <w:right w:val="none" w:sz="0" w:space="0" w:color="auto"/>
              </w:divBdr>
            </w:div>
            <w:div w:id="1200892832">
              <w:marLeft w:val="0"/>
              <w:marRight w:val="0"/>
              <w:marTop w:val="0"/>
              <w:marBottom w:val="0"/>
              <w:divBdr>
                <w:top w:val="none" w:sz="0" w:space="0" w:color="auto"/>
                <w:left w:val="none" w:sz="0" w:space="0" w:color="auto"/>
                <w:bottom w:val="none" w:sz="0" w:space="0" w:color="auto"/>
                <w:right w:val="none" w:sz="0" w:space="0" w:color="auto"/>
              </w:divBdr>
            </w:div>
            <w:div w:id="954749571">
              <w:marLeft w:val="0"/>
              <w:marRight w:val="0"/>
              <w:marTop w:val="0"/>
              <w:marBottom w:val="0"/>
              <w:divBdr>
                <w:top w:val="none" w:sz="0" w:space="0" w:color="auto"/>
                <w:left w:val="none" w:sz="0" w:space="0" w:color="auto"/>
                <w:bottom w:val="none" w:sz="0" w:space="0" w:color="auto"/>
                <w:right w:val="none" w:sz="0" w:space="0" w:color="auto"/>
              </w:divBdr>
            </w:div>
            <w:div w:id="165874316">
              <w:marLeft w:val="0"/>
              <w:marRight w:val="0"/>
              <w:marTop w:val="0"/>
              <w:marBottom w:val="0"/>
              <w:divBdr>
                <w:top w:val="none" w:sz="0" w:space="0" w:color="auto"/>
                <w:left w:val="none" w:sz="0" w:space="0" w:color="auto"/>
                <w:bottom w:val="none" w:sz="0" w:space="0" w:color="auto"/>
                <w:right w:val="none" w:sz="0" w:space="0" w:color="auto"/>
              </w:divBdr>
            </w:div>
            <w:div w:id="439104711">
              <w:marLeft w:val="0"/>
              <w:marRight w:val="0"/>
              <w:marTop w:val="0"/>
              <w:marBottom w:val="0"/>
              <w:divBdr>
                <w:top w:val="none" w:sz="0" w:space="0" w:color="auto"/>
                <w:left w:val="none" w:sz="0" w:space="0" w:color="auto"/>
                <w:bottom w:val="none" w:sz="0" w:space="0" w:color="auto"/>
                <w:right w:val="none" w:sz="0" w:space="0" w:color="auto"/>
              </w:divBdr>
            </w:div>
            <w:div w:id="1546135238">
              <w:marLeft w:val="0"/>
              <w:marRight w:val="0"/>
              <w:marTop w:val="0"/>
              <w:marBottom w:val="0"/>
              <w:divBdr>
                <w:top w:val="none" w:sz="0" w:space="0" w:color="auto"/>
                <w:left w:val="none" w:sz="0" w:space="0" w:color="auto"/>
                <w:bottom w:val="none" w:sz="0" w:space="0" w:color="auto"/>
                <w:right w:val="none" w:sz="0" w:space="0" w:color="auto"/>
              </w:divBdr>
            </w:div>
            <w:div w:id="152185405">
              <w:marLeft w:val="0"/>
              <w:marRight w:val="0"/>
              <w:marTop w:val="0"/>
              <w:marBottom w:val="0"/>
              <w:divBdr>
                <w:top w:val="none" w:sz="0" w:space="0" w:color="auto"/>
                <w:left w:val="none" w:sz="0" w:space="0" w:color="auto"/>
                <w:bottom w:val="none" w:sz="0" w:space="0" w:color="auto"/>
                <w:right w:val="none" w:sz="0" w:space="0" w:color="auto"/>
              </w:divBdr>
            </w:div>
            <w:div w:id="9765130">
              <w:marLeft w:val="0"/>
              <w:marRight w:val="0"/>
              <w:marTop w:val="0"/>
              <w:marBottom w:val="0"/>
              <w:divBdr>
                <w:top w:val="none" w:sz="0" w:space="0" w:color="auto"/>
                <w:left w:val="none" w:sz="0" w:space="0" w:color="auto"/>
                <w:bottom w:val="none" w:sz="0" w:space="0" w:color="auto"/>
                <w:right w:val="none" w:sz="0" w:space="0" w:color="auto"/>
              </w:divBdr>
            </w:div>
            <w:div w:id="1570072968">
              <w:marLeft w:val="0"/>
              <w:marRight w:val="0"/>
              <w:marTop w:val="0"/>
              <w:marBottom w:val="0"/>
              <w:divBdr>
                <w:top w:val="none" w:sz="0" w:space="0" w:color="auto"/>
                <w:left w:val="none" w:sz="0" w:space="0" w:color="auto"/>
                <w:bottom w:val="none" w:sz="0" w:space="0" w:color="auto"/>
                <w:right w:val="none" w:sz="0" w:space="0" w:color="auto"/>
              </w:divBdr>
            </w:div>
            <w:div w:id="505435821">
              <w:marLeft w:val="0"/>
              <w:marRight w:val="0"/>
              <w:marTop w:val="0"/>
              <w:marBottom w:val="0"/>
              <w:divBdr>
                <w:top w:val="none" w:sz="0" w:space="0" w:color="auto"/>
                <w:left w:val="none" w:sz="0" w:space="0" w:color="auto"/>
                <w:bottom w:val="none" w:sz="0" w:space="0" w:color="auto"/>
                <w:right w:val="none" w:sz="0" w:space="0" w:color="auto"/>
              </w:divBdr>
            </w:div>
            <w:div w:id="1453861371">
              <w:marLeft w:val="0"/>
              <w:marRight w:val="0"/>
              <w:marTop w:val="0"/>
              <w:marBottom w:val="0"/>
              <w:divBdr>
                <w:top w:val="none" w:sz="0" w:space="0" w:color="auto"/>
                <w:left w:val="none" w:sz="0" w:space="0" w:color="auto"/>
                <w:bottom w:val="none" w:sz="0" w:space="0" w:color="auto"/>
                <w:right w:val="none" w:sz="0" w:space="0" w:color="auto"/>
              </w:divBdr>
            </w:div>
            <w:div w:id="6371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B13F-6519-463F-BACB-42B35F46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2480</Words>
  <Characters>13146</Characters>
  <Application>Microsoft Office Word</Application>
  <DocSecurity>0</DocSecurity>
  <Lines>109</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15595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2020-10-05T04:58:00Z</dcterms:created>
  <dcterms:modified xsi:type="dcterms:W3CDTF">2020-10-05T04:58:00Z</dcterms:modified>
</cp:coreProperties>
</file>