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Corey</w:t>
      </w:r>
      <w:r>
        <w:t xml:space="preserve"> </w:t>
      </w:r>
      <w:r>
        <w:t xml:space="preserve">Christopherson,</w:t>
      </w:r>
      <w:r>
        <w:t xml:space="preserve"> </w:t>
      </w:r>
      <w:r>
        <w:t xml:space="preserve">Zachary</w:t>
      </w:r>
      <w:r>
        <w:t xml:space="preserve"> </w:t>
      </w:r>
      <w:r>
        <w:t xml:space="preserve">Garcia,</w:t>
      </w:r>
      <w:r>
        <w:t xml:space="preserve"> </w:t>
      </w:r>
      <w:r>
        <w:t xml:space="preserve">Richard</w:t>
      </w:r>
      <w:r>
        <w:t xml:space="preserve"> </w:t>
      </w:r>
      <w:r>
        <w:t xml:space="preserve">Todd,</w:t>
      </w:r>
      <w:r>
        <w:t xml:space="preserve"> </w:t>
      </w:r>
      <w:r>
        <w:t xml:space="preserve">Thomas</w:t>
      </w:r>
      <w:r>
        <w:t xml:space="preserve"> </w:t>
      </w:r>
      <w:r>
        <w:t xml:space="preserve">Winegarden</w:t>
      </w:r>
    </w:p>
    <w:p>
      <w:pPr>
        <w:pStyle w:val="Date"/>
      </w:pPr>
      <w:r>
        <w:t xml:space="preserve">2/24/2020</w:t>
      </w:r>
    </w:p>
    <w:p>
      <w:pPr>
        <w:pStyle w:val="Heading2"/>
      </w:pPr>
      <w:bookmarkStart w:id="20" w:name="introduction"/>
      <w:r>
        <w:t xml:space="preserve">Introduction</w:t>
      </w:r>
      <w:bookmarkEnd w:id="20"/>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w:t>
      </w:r>
      <w:r>
        <w:t xml:space="preserve"> </w:t>
      </w:r>
      <w:r>
        <w:t xml:space="preserve">[-@citationkey]</w:t>
      </w:r>
      <w:r>
        <w:t xml:space="preserve">, a new approach is proposed. Instead of relying on dimensional comparison of different CVs, they propose using a Geomorphic Morphometric (GMM) analysis as a general measure of overall shape [2].</w:t>
      </w:r>
    </w:p>
    <w:p>
      <w:pPr>
        <w:pStyle w:val="BodyText"/>
      </w:pPr>
      <w:r>
        <w:t xml:space="preserve">In this work, we are attempting to confirm that the underlying data provided [2]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1" w:name="methods"/>
      <w:r>
        <w:t xml:space="preserve">Methods</w:t>
      </w:r>
      <w:bookmarkEnd w:id="21"/>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ScienceDirect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r>
      <w:r>
        <w:rPr>
          <w:rStyle w:val="VerbatimChar"/>
        </w:rPr>
        <w:t xml:space="preserve">## [1] 0.5179726</w:t>
      </w:r>
      <w:r>
        <w:br/>
      </w:r>
      <w:r>
        <w:rPr>
          <w:rStyle w:val="VerbatimChar"/>
        </w:rPr>
        <w:t xml:space="preserve">## [1] 0.5261531</w:t>
      </w:r>
      <w:r>
        <w:br/>
      </w:r>
      <w:r>
        <w:rPr>
          <w:rStyle w:val="VerbatimChar"/>
        </w:rPr>
        <w:t xml:space="preserve">## [1] 0.5796619</w:t>
      </w:r>
      <w:r>
        <w:br/>
      </w:r>
      <w:r>
        <w:rPr>
          <w:rStyle w:val="VerbatimChar"/>
        </w:rPr>
        <w:t xml:space="preserve">## [1] 0.466887</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2" w:name="results"/>
      <w:r>
        <w:t xml:space="preserve">Results</w:t>
      </w:r>
      <w:bookmarkEnd w:id="22"/>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3" w:name="X0c62badc8281b1523670d540b066db966e0ea5b"/>
      <w:r>
        <w:t xml:space="preserve">Reproducing Figure 8 and associated analysis</w:t>
      </w:r>
      <w:bookmarkEnd w:id="23"/>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12.5    15</w:t>
      </w:r>
      <w:r>
        <w:br/>
      </w:r>
      <w:r>
        <w:rPr>
          <w:rStyle w:val="VerbatimChar"/>
        </w:rPr>
        <w:t xml:space="preserve">## 2 Nydam    12.2    42</w:t>
      </w:r>
      <w:r>
        <w:br/>
      </w:r>
      <w:r>
        <w:rPr>
          <w:rStyle w:val="VerbatimChar"/>
        </w:rPr>
        <w:t xml:space="preserve">## 3 Illerup  10.9    54</w:t>
      </w:r>
      <w:r>
        <w:br/>
      </w: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16.6    12</w:t>
      </w:r>
      <w:r>
        <w:br/>
      </w:r>
      <w:r>
        <w:rPr>
          <w:rStyle w:val="VerbatimChar"/>
        </w:rPr>
        <w:t xml:space="preserve">## 2 Nydam    17.0    44</w:t>
      </w:r>
      <w:r>
        <w:br/>
      </w:r>
      <w:r>
        <w:rPr>
          <w:rStyle w:val="VerbatimChar"/>
        </w:rPr>
        <w:t xml:space="preserve">## 3 Illerup  17.9    43</w:t>
      </w:r>
      <w:r>
        <w:br/>
      </w: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189      6</w:t>
      </w:r>
      <w:r>
        <w:br/>
      </w:r>
      <w:r>
        <w:rPr>
          <w:rStyle w:val="VerbatimChar"/>
        </w:rPr>
        <w:t xml:space="preserve">## 2 Nydam    178.    29</w:t>
      </w:r>
      <w:r>
        <w:br/>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values do not exactly match that of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r>
      <w:r>
        <w:rPr>
          <w:rStyle w:val="VerbatimChar"/>
        </w:rPr>
        <w:t xml:space="preserve">## [1] 0.4402349</w:t>
      </w:r>
      <w:r>
        <w:br/>
      </w:r>
      <w:r>
        <w:rPr>
          <w:rStyle w:val="VerbatimChar"/>
        </w:rPr>
        <w:t xml:space="preserve">## [1] 0.7187674</w:t>
      </w:r>
      <w:r>
        <w:br/>
      </w:r>
      <w:r>
        <w:rPr>
          <w:rStyle w:val="VerbatimChar"/>
        </w:rPr>
        <w:t xml:space="preserve">## [1] 0.7463491</w:t>
      </w:r>
    </w:p>
    <w:p>
      <w:pPr>
        <w:pStyle w:val="FirstParagraph"/>
      </w:pPr>
      <w:r>
        <w:t xml:space="preserve">Below we recreate the figure on different data subsets:</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 allows us to replicate the correlation results.</w:t>
      </w:r>
    </w:p>
    <w:p>
      <w:pPr>
        <w:pStyle w:val="Heading3"/>
      </w:pPr>
      <w:bookmarkStart w:id="29" w:name="reproducing-anova-analysis"/>
      <w:r>
        <w:t xml:space="preserve">Reproducing ANOVA analysis</w:t>
      </w:r>
      <w:bookmarkEnd w:id="29"/>
    </w:p>
    <w:p>
      <w:pPr>
        <w:pStyle w:val="FirstParagraph"/>
      </w:pPr>
      <w:r>
        <w:t xml:space="preserve">As of geomorph version 3.1, the function procD.allmoetry has been deprecated (see</w:t>
      </w:r>
      <w:r>
        <w:t xml:space="preserve"> </w:t>
      </w:r>
      <w:hyperlink r:id="rId30">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allowed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print.progress = FALSE,  </w:t>
      </w:r>
      <w:r>
        <w:br/>
      </w:r>
      <w:r>
        <w:rPr>
          <w:rStyle w:val="VerbatimChar"/>
        </w:rPr>
        <w:t xml:space="preserve">##     data = lances_geomorph,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0.76683                                        </w:t>
      </w:r>
      <w:r>
        <w:br/>
      </w:r>
      <w:r>
        <w:rPr>
          <w:rStyle w:val="VerbatimChar"/>
        </w:rPr>
        <w:t xml:space="preserve">## Group Allometries 72 0.74137 0.025466 0.030754 1.2366 0.73767  0.234</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0.05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Randomized Residual Permutation Procedure Used</w:t>
      </w:r>
      <w:r>
        <w:br/>
      </w:r>
      <w:r>
        <w:rPr>
          <w:rStyle w:val="VerbatimChar"/>
        </w:rPr>
        <w:t xml:space="preserve">## 1000 Permutations</w:t>
      </w:r>
      <w:r>
        <w:br/>
      </w:r>
      <w:r>
        <w:rPr>
          <w:rStyle w:val="VerbatimChar"/>
        </w:rPr>
        <w:t xml:space="preserve">## ANOVA effect sizes and P-values based on empirical F distributions</w:t>
      </w:r>
      <w:r>
        <w:br/>
      </w:r>
      <w:r>
        <w:rPr>
          <w:rStyle w:val="VerbatimChar"/>
        </w:rPr>
        <w:t xml:space="preserve">## </w:t>
      </w:r>
      <w:r>
        <w:br/>
      </w:r>
      <w:r>
        <w:rPr>
          <w:rStyle w:val="VerbatimChar"/>
        </w:rPr>
        <w:t xml:space="preserve">## </w:t>
      </w:r>
      <w:r>
        <w:br/>
      </w:r>
      <w:r>
        <w:rPr>
          <w:rStyle w:val="VerbatimChar"/>
        </w:rPr>
        <w:t xml:space="preserve">##           Df      SS       MS     Rsq      F        Z Pr(&gt;F)  </w:t>
      </w:r>
      <w:r>
        <w:br/>
      </w:r>
      <w:r>
        <w:rPr>
          <w:rStyle w:val="VerbatimChar"/>
        </w:rPr>
        <w:t xml:space="preserve">## log(size)  1 0.05502 0.055024 0.06645 5.3098  1.87975  0.012 *</w:t>
      </w:r>
      <w:r>
        <w:br/>
      </w:r>
      <w:r>
        <w:rPr>
          <w:rStyle w:val="VerbatimChar"/>
        </w:rPr>
        <w:t xml:space="preserve">## site       2 0.00619 0.003096 0.00748 0.2987 -0.83913  0.812  </w:t>
      </w:r>
      <w:r>
        <w:br/>
      </w:r>
      <w:r>
        <w:rPr>
          <w:rStyle w:val="VerbatimChar"/>
        </w:rPr>
        <w:t xml:space="preserve">## Residuals 74 0.76683 0.010363 0.92607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significance threshold (alpha) of 0.1, rather than the default 0.05.</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logsz = FALSE,  </w:t>
      </w:r>
      <w:r>
        <w:br/>
      </w:r>
      <w:r>
        <w:rPr>
          <w:rStyle w:val="VerbatimChar"/>
        </w:rPr>
        <w:t xml:space="preserve">##     seed = 42, alpha = 0.1, print.progress = FALSE, data = lances_geomorph,  </w:t>
      </w:r>
      <w:r>
        <w:br/>
      </w:r>
      <w:r>
        <w:rPr>
          <w:rStyle w:val="VerbatimChar"/>
        </w:rPr>
        <w:t xml:space="preserve">##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0.77288                                        </w:t>
      </w:r>
      <w:r>
        <w:br/>
      </w:r>
      <w:r>
        <w:rPr>
          <w:rStyle w:val="VerbatimChar"/>
        </w:rPr>
        <w:t xml:space="preserve">## Group Allometries 72 0.74360 0.029283 0.035364 1.4177 0.85666  0.205</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0.1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Randomized Residual Permutation Procedure Used</w:t>
      </w:r>
      <w:r>
        <w:br/>
      </w:r>
      <w:r>
        <w:rPr>
          <w:rStyle w:val="VerbatimChar"/>
        </w:rPr>
        <w:t xml:space="preserve">## 1000 Permutations</w:t>
      </w:r>
      <w:r>
        <w:br/>
      </w:r>
      <w:r>
        <w:rPr>
          <w:rStyle w:val="VerbatimChar"/>
        </w:rPr>
        <w:t xml:space="preserve">## ANOVA effect sizes and P-values based on empirical F distributions</w:t>
      </w:r>
      <w:r>
        <w:br/>
      </w:r>
      <w:r>
        <w:rPr>
          <w:rStyle w:val="VerbatimChar"/>
        </w:rPr>
        <w:t xml:space="preserve">## </w:t>
      </w:r>
      <w:r>
        <w:br/>
      </w:r>
      <w:r>
        <w:rPr>
          <w:rStyle w:val="VerbatimChar"/>
        </w:rPr>
        <w:t xml:space="preserve">## </w:t>
      </w:r>
      <w:r>
        <w:br/>
      </w:r>
      <w:r>
        <w:rPr>
          <w:rStyle w:val="VerbatimChar"/>
        </w:rPr>
        <w:t xml:space="preserve">##           Df      SS       MS     Rsq      F        Z Pr(&gt;F)  </w:t>
      </w:r>
      <w:r>
        <w:br/>
      </w:r>
      <w:r>
        <w:rPr>
          <w:rStyle w:val="VerbatimChar"/>
        </w:rPr>
        <w:t xml:space="preserve">## size       1 0.04777 0.047775 0.05770 4.5742  1.72764  0.026 *</w:t>
      </w:r>
      <w:r>
        <w:br/>
      </w:r>
      <w:r>
        <w:rPr>
          <w:rStyle w:val="VerbatimChar"/>
        </w:rPr>
        <w:t xml:space="preserve">## site       2 0.00739 0.003695 0.00892 0.3538 -0.70587  0.768  </w:t>
      </w:r>
      <w:r>
        <w:br/>
      </w:r>
      <w:r>
        <w:rPr>
          <w:rStyle w:val="VerbatimChar"/>
        </w:rPr>
        <w:t xml:space="preserve">## Residuals 74 0.77288 0.010444 0.93338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core result holds! We can push these boundaries further; removing residual randomization and using Cohen’s f-squared values as the random distribution to estimate effect size.</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logsz = FALSE,  </w:t>
      </w:r>
      <w:r>
        <w:br/>
      </w:r>
      <w:r>
        <w:rPr>
          <w:rStyle w:val="VerbatimChar"/>
        </w:rPr>
        <w:t xml:space="preserve">##     seed = 42, alpha = 0.1, RRPP = FALSE, effect.type = "cohen",  </w:t>
      </w:r>
      <w:r>
        <w:br/>
      </w:r>
      <w:r>
        <w:rPr>
          <w:rStyle w:val="VerbatimChar"/>
        </w:rPr>
        <w:t xml:space="preserve">##     print.progress = FALSE, data = lances_geomorph,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0.77288                                        </w:t>
      </w:r>
      <w:r>
        <w:br/>
      </w:r>
      <w:r>
        <w:rPr>
          <w:rStyle w:val="VerbatimChar"/>
        </w:rPr>
        <w:t xml:space="preserve">## Group Allometries 72 0.74360 0.029283 0.035364 1.4177 0.85666  0.205</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0.1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Randomization of Raw Values used</w:t>
      </w:r>
      <w:r>
        <w:br/>
      </w:r>
      <w:r>
        <w:rPr>
          <w:rStyle w:val="VerbatimChar"/>
        </w:rPr>
        <w:t xml:space="preserve">## 1000 Permutations</w:t>
      </w:r>
      <w:r>
        <w:br/>
      </w:r>
      <w:r>
        <w:rPr>
          <w:rStyle w:val="VerbatimChar"/>
        </w:rPr>
        <w:t xml:space="preserve">## ANOVA effect sizes and P-values based on empirical Cohen f-squared distributions</w:t>
      </w:r>
      <w:r>
        <w:br/>
      </w:r>
      <w:r>
        <w:rPr>
          <w:rStyle w:val="VerbatimChar"/>
        </w:rPr>
        <w:t xml:space="preserve">## </w:t>
      </w:r>
      <w:r>
        <w:br/>
      </w:r>
      <w:r>
        <w:rPr>
          <w:rStyle w:val="VerbatimChar"/>
        </w:rPr>
        <w:t xml:space="preserve">## </w:t>
      </w:r>
      <w:r>
        <w:br/>
      </w:r>
      <w:r>
        <w:rPr>
          <w:rStyle w:val="VerbatimChar"/>
        </w:rPr>
        <w:t xml:space="preserve">##           Df      SS       MS     Rsq      F        Z Pr(&gt;Cohen f-sq)  </w:t>
      </w:r>
      <w:r>
        <w:br/>
      </w:r>
      <w:r>
        <w:rPr>
          <w:rStyle w:val="VerbatimChar"/>
        </w:rPr>
        <w:t xml:space="preserve">## size       1 0.04777 0.047775 0.05770 4.5742  1.74380           0.026 *</w:t>
      </w:r>
      <w:r>
        <w:br/>
      </w:r>
      <w:r>
        <w:rPr>
          <w:rStyle w:val="VerbatimChar"/>
        </w:rPr>
        <w:t xml:space="preserve">## site       2 0.00739 0.003695 0.00892 0.3538 -0.83073           0.802  </w:t>
      </w:r>
      <w:r>
        <w:br/>
      </w:r>
      <w:r>
        <w:rPr>
          <w:rStyle w:val="VerbatimChar"/>
        </w:rPr>
        <w:t xml:space="preserve">## Residuals 74 0.77288 0.010444 0.93338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core result still holds.</w:t>
      </w:r>
    </w:p>
    <w:p>
      <w:pPr>
        <w:pStyle w:val="Heading2"/>
      </w:pPr>
      <w:bookmarkStart w:id="31" w:name="conclusion"/>
      <w:r>
        <w:t xml:space="preserve">Conclusion</w:t>
      </w:r>
      <w:bookmarkEnd w:id="31"/>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[2]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2" w:name="references"/>
      <w:r>
        <w:t xml:space="preserve">References</w:t>
      </w:r>
      <w:bookmarkEnd w:id="32"/>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3">
        <w:r>
          <w:rPr>
            <w:rStyle w:val="Hyperlink"/>
          </w:rPr>
          <w:t xml:space="preserve">https://doi.org/10.1016/j.jas.2018.11.002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Corey Christopherson, Zachary Garcia, Richard Todd, Thomas Winegarden</dc:creator>
  <cp:keywords/>
  <dcterms:created xsi:type="dcterms:W3CDTF">2020-03-15T20:20:05Z</dcterms:created>
  <dcterms:modified xsi:type="dcterms:W3CDTF">2020-03-15T20:20:05Z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2/24/2020</vt:lpwstr>
  </property>
  <property fmtid="{D5CDD505-2E9C-101B-9397-08002B2CF9AE}" pid="3" name="output">
    <vt:lpwstr>bookdown::word_document2</vt:lpwstr>
  </property>
</Properties>
</file>