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w:t>
      </w:r>
      <w:r>
        <w:t xml:space="preserve"> </w:t>
      </w:r>
      <w:r>
        <w:t xml:space="preserve">Reef</w:t>
      </w:r>
      <w:r>
        <w:t xml:space="preserve"> </w:t>
      </w:r>
      <w:r>
        <w:t xml:space="preserve">Life</w:t>
      </w:r>
      <w:r>
        <w:t xml:space="preserve"> </w:t>
      </w:r>
      <w:r>
        <w:t xml:space="preserve">Survey</w:t>
      </w:r>
      <w:r>
        <w:t xml:space="preserve"> </w:t>
      </w:r>
      <w:r>
        <w:t xml:space="preserve">analysis</w:t>
      </w:r>
      <w:r>
        <w:t xml:space="preserve"> </w:t>
      </w:r>
      <w:r>
        <w:t xml:space="preserve">of</w:t>
      </w:r>
      <w:r>
        <w:t xml:space="preserve"> </w:t>
      </w:r>
      <w:r>
        <w:t xml:space="preserve">the</w:t>
      </w:r>
      <w:r>
        <w:t xml:space="preserve"> </w:t>
      </w:r>
      <w:r>
        <w:t xml:space="preserve">South</w:t>
      </w:r>
      <w:r>
        <w:t xml:space="preserve"> </w:t>
      </w:r>
      <w:r>
        <w:t xml:space="preserve">Australian</w:t>
      </w:r>
      <w:r>
        <w:t xml:space="preserve"> </w:t>
      </w:r>
      <w:r>
        <w:t xml:space="preserve">harmful</w:t>
      </w:r>
      <w:r>
        <w:t xml:space="preserve"> </w:t>
      </w:r>
      <w:r>
        <w:t xml:space="preserve">algal</w:t>
      </w:r>
      <w:r>
        <w:t xml:space="preserve"> </w:t>
      </w:r>
      <w:r>
        <w:t xml:space="preserve">bloom</w:t>
      </w:r>
    </w:p>
    <w:p>
      <w:pPr>
        <w:pStyle w:val="FirstParagraph"/>
      </w:pPr>
      <w:r>
        <w:rPr>
          <w:iCs/>
          <w:i/>
        </w:rPr>
        <w:t xml:space="preserve">Draft methods for the RLS scripts 01–13. Items in [square brackets] need to be checked or filled in before submission.</w:t>
      </w:r>
    </w:p>
    <w:bookmarkStart w:id="20" w:name="data-sources-and-survey-design"/>
    <w:p>
      <w:pPr>
        <w:pStyle w:val="Heading1"/>
      </w:pPr>
      <w:r>
        <w:t xml:space="preserve">Data sources and survey design</w:t>
      </w:r>
    </w:p>
    <w:p>
      <w:pPr>
        <w:pStyle w:val="FirstParagraph"/>
      </w:pPr>
      <w:r>
        <w:t xml:space="preserve">Underwater visual census data were obtained from the Reef Life Survey (RLS) and Australian Temperate Reef Collaboration (ATRC) programs through the National Reef Monitoring Network (NRMN) South Australian data endpoints [accessed DD Month 2026]. We used the Method 1 (M1) fish, Method 2 (M2) cryptic fish and M2 invertebrate survey data, together with the associated survey and site lists. Survey methods followed the standard RLS protocols (Edgar &amp; Stuart-Smith 2014). Each survey consists of a 50-m transect laid along a depth contour. Divers survey a block along each side of the transect line, giving two blocks per transect. M1 records all fishes seen within a 5-m-wide block, with body length estimated in size classes. M2 records cryptic fishes and mobile macroinvertebrates within a 1-m-wide block. ATRC M2 surveys before 2016 recorded only one block per transect, and the survey list was expanded to reflect this.</w:t>
      </w:r>
    </w:p>
    <w:p>
      <w:pPr>
        <w:pStyle w:val="BodyText"/>
      </w:pPr>
      <w:r>
        <w:t xml:space="preserve">Analyses were restricted to monitoring sites defined by the South Australian Department for Environment and Water (DEW) [dive-site layer, version 25 August 2026], which assigned each site to a location and a region. Each site was classed as No-take if it fell within a sanctuary zone (zone type</w:t>
      </w:r>
      <w:r>
        <w:t xml:space="preserve"> </w:t>
      </w:r>
      <w:r>
        <w:t xml:space="preserve">“</w:t>
      </w:r>
      <w:r>
        <w:t xml:space="preserve">SZ</w:t>
      </w:r>
      <w:r>
        <w:t xml:space="preserve">”</w:t>
      </w:r>
      <w:r>
        <w:t xml:space="preserve">) of the South Australian State Marine Park network, and as Fished otherwise. Status was therefore fixed for each site through time. Two surveys whose data sheets were lost were removed. A transect was defined as a unique combination of survey identifier, survey date and depth. The block was the finest level of observation.</w:t>
      </w:r>
    </w:p>
    <w:bookmarkEnd w:id="20"/>
    <w:bookmarkStart w:id="25" w:name="data-handling"/>
    <w:p>
      <w:pPr>
        <w:pStyle w:val="Heading1"/>
      </w:pPr>
      <w:r>
        <w:t xml:space="preserve">Data handling</w:t>
      </w:r>
    </w:p>
    <w:bookmarkStart w:id="21" w:name="sampling-events-and-bloom-periods"/>
    <w:p>
      <w:pPr>
        <w:pStyle w:val="Heading2"/>
      </w:pPr>
      <w:r>
        <w:t xml:space="preserve">Sampling events and bloom periods</w:t>
      </w:r>
    </w:p>
    <w:p>
      <w:pPr>
        <w:pStyle w:val="FirstParagraph"/>
      </w:pPr>
      <w:r>
        <w:t xml:space="preserve">Surveys at a location often spanned several days. Survey dates were therefore grouped into location-level sampling events: dates were ordered within each location, and a new event began whenever more than eight weeks had passed since the previous survey date at that location. Each event was assigned the date of its first survey (the event start date), and all sites sampled during that field trip shared the same event. Events that started before 1 April 2025 were classed as Pre-bloom, and all later events were classed as Bloom. For descriptive summaries, Bloom events were further split by the calendar month in which they started.</w:t>
      </w:r>
    </w:p>
    <w:bookmarkEnd w:id="21"/>
    <w:bookmarkStart w:id="22" w:name="taxonomic-cleaning"/>
    <w:p>
      <w:pPr>
        <w:pStyle w:val="Heading2"/>
      </w:pPr>
      <w:r>
        <w:t xml:space="preserve">Taxonomic cleaning</w:t>
      </w:r>
    </w:p>
    <w:p>
      <w:pPr>
        <w:pStyle w:val="FirstParagraph"/>
      </w:pPr>
      <w:r>
        <w:t xml:space="preserve">Species names were standardised to current nomenclature using the Australian synonym list in the CheckEM R package [v1.0.0; GlobalArchive]. A small number of additional manual corrections were then applied (for example, to genus or family assignments and to taxa that could only be reliably identified to genus). Records that could not be resolved to at least family level were removed. M1 records were restricted to ray-finned fishes (Actinopterygii) and elasmobranchs (Elasmobranchii). Some invertebrate families were recorded under more than one class or order, and these were assigned to their most frequently recorded classification.</w:t>
      </w:r>
    </w:p>
    <w:bookmarkEnd w:id="22"/>
    <w:bookmarkStart w:id="23" w:name="X9327bc041bc42d7147b3104fd20c72d90e9633c"/>
    <w:p>
      <w:pPr>
        <w:pStyle w:val="Heading2"/>
      </w:pPr>
      <w:r>
        <w:t xml:space="preserve">Zero counts and the complete count matrix</w:t>
      </w:r>
    </w:p>
    <w:p>
      <w:pPr>
        <w:pStyle w:val="FirstParagraph"/>
      </w:pPr>
      <w:r>
        <w:t xml:space="preserve">To keep true absences, we built a block-level registry of every surveyed block. Blocks recorded as</w:t>
      </w:r>
      <w:r>
        <w:t xml:space="preserve"> </w:t>
      </w:r>
      <w:r>
        <w:t xml:space="preserve">“</w:t>
      </w:r>
      <w:r>
        <w:t xml:space="preserve">No species found</w:t>
      </w:r>
      <w:r>
        <w:t xml:space="preserve">”</w:t>
      </w:r>
      <w:r>
        <w:t xml:space="preserve"> </w:t>
      </w:r>
      <w:r>
        <w:t xml:space="preserve">were retained with zero counts. For M1, blocks listed in the survey list without any associated records were checked individually, and blocks confirmed as empty were added as zeros. For M2, blocks without records in either the cryptic fish or invertebrate datasets before 1 January 2025 were assumed not to have been surveyed with M2 and were excluded. Blocks from 1 January 2025 onwards were retained as zeros. Counts were summed within each block and taxon. Each registry was then crossed with the full taxon list for its method, so every block had a record for every taxon, with zeros for taxa that were not observed.</w:t>
      </w:r>
    </w:p>
    <w:bookmarkEnd w:id="23"/>
    <w:bookmarkStart w:id="24" w:name="community-metrics"/>
    <w:p>
      <w:pPr>
        <w:pStyle w:val="Heading2"/>
      </w:pPr>
      <w:r>
        <w:t xml:space="preserve">Community metrics</w:t>
      </w:r>
    </w:p>
    <w:p>
      <w:pPr>
        <w:pStyle w:val="FirstParagraph"/>
      </w:pPr>
      <w:r>
        <w:t xml:space="preserve">We calculated four metrics for each block and then averaged across the blocks of each transect, giving one value per transect for each metric:</w:t>
      </w:r>
    </w:p>
    <w:p>
      <w:pPr>
        <w:numPr>
          <w:ilvl w:val="0"/>
          <w:numId w:val="1001"/>
        </w:numPr>
        <w:pStyle w:val="Compact"/>
      </w:pPr>
      <w:r>
        <w:rPr>
          <w:bCs/>
          <w:b/>
        </w:rPr>
        <w:t xml:space="preserve">Species richness</w:t>
      </w:r>
      <w:r>
        <w:t xml:space="preserve"> </w:t>
      </w:r>
      <w:r>
        <w:t xml:space="preserve">was the number of distinct taxa with a count greater than zero. To avoid double counting, a genus-level record (e.g. </w:t>
      </w:r>
      <w:r>
        <w:t xml:space="preserve">“</w:t>
      </w:r>
      <w:r>
        <w:rPr>
          <w:iCs/>
          <w:i/>
        </w:rPr>
        <w:t xml:space="preserve">Genus</w:t>
      </w:r>
      <w:r>
        <w:t xml:space="preserve"> </w:t>
      </w:r>
      <w:r>
        <w:t xml:space="preserve">spp.</w:t>
      </w:r>
      <w:r>
        <w:t xml:space="preserve">”</w:t>
      </w:r>
      <w:r>
        <w:t xml:space="preserve">) was excluded from richness when an identified species of the same genus was recorded in the same block.</w:t>
      </w:r>
    </w:p>
    <w:p>
      <w:pPr>
        <w:numPr>
          <w:ilvl w:val="0"/>
          <w:numId w:val="1001"/>
        </w:numPr>
        <w:pStyle w:val="Compact"/>
      </w:pPr>
      <w:r>
        <w:rPr>
          <w:bCs/>
          <w:b/>
        </w:rPr>
        <w:t xml:space="preserve">Shannon diversity</w:t>
      </w:r>
      <w:r>
        <w:t xml:space="preserve"> </w:t>
      </w:r>
      <w:r>
        <w:t xml:space="preserve">(</w:t>
      </w:r>
      <w:r>
        <w:rPr>
          <w:iCs/>
          <w:i/>
        </w:rPr>
        <w:t xml:space="preserve">H′</w:t>
      </w:r>
      <w:r>
        <w:t xml:space="preserve">; Shannon 1948) was calculated from taxon abundances using natural logarithms, after the same genus-level adjustment. A block with no individuals was assigned</w:t>
      </w:r>
      <w:r>
        <w:t xml:space="preserve"> </w:t>
      </w:r>
      <w:r>
        <w:rPr>
          <w:iCs/>
          <w:i/>
        </w:rPr>
        <w:t xml:space="preserve">H′</w:t>
      </w:r>
      <w:r>
        <w:t xml:space="preserve"> </w:t>
      </w:r>
      <w:r>
        <w:t xml:space="preserve">= 0.</w:t>
      </w:r>
    </w:p>
    <w:p>
      <w:pPr>
        <w:numPr>
          <w:ilvl w:val="0"/>
          <w:numId w:val="1001"/>
        </w:numPr>
        <w:pStyle w:val="Compact"/>
      </w:pPr>
      <w:r>
        <w:rPr>
          <w:bCs/>
          <w:b/>
        </w:rPr>
        <w:t xml:space="preserve">Total abundance</w:t>
      </w:r>
      <w:r>
        <w:t xml:space="preserve"> </w:t>
      </w:r>
      <w:r>
        <w:t xml:space="preserve">was the sum of all individuals counted, including genus-level records.</w:t>
      </w:r>
    </w:p>
    <w:p>
      <w:pPr>
        <w:numPr>
          <w:ilvl w:val="0"/>
          <w:numId w:val="1001"/>
        </w:numPr>
        <w:pStyle w:val="Compact"/>
      </w:pPr>
      <w:r>
        <w:rPr>
          <w:bCs/>
          <w:b/>
        </w:rPr>
        <w:t xml:space="preserve">B20 biomass</w:t>
      </w:r>
      <w:r>
        <w:t xml:space="preserve"> </w:t>
      </w:r>
      <w:r>
        <w:t xml:space="preserve">(M1 and M2 fish only) was the summed biomass of fishes in size classes of 20 cm or larger, using the biomass estimates supplied with the RLS data [derived from length–weight relationships]. It was expressed in kg per block, and blocks with no fishes of 20 cm or larger were assigned zero.</w:t>
      </w:r>
    </w:p>
    <w:p>
      <w:pPr>
        <w:pStyle w:val="FirstParagraph"/>
      </w:pPr>
      <w:r>
        <w:t xml:space="preserve">We also calculated species richness, Shannon diversity and abundance separately for the three dominant M2 invertebrate phyla: Echinodermata, Arthropoda (predominantly crustaceans) and Mollusca. Each block received a value for each phylum, so blocks where a phylum was absent were kept as zeros. In total, 20 transect-level metrics were derived: richness and Shannon diversity for M1 fish, M2 fish, M2 invertebrates and each of the three phyla (12 metrics); B20 biomass for M1 and M2 fish (2); and total abundance for M1 fish, M2 fish, M2 invertebrates and each of the three phyla (6).</w:t>
      </w:r>
    </w:p>
    <w:p>
      <w:pPr>
        <w:pStyle w:val="BodyText"/>
      </w:pPr>
      <w:r>
        <w:t xml:space="preserve">For descriptive summaries, the mean, standard deviation and standard error of each metric were calculated across transects for each location and region, both overall and by management status. Percentage change from the Pre-bloom baseline was calculated as (mean</w:t>
      </w:r>
      <w:r>
        <w:t xml:space="preserve">Bloom</w:t>
      </w:r>
      <w:r>
        <w:t xml:space="preserve"> </w:t>
      </w:r>
      <w:r>
        <w:t xml:space="preserve">/ mean</w:t>
      </w:r>
      <w:r>
        <w:t xml:space="preserve">Pre-bloom</w:t>
      </w:r>
      <w:r>
        <w:t xml:space="preserve"> </w:t>
      </w:r>
      <w:r>
        <w:t xml:space="preserve">× 100) − 100. It was left undefined where the Pre-bloom mean was zero.</w:t>
      </w:r>
    </w:p>
    <w:bookmarkEnd w:id="24"/>
    <w:bookmarkEnd w:id="25"/>
    <w:bookmarkStart w:id="29" w:name="generalised-linear-mixed-models"/>
    <w:p>
      <w:pPr>
        <w:pStyle w:val="Heading1"/>
      </w:pPr>
      <w:r>
        <w:t xml:space="preserve">Generalised linear mixed models</w:t>
      </w:r>
    </w:p>
    <w:bookmarkStart w:id="26" w:name="model-structure"/>
    <w:p>
      <w:pPr>
        <w:pStyle w:val="Heading2"/>
      </w:pPr>
      <w:r>
        <w:t xml:space="preserve">Model structure</w:t>
      </w:r>
    </w:p>
    <w:p>
      <w:pPr>
        <w:pStyle w:val="FirstParagraph"/>
      </w:pPr>
      <w:r>
        <w:t xml:space="preserve">We modelled each transect-level metric with generalised linear mixed models (GLMMs) in glmmTMB [vX.X.X] (Brooks et al. 2017). A separate model was fitted for each metric at each location, so each transect contributed one observation to its location model. No region-level models were fitted. Species richness and Shannon diversity were modelled with a Gaussian distribution and identity link, because both responses were block means rather than integer counts. Total abundance and B20 biomass were continuous, non-negative and often zero, so they were modelled with a Tweedie distribution (Tweedie 1984) and log link.</w:t>
      </w:r>
    </w:p>
    <w:p>
      <w:pPr>
        <w:pStyle w:val="BodyText"/>
      </w:pPr>
      <w:r>
        <w:t xml:space="preserve">We fitted two models for each metric × location combination.</w:t>
      </w:r>
    </w:p>
    <w:p>
      <w:pPr>
        <w:pStyle w:val="BodyText"/>
      </w:pPr>
      <w:r>
        <w:rPr>
          <w:bCs/>
          <w:b/>
        </w:rPr>
        <w:t xml:space="preserve">Period model.</w:t>
      </w:r>
      <w:r>
        <w:t xml:space="preserve"> </w:t>
      </w:r>
      <w:r>
        <w:t xml:space="preserve">The Period model tested the effects of bloom period and management status:</w:t>
      </w:r>
    </w:p>
    <w:p>
      <w:pPr>
        <w:pStyle w:val="BodyText"/>
      </w:pPr>
      <w:r>
        <w:rPr>
          <w:iCs/>
          <w:i/>
        </w:rPr>
        <w:t xml:space="preserve">y</w:t>
      </w:r>
      <w:r>
        <w:t xml:space="preserve"> </w:t>
      </w:r>
      <w:r>
        <w:t xml:space="preserve">~ Period × Status + (1 | Site) + (1 | Sampling event)</w:t>
      </w:r>
    </w:p>
    <w:p>
      <w:pPr>
        <w:pStyle w:val="BodyText"/>
      </w:pPr>
      <w:r>
        <w:t xml:space="preserve">Site was included as a random intercept because sites were revisited through time. Sampling event (event start date) was included as a random intercept to account for conditions shared by transects surveyed on the same field trip. Transect was not included as a random effect because each transect contributed a single value. The fixed-effect structure was reduced where the design could not support it:</w:t>
      </w:r>
    </w:p>
    <w:p>
      <w:pPr>
        <w:numPr>
          <w:ilvl w:val="0"/>
          <w:numId w:val="1002"/>
        </w:numPr>
        <w:pStyle w:val="Compact"/>
      </w:pPr>
      <w:r>
        <w:t xml:space="preserve">The model was additive (Period + Status) when any Period × Status combination was unsampled, or when a Tweedie Period × Status cell contained only zeros (such cells push the log-scale cell mean towards the boundary).</w:t>
      </w:r>
    </w:p>
    <w:p>
      <w:pPr>
        <w:numPr>
          <w:ilvl w:val="0"/>
          <w:numId w:val="1002"/>
        </w:numPr>
        <w:pStyle w:val="Compact"/>
      </w:pPr>
      <w:r>
        <w:t xml:space="preserve">Only Period or only Status was fitted when just one level of the other factor was present.</w:t>
      </w:r>
    </w:p>
    <w:p>
      <w:pPr>
        <w:numPr>
          <w:ilvl w:val="0"/>
          <w:numId w:val="1002"/>
        </w:numPr>
        <w:pStyle w:val="Compact"/>
      </w:pPr>
      <w:r>
        <w:t xml:space="preserve">The sampling-event random effect was omitted when each period contained only one event, because event and Period would then be completely confounded.</w:t>
      </w:r>
    </w:p>
    <w:p>
      <w:pPr>
        <w:numPr>
          <w:ilvl w:val="0"/>
          <w:numId w:val="1002"/>
        </w:numPr>
        <w:pStyle w:val="Compact"/>
      </w:pPr>
      <w:r>
        <w:t xml:space="preserve">If the full interaction model failed numerically, the additive model was fitted instead, and this fallback was recorded.</w:t>
      </w:r>
    </w:p>
    <w:p>
      <w:pPr>
        <w:pStyle w:val="FirstParagraph"/>
      </w:pPr>
      <w:r>
        <w:rPr>
          <w:bCs/>
          <w:b/>
        </w:rPr>
        <w:t xml:space="preserve">Temporal model.</w:t>
      </w:r>
      <w:r>
        <w:t xml:space="preserve"> </w:t>
      </w:r>
      <w:r>
        <w:t xml:space="preserve">The Temporal model treated event start date as a categorical fixed effect, with site as a random intercept:</w:t>
      </w:r>
    </w:p>
    <w:p>
      <w:pPr>
        <w:pStyle w:val="BodyText"/>
      </w:pPr>
      <w:r>
        <w:rPr>
          <w:iCs/>
          <w:i/>
        </w:rPr>
        <w:t xml:space="preserve">y</w:t>
      </w:r>
      <w:r>
        <w:t xml:space="preserve"> </w:t>
      </w:r>
      <w:r>
        <w:t xml:space="preserve">~ Sampling event + (1 | Site)</w:t>
      </w:r>
    </w:p>
    <w:p>
      <w:pPr>
        <w:pStyle w:val="BodyText"/>
      </w:pPr>
      <w:r>
        <w:t xml:space="preserve">Estimates were therefore produced only for dates that were actually sampled, with no smoothing between them. For Tweedie metrics, events in which every transect recorded zero were excluded from the fit and reported as observed zeros without model-based uncertainty. Models were not fitted to location × metric combinations with fewer than three transects. Where every observation was zero, sampled combinations were reported as descriptive zeros.</w:t>
      </w:r>
    </w:p>
    <w:bookmarkEnd w:id="26"/>
    <w:bookmarkStart w:id="27" w:name="tweedie-power-parameter"/>
    <w:p>
      <w:pPr>
        <w:pStyle w:val="Heading2"/>
      </w:pPr>
      <w:r>
        <w:t xml:space="preserve">Tweedie power parameter</w:t>
      </w:r>
    </w:p>
    <w:p>
      <w:pPr>
        <w:pStyle w:val="FirstParagraph"/>
      </w:pPr>
      <w:r>
        <w:t xml:space="preserve">Estimating the Tweedie power parameter (</w:t>
      </w:r>
      <w:r>
        <w:rPr>
          <w:iCs/>
          <w:i/>
        </w:rPr>
        <w:t xml:space="preserve">p</w:t>
      </w:r>
      <w:r>
        <w:t xml:space="preserve">) separately in every location model was unstable. Instead, a single value was estimated for each abundance metric from a pooled model across all locations:</w:t>
      </w:r>
    </w:p>
    <w:p>
      <w:pPr>
        <w:pStyle w:val="BodyText"/>
      </w:pPr>
      <w:r>
        <w:rPr>
          <w:iCs/>
          <w:i/>
        </w:rPr>
        <w:t xml:space="preserve">y</w:t>
      </w:r>
      <w:r>
        <w:t xml:space="preserve"> </w:t>
      </w:r>
      <w:r>
        <w:t xml:space="preserve">~ Location + Period + Status + (1 | Site) + (1 | Sampling event)</w:t>
      </w:r>
    </w:p>
    <w:p>
      <w:pPr>
        <w:pStyle w:val="BodyText"/>
      </w:pPr>
      <w:r>
        <w:t xml:space="preserve">where Site and Sampling event were nested within location. This pooled</w:t>
      </w:r>
      <w:r>
        <w:t xml:space="preserve"> </w:t>
      </w:r>
      <w:r>
        <w:rPr>
          <w:iCs/>
          <w:i/>
        </w:rPr>
        <w:t xml:space="preserve">p</w:t>
      </w:r>
      <w:r>
        <w:t xml:space="preserve"> </w:t>
      </w:r>
      <w:r>
        <w:t xml:space="preserve">was then fixed in all location models for that metric. For Arthropoda abundance, the profile of AIC against</w:t>
      </w:r>
      <w:r>
        <w:t xml:space="preserve"> </w:t>
      </w:r>
      <w:r>
        <w:rPr>
          <w:iCs/>
          <w:i/>
        </w:rPr>
        <w:t xml:space="preserve">p</w:t>
      </w:r>
      <w:r>
        <w:t xml:space="preserve"> </w:t>
      </w:r>
      <w:r>
        <w:t xml:space="preserve">decreased steadily towards the lower bound rather than reaching an interior minimum, so</w:t>
      </w:r>
      <w:r>
        <w:t xml:space="preserve"> </w:t>
      </w:r>
      <w:r>
        <w:rPr>
          <w:iCs/>
          <w:i/>
        </w:rPr>
        <w:t xml:space="preserve">p</w:t>
      </w:r>
      <w:r>
        <w:t xml:space="preserve"> </w:t>
      </w:r>
      <w:r>
        <w:t xml:space="preserve">was fixed at 1.001. For B20 biomass,</w:t>
      </w:r>
      <w:r>
        <w:t xml:space="preserve"> </w:t>
      </w:r>
      <w:r>
        <w:rPr>
          <w:iCs/>
          <w:i/>
        </w:rPr>
        <w:t xml:space="preserve">p</w:t>
      </w:r>
      <w:r>
        <w:t xml:space="preserve"> </w:t>
      </w:r>
      <w:r>
        <w:t xml:space="preserve">was estimated freely within each location model.</w:t>
      </w:r>
    </w:p>
    <w:bookmarkEnd w:id="27"/>
    <w:bookmarkStart w:id="28" w:name="X99d1a13edf2a6e3135f8721f523348d9a21bd05"/>
    <w:p>
      <w:pPr>
        <w:pStyle w:val="Heading2"/>
      </w:pPr>
      <w:r>
        <w:t xml:space="preserve">Model fitting, diagnostics and predictions</w:t>
      </w:r>
    </w:p>
    <w:p>
      <w:pPr>
        <w:pStyle w:val="FirstParagraph"/>
      </w:pPr>
      <w:r>
        <w:t xml:space="preserve">Each model was first fitted with the default nlminb optimiser. If this fit was not valid, it was refitted with the BFGS algorithm (maximum 300 iterations). A fit was considered valid when it had converged, had a positive-definite Hessian, and produced finite fixed-effect standard errors and AIC. Invalid fits were retained but flagged. Simulated quantile residuals from DHARMa [vX.X.X] (Hartig 2024) were used to check uniformity, dispersion and outliers for flagged models and a representative subset of valid models.</w:t>
      </w:r>
    </w:p>
    <w:p>
      <w:pPr>
        <w:pStyle w:val="BodyText"/>
      </w:pPr>
      <w:r>
        <w:t xml:space="preserve">Estimated marginal means (EMMs; Searle et al. 1980) and 95% confidence intervals were obtained with emmeans [vX.X.X] (Lenth 2025) and back-transformed to the response scale before any averaging. Period × Status means were reported only for combinations that were observed. Overall Period means were weighted averages of the Period × Status cell means, with weights proportional to the number of transects sampled in each status during that period. Each transect therefore contributed equally, rather than the two statuses being weighted equally regardless of sampling effort. Period × Status estimates based on fewer than two sites were flagged as having low replication.</w:t>
      </w:r>
    </w:p>
    <w:bookmarkEnd w:id="28"/>
    <w:bookmarkEnd w:id="29"/>
    <w:bookmarkStart w:id="35" w:name="Xdda2b41417046bdcc248a2fecbd281a9a815670"/>
    <w:p>
      <w:pPr>
        <w:pStyle w:val="Heading1"/>
      </w:pPr>
      <w:r>
        <w:t xml:space="preserve">Multivariate analysis of assemblage composition</w:t>
      </w:r>
    </w:p>
    <w:bookmarkStart w:id="30" w:name="sample-unit-and-dissimilarity"/>
    <w:p>
      <w:pPr>
        <w:pStyle w:val="Heading2"/>
      </w:pPr>
      <w:r>
        <w:t xml:space="preserve">Sample unit and dissimilarity</w:t>
      </w:r>
    </w:p>
    <w:p>
      <w:pPr>
        <w:pStyle w:val="FirstParagraph"/>
      </w:pPr>
      <w:r>
        <w:t xml:space="preserve">Assemblage composition was analysed separately for each method (M1 fish, M2 cryptic fish and M2 invertebrates) at each location using vegan [v2.7-2] (Oksanen et al. 2025). Region-level analyses were not performed. The sample unit was the site × sampling event: counts were first averaged across the blocks of each transect, and then across transects within each site × event. Locations with fewer than three site × event samples were excluded. Taxa absent from every sample at a location were removed. Taxa present in every sample were retained, because they affect the denominator of the modified Gower dissimilarity.</w:t>
      </w:r>
    </w:p>
    <w:p>
      <w:pPr>
        <w:pStyle w:val="BodyText"/>
      </w:pPr>
      <w:r>
        <w:t xml:space="preserve">Abundances were transformed using the modified logarithm of Anderson et al. (2006) with base 2. Dissimilarities between samples were then calculated with the modified Gower measure (Anderson et al. 2006). With this combination, a dissimilarity of one unit corresponds approximately to a doubling of abundance, and a change from absence to presence carries the same weight as a doubling. Dissimilarity between two empty samples is undefined, so it was set to zero. No other non-finite values occurred.</w:t>
      </w:r>
    </w:p>
    <w:bookmarkEnd w:id="30"/>
    <w:bookmarkStart w:id="31" w:name="unconstrained-ordination"/>
    <w:p>
      <w:pPr>
        <w:pStyle w:val="Heading2"/>
      </w:pPr>
      <w:r>
        <w:t xml:space="preserve">Unconstrained ordination</w:t>
      </w:r>
    </w:p>
    <w:p>
      <w:pPr>
        <w:pStyle w:val="FirstParagraph"/>
      </w:pPr>
      <w:r>
        <w:t xml:space="preserve">Overall patterns in assemblage composition were visualised with principal coordinates analysis (PCoA), using the Cailliez (1983) correction for negative eigenvalues. The percentage of variation explained by each axis was calculated from the positive eigenvalues. Pearson correlations between transformed taxon abundances and the PCoA axes were fitted as vectors using</w:t>
      </w:r>
      <w:r>
        <w:t xml:space="preserve"> </w:t>
      </w:r>
      <w:r>
        <w:rPr>
          <w:rStyle w:val="VerbatimChar"/>
        </w:rPr>
        <w:t xml:space="preserve">envfit</w:t>
      </w:r>
      <w:r>
        <w:t xml:space="preserve"> </w:t>
      </w:r>
      <w:r>
        <w:t xml:space="preserve">with 999 permutations. The ten taxa with the largest</w:t>
      </w:r>
      <w:r>
        <w:t xml:space="preserve"> </w:t>
      </w:r>
      <w:r>
        <w:rPr>
          <w:iCs/>
          <w:i/>
        </w:rPr>
        <w:t xml:space="preserve">r</w:t>
      </w:r>
      <w:r>
        <w:t xml:space="preserve">² were displayed.</w:t>
      </w:r>
    </w:p>
    <w:bookmarkEnd w:id="31"/>
    <w:bookmarkStart w:id="32" w:name="effect-of-bloom-period"/>
    <w:p>
      <w:pPr>
        <w:pStyle w:val="Heading2"/>
      </w:pPr>
      <w:r>
        <w:t xml:space="preserve">Effect of bloom period</w:t>
      </w:r>
    </w:p>
    <w:p>
      <w:pPr>
        <w:pStyle w:val="FirstParagraph"/>
      </w:pPr>
      <w:r>
        <w:t xml:space="preserve">Period varies within sites, so its effect was tested with permutational multivariate analysis of variance (PERMANOVA; Anderson 2001) using</w:t>
      </w:r>
      <w:r>
        <w:t xml:space="preserve"> </w:t>
      </w:r>
      <w:r>
        <w:rPr>
          <w:rStyle w:val="VerbatimChar"/>
        </w:rPr>
        <w:t xml:space="preserve">adonis2</w:t>
      </w:r>
      <w:r>
        <w:t xml:space="preserve">. The model used sequential (type I) sums of squares, with terms entered in the order Site, Period and Status × Period. Permutations (999) were restricted within sites. The Period term was therefore tested after removing among-site variation, using only within-site changes. The Status × Period interaction was fitted only where both status levels included at least one site sampled in both periods. Locations with no site sampled in both periods, or with fewer than four site × event samples, were not tested. Homogeneity of multivariate dispersion between periods was tested with PERMDISP (Anderson 2006;</w:t>
      </w:r>
      <w:r>
        <w:t xml:space="preserve"> </w:t>
      </w:r>
      <w:r>
        <w:rPr>
          <w:rStyle w:val="VerbatimChar"/>
        </w:rPr>
        <w:t xml:space="preserve">betadisper</w:t>
      </w:r>
      <w:r>
        <w:t xml:space="preserve"> </w:t>
      </w:r>
      <w:r>
        <w:t xml:space="preserve">and</w:t>
      </w:r>
      <w:r>
        <w:t xml:space="preserve"> </w:t>
      </w:r>
      <w:r>
        <w:rPr>
          <w:rStyle w:val="VerbatimChar"/>
        </w:rPr>
        <w:t xml:space="preserve">permutest</w:t>
      </w:r>
      <w:r>
        <w:t xml:space="preserve">, 999 permutations). Where dispersion differed significantly, a significant Period effect was interpreted as possibly reflecting a difference in dispersion as well as, or instead of, a difference in location (centroid).</w:t>
      </w:r>
    </w:p>
    <w:bookmarkEnd w:id="32"/>
    <w:bookmarkStart w:id="33" w:name="effect-of-management-status"/>
    <w:p>
      <w:pPr>
        <w:pStyle w:val="Heading2"/>
      </w:pPr>
      <w:r>
        <w:t xml:space="preserve">Effect of management status</w:t>
      </w:r>
    </w:p>
    <w:p>
      <w:pPr>
        <w:pStyle w:val="FirstParagraph"/>
      </w:pPr>
      <w:r>
        <w:t xml:space="preserve">Status is fixed at the site level. Repeat visits to a site therefore cannot be treated as independent replicates of Status, and freely permuting site × event samples would inflate the Type I error rate. Status was instead tested with a one-way PERMANOVA. The pseudo-</w:t>
      </w:r>
      <w:r>
        <w:rPr>
          <w:iCs/>
          <w:i/>
        </w:rPr>
        <w:t xml:space="preserve">F</w:t>
      </w:r>
      <w:r>
        <w:t xml:space="preserve"> </w:t>
      </w:r>
      <w:r>
        <w:t xml:space="preserve">statistic was calculated from the full site × event dissimilarity matrix, but the null distribution was generated by permuting Status labels among whole sites. All events from a site moved together, and the number of sites in each status was held constant. When the number of possible site allocations was 1,000 or fewer, all distinct allocations were enumerated (an exact test). Otherwise, 999 random reallocations were drawn.</w:t>
      </w:r>
      <w:r>
        <w:t xml:space="preserve"> </w:t>
      </w:r>
      <w:r>
        <w:rPr>
          <w:iCs/>
          <w:i/>
        </w:rPr>
        <w:t xml:space="preserve">P</w:t>
      </w:r>
      <w:r>
        <w:t xml:space="preserve">-values were calculated as (1 + the number of permuted pseudo-</w:t>
      </w:r>
      <w:r>
        <w:rPr>
          <w:iCs/>
          <w:i/>
        </w:rPr>
        <w:t xml:space="preserve">F</w:t>
      </w:r>
      <w:r>
        <w:t xml:space="preserve"> </w:t>
      </w:r>
      <w:r>
        <w:t xml:space="preserve">values ≥ the observed value) / (1 + the number of permutations) (Phipson &amp; Smyth 2010). Tests required at least three sites and both status levels. Locations with fewer than two sites in either status were flagged as weakly replicated.</w:t>
      </w:r>
    </w:p>
    <w:p>
      <w:pPr>
        <w:pStyle w:val="BodyText"/>
      </w:pPr>
      <w:r>
        <w:t xml:space="preserve">The number of possible allocations limits the smallest achievable</w:t>
      </w:r>
      <w:r>
        <w:t xml:space="preserve"> </w:t>
      </w:r>
      <w:r>
        <w:rPr>
          <w:iCs/>
          <w:i/>
        </w:rPr>
        <w:t xml:space="preserve">P</w:t>
      </w:r>
      <w:r>
        <w:t xml:space="preserve">-value, so the permutation type and the number of permutations are reported alongside each result. Dispersion between statuses was tested with PERMDISP on a site-level matrix, in which each site was represented by its mean composition across all of its transects, so that sites were the replicates.</w:t>
      </w:r>
    </w:p>
    <w:bookmarkEnd w:id="33"/>
    <w:bookmarkStart w:id="34" w:name="constrained-ordination"/>
    <w:p>
      <w:pPr>
        <w:pStyle w:val="Heading2"/>
      </w:pPr>
      <w:r>
        <w:t xml:space="preserve">Constrained ordination</w:t>
      </w:r>
    </w:p>
    <w:p>
      <w:pPr>
        <w:pStyle w:val="FirstParagraph"/>
      </w:pPr>
      <w:r>
        <w:t xml:space="preserve">Constrained ordinations were fitted with</w:t>
      </w:r>
      <w:r>
        <w:t xml:space="preserve"> </w:t>
      </w:r>
      <w:r>
        <w:rPr>
          <w:rStyle w:val="VerbatimChar"/>
        </w:rPr>
        <w:t xml:space="preserve">capscale</w:t>
      </w:r>
      <w:r>
        <w:t xml:space="preserve">, using the site × event dissimilarity matrix with the Lingoes (1971) correction.</w:t>
      </w:r>
      <w:r>
        <w:t xml:space="preserve"> </w:t>
      </w:r>
      <w:r>
        <w:rPr>
          <w:rStyle w:val="VerbatimChar"/>
        </w:rPr>
        <w:t xml:space="preserve">capscale</w:t>
      </w:r>
      <w:r>
        <w:t xml:space="preserve"> </w:t>
      </w:r>
      <w:r>
        <w:t xml:space="preserve">implements distance-based redundancy analysis (Legendre &amp; Anderson 1999), a form of canonical analysis of principal coordinates (CAP; Anderson &amp; Willis 2003). Separate ordinations were fitted with Period and with Status as the constraining factor. Each ordination displayed the first constrained axis (CAP1) against the first unconstrained axis (MDS1). The percentage of total inertia explained by each axis was reported. The Period ordination was tested with a permutation test (</w:t>
      </w:r>
      <w:r>
        <w:rPr>
          <w:rStyle w:val="VerbatimChar"/>
        </w:rPr>
        <w:t xml:space="preserve">anova.cca</w:t>
      </w:r>
      <w:r>
        <w:t xml:space="preserve">, 999 permutations restricted within sites).</w:t>
      </w:r>
    </w:p>
    <w:p>
      <w:pPr>
        <w:pStyle w:val="BodyText"/>
      </w:pPr>
      <w:r>
        <w:t xml:space="preserve">The Status ordination was used only for visualisation. Its significance was taken from the whole-site permutation test described above, not from permutations of event rows. Taxon scores were displayed for the ten taxa with the longest vectors in the CAP1–MDS1 plane. Site centroids were calculated after fitting, as the mean CAP scores of each site’s events. To compare the two effects, each site × event sample’s Period CAP1 score was plotted against its Status CAP1 score.</w:t>
      </w:r>
    </w:p>
    <w:bookmarkEnd w:id="34"/>
    <w:bookmarkEnd w:id="35"/>
    <w:bookmarkStart w:id="36" w:name="software-and-reproducibility"/>
    <w:p>
      <w:pPr>
        <w:pStyle w:val="Heading1"/>
      </w:pPr>
      <w:r>
        <w:t xml:space="preserve">Software and reproducibility</w:t>
      </w:r>
    </w:p>
    <w:p>
      <w:pPr>
        <w:pStyle w:val="FirstParagraph"/>
      </w:pPr>
      <w:r>
        <w:t xml:space="preserve">All analyses were done in R [v4.4.2] (R Core Team 2024) using tidyverse packages for data handling (Wickham et al. 2019). Package versions were managed with renv. Random seeds were fixed (seed = 123) for all permutation procedures. Statistical significance was assessed at α = 0.05. Report figures of constrained ordinations were produced only where the corresponding test was significant. The analysis code is available at [GitHub repository URL].</w:t>
      </w:r>
    </w:p>
    <w:bookmarkEnd w:id="36"/>
    <w:bookmarkStart w:id="37" w:name="references"/>
    <w:p>
      <w:pPr>
        <w:pStyle w:val="Heading1"/>
      </w:pPr>
      <w:r>
        <w:t xml:space="preserve">References</w:t>
      </w:r>
    </w:p>
    <w:p>
      <w:pPr>
        <w:pStyle w:val="FirstParagraph"/>
      </w:pPr>
      <w:r>
        <w:t xml:space="preserve">Anderson, M.J. (2001) A new method for non-parametric multivariate analysis of variance.</w:t>
      </w:r>
      <w:r>
        <w:t xml:space="preserve"> </w:t>
      </w:r>
      <w:r>
        <w:rPr>
          <w:iCs/>
          <w:i/>
        </w:rPr>
        <w:t xml:space="preserve">Austral Ecology</w:t>
      </w:r>
      <w:r>
        <w:t xml:space="preserve">, 26, 32–46.</w:t>
      </w:r>
    </w:p>
    <w:p>
      <w:pPr>
        <w:pStyle w:val="BodyText"/>
      </w:pPr>
      <w:r>
        <w:t xml:space="preserve">Anderson, M.J. (2006) Distance-based tests for homogeneity of multivariate dispersions.</w:t>
      </w:r>
      <w:r>
        <w:t xml:space="preserve"> </w:t>
      </w:r>
      <w:r>
        <w:rPr>
          <w:iCs/>
          <w:i/>
        </w:rPr>
        <w:t xml:space="preserve">Biometrics</w:t>
      </w:r>
      <w:r>
        <w:t xml:space="preserve">, 62, 245–253.</w:t>
      </w:r>
    </w:p>
    <w:p>
      <w:pPr>
        <w:pStyle w:val="BodyText"/>
      </w:pPr>
      <w:r>
        <w:t xml:space="preserve">Anderson, M.J., Ellingsen, K.E. &amp; McArdle, B.H. (2006) Multivariate dispersion as a measure of beta diversity.</w:t>
      </w:r>
      <w:r>
        <w:t xml:space="preserve"> </w:t>
      </w:r>
      <w:r>
        <w:rPr>
          <w:iCs/>
          <w:i/>
        </w:rPr>
        <w:t xml:space="preserve">Ecology Letters</w:t>
      </w:r>
      <w:r>
        <w:t xml:space="preserve">, 9, 683–693.</w:t>
      </w:r>
    </w:p>
    <w:p>
      <w:pPr>
        <w:pStyle w:val="BodyText"/>
      </w:pPr>
      <w:r>
        <w:t xml:space="preserve">Anderson, M.J. &amp; Willis, T.J. (2003) Canonical analysis of principal coordinates: a useful method of constrained ordination for ecology.</w:t>
      </w:r>
      <w:r>
        <w:t xml:space="preserve"> </w:t>
      </w:r>
      <w:r>
        <w:rPr>
          <w:iCs/>
          <w:i/>
        </w:rPr>
        <w:t xml:space="preserve">Ecology</w:t>
      </w:r>
      <w:r>
        <w:t xml:space="preserve">, 84, 511–525.</w:t>
      </w:r>
    </w:p>
    <w:p>
      <w:pPr>
        <w:pStyle w:val="BodyText"/>
      </w:pPr>
      <w:r>
        <w:t xml:space="preserve">Brooks, M.E., Kristensen, K., van Benthem, K.J., Magnusson, A., Berg, C.W., Nielsen, A., Skaug, H.J., Mächler, M. &amp; Bolker, B.M. (2017) glmmTMB balances speed and flexibility among packages for zero-inflated generalized linear mixed modeling.</w:t>
      </w:r>
      <w:r>
        <w:t xml:space="preserve"> </w:t>
      </w:r>
      <w:r>
        <w:rPr>
          <w:iCs/>
          <w:i/>
        </w:rPr>
        <w:t xml:space="preserve">The R Journal</w:t>
      </w:r>
      <w:r>
        <w:t xml:space="preserve">, 9, 378–400.</w:t>
      </w:r>
    </w:p>
    <w:p>
      <w:pPr>
        <w:pStyle w:val="BodyText"/>
      </w:pPr>
      <w:r>
        <w:t xml:space="preserve">Cailliez, F. (1983) The analytical solution of the additive constant problem.</w:t>
      </w:r>
      <w:r>
        <w:t xml:space="preserve"> </w:t>
      </w:r>
      <w:r>
        <w:rPr>
          <w:iCs/>
          <w:i/>
        </w:rPr>
        <w:t xml:space="preserve">Psychometrika</w:t>
      </w:r>
      <w:r>
        <w:t xml:space="preserve">, 48, 305–308.</w:t>
      </w:r>
    </w:p>
    <w:p>
      <w:pPr>
        <w:pStyle w:val="BodyText"/>
      </w:pPr>
      <w:r>
        <w:t xml:space="preserve">Edgar, G.J. &amp; Stuart-Smith, R.D. (2014) Systematic global assessment of reef fish communities by the Reef Life Survey program.</w:t>
      </w:r>
      <w:r>
        <w:t xml:space="preserve"> </w:t>
      </w:r>
      <w:r>
        <w:rPr>
          <w:iCs/>
          <w:i/>
        </w:rPr>
        <w:t xml:space="preserve">Scientific Data</w:t>
      </w:r>
      <w:r>
        <w:t xml:space="preserve">, 1, 140007.</w:t>
      </w:r>
    </w:p>
    <w:p>
      <w:pPr>
        <w:pStyle w:val="BodyText"/>
      </w:pPr>
      <w:r>
        <w:t xml:space="preserve">Hartig, F. (2024) DHARMa: residual diagnostics for hierarchical (multi-level/mixed) regression models. R package [version].</w:t>
      </w:r>
    </w:p>
    <w:p>
      <w:pPr>
        <w:pStyle w:val="BodyText"/>
      </w:pPr>
      <w:r>
        <w:t xml:space="preserve">Legendre, P. &amp; Anderson, M.J. (1999) Distance-based redundancy analysis: testing multispecies responses in multifactorial ecological experiments.</w:t>
      </w:r>
      <w:r>
        <w:t xml:space="preserve"> </w:t>
      </w:r>
      <w:r>
        <w:rPr>
          <w:iCs/>
          <w:i/>
        </w:rPr>
        <w:t xml:space="preserve">Ecological Monographs</w:t>
      </w:r>
      <w:r>
        <w:t xml:space="preserve">, 69, 1–24.</w:t>
      </w:r>
    </w:p>
    <w:p>
      <w:pPr>
        <w:pStyle w:val="BodyText"/>
      </w:pPr>
      <w:r>
        <w:t xml:space="preserve">Lenth, R.V. (2025) emmeans: estimated marginal means, aka least-squares means. R package [version].</w:t>
      </w:r>
    </w:p>
    <w:p>
      <w:pPr>
        <w:pStyle w:val="BodyText"/>
      </w:pPr>
      <w:r>
        <w:t xml:space="preserve">Lingoes, J.C. (1971) Some boundary conditions for a monotone analysis of symmetric matrices.</w:t>
      </w:r>
      <w:r>
        <w:t xml:space="preserve"> </w:t>
      </w:r>
      <w:r>
        <w:rPr>
          <w:iCs/>
          <w:i/>
        </w:rPr>
        <w:t xml:space="preserve">Psychometrika</w:t>
      </w:r>
      <w:r>
        <w:t xml:space="preserve">, 36, 195–203.</w:t>
      </w:r>
    </w:p>
    <w:p>
      <w:pPr>
        <w:pStyle w:val="BodyText"/>
      </w:pPr>
      <w:r>
        <w:t xml:space="preserve">Oksanen, J. et al. (2025) vegan: community ecology package. R package version 2.7-2.</w:t>
      </w:r>
    </w:p>
    <w:p>
      <w:pPr>
        <w:pStyle w:val="BodyText"/>
      </w:pPr>
      <w:r>
        <w:t xml:space="preserve">Phipson, B. &amp; Smyth, G.K. (2010) Permutation P-values should never be zero: calculating exact P-values when permutations are randomly drawn.</w:t>
      </w:r>
      <w:r>
        <w:t xml:space="preserve"> </w:t>
      </w:r>
      <w:r>
        <w:rPr>
          <w:iCs/>
          <w:i/>
        </w:rPr>
        <w:t xml:space="preserve">Statistical Applications in Genetics and Molecular Biology</w:t>
      </w:r>
      <w:r>
        <w:t xml:space="preserve">, 9, Article 39.</w:t>
      </w:r>
    </w:p>
    <w:p>
      <w:pPr>
        <w:pStyle w:val="BodyText"/>
      </w:pPr>
      <w:r>
        <w:t xml:space="preserve">R Core Team (2024)</w:t>
      </w:r>
      <w:r>
        <w:t xml:space="preserve"> </w:t>
      </w:r>
      <w:r>
        <w:rPr>
          <w:iCs/>
          <w:i/>
        </w:rPr>
        <w:t xml:space="preserve">R: A Language and Environment for Statistical Computing</w:t>
      </w:r>
      <w:r>
        <w:t xml:space="preserve">. R Foundation for Statistical Computing, Vienna, Austria.</w:t>
      </w:r>
    </w:p>
    <w:p>
      <w:pPr>
        <w:pStyle w:val="BodyText"/>
      </w:pPr>
      <w:r>
        <w:t xml:space="preserve">Searle, S.R., Speed, F.M. &amp; Milliken, G.A. (1980) Population marginal means in the linear model: an alternative to least squares means.</w:t>
      </w:r>
      <w:r>
        <w:t xml:space="preserve"> </w:t>
      </w:r>
      <w:r>
        <w:rPr>
          <w:iCs/>
          <w:i/>
        </w:rPr>
        <w:t xml:space="preserve">The American Statistician</w:t>
      </w:r>
      <w:r>
        <w:t xml:space="preserve">, 34, 216–221.</w:t>
      </w:r>
    </w:p>
    <w:p>
      <w:pPr>
        <w:pStyle w:val="BodyText"/>
      </w:pPr>
      <w:r>
        <w:t xml:space="preserve">Shannon, C.E. (1948) A mathematical theory of communication.</w:t>
      </w:r>
      <w:r>
        <w:t xml:space="preserve"> </w:t>
      </w:r>
      <w:r>
        <w:rPr>
          <w:iCs/>
          <w:i/>
        </w:rPr>
        <w:t xml:space="preserve">Bell System Technical Journal</w:t>
      </w:r>
      <w:r>
        <w:t xml:space="preserve">, 27, 379–423.</w:t>
      </w:r>
    </w:p>
    <w:p>
      <w:pPr>
        <w:pStyle w:val="BodyText"/>
      </w:pPr>
      <w:r>
        <w:t xml:space="preserve">Tweedie, M.C.K. (1984) An index which distinguishes between some important exponential families. In:</w:t>
      </w:r>
      <w:r>
        <w:t xml:space="preserve"> </w:t>
      </w:r>
      <w:r>
        <w:rPr>
          <w:iCs/>
          <w:i/>
        </w:rPr>
        <w:t xml:space="preserve">Statistics: Applications and New Directions. Proceedings of the Indian Statistical Institute Golden Jubilee International Conference</w:t>
      </w:r>
      <w:r>
        <w:t xml:space="preserve"> </w:t>
      </w:r>
      <w:r>
        <w:t xml:space="preserve">(eds J.K. Ghosh &amp; J. Roy), pp. 579–604. Indian Statistical Institute, Calcutta.</w:t>
      </w:r>
    </w:p>
    <w:p>
      <w:pPr>
        <w:pStyle w:val="BodyText"/>
      </w:pPr>
      <w:r>
        <w:t xml:space="preserve">Wickham, H. et al. (2019) Welcome to the tidyverse.</w:t>
      </w:r>
      <w:r>
        <w:t xml:space="preserve"> </w:t>
      </w:r>
      <w:r>
        <w:rPr>
          <w:iCs/>
          <w:i/>
        </w:rPr>
        <w:t xml:space="preserve">Journal of Open Source Software</w:t>
      </w:r>
      <w:r>
        <w:t xml:space="preserve">, 4, 1686.</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Reef Life Survey analysis of the South Australian harmful algal bloom</dc:title>
  <dc:creator/>
  <cp:keywords/>
  <dcterms:created xsi:type="dcterms:W3CDTF">2026-09-16T04:53:18Z</dcterms:created>
  <dcterms:modified xsi:type="dcterms:W3CDTF">2026-09-16T04:53:18Z</dcterms:modified>
</cp:coreProperties>
</file>

<file path=docProps/custom.xml><?xml version="1.0" encoding="utf-8"?>
<Properties xmlns="http://schemas.openxmlformats.org/officeDocument/2006/custom-properties" xmlns:vt="http://schemas.openxmlformats.org/officeDocument/2006/docPropsVTypes"/>
</file>