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DE98"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 xml:space="preserve"> C) Uniform rules, like those established by the United Nations Convention on Contracts for the International Sale of Goods (CISG), are crucial for international sales because they reduce legal uncertainty, facilitate trade, and promote stability in global commerce. They provide a consistent framework for interpreting contracts and resolving disputes, fostering trust between businesses across different countries. </w:t>
      </w:r>
    </w:p>
    <w:p w14:paraId="01234EA1"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 xml:space="preserve"> the importance of uniform rules:</w:t>
      </w:r>
    </w:p>
    <w:p w14:paraId="428C2F0F"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1. Reduced Legal Uncertainty:</w:t>
      </w:r>
    </w:p>
    <w:p w14:paraId="16F6319D"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Clear Rules:</w:t>
      </w:r>
    </w:p>
    <w:p w14:paraId="7DDA06D5"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Uniform rules define the rights and obligations of buyers and sellers in international sales contracts, minimizing ambiguities and misunderstandings.</w:t>
      </w:r>
    </w:p>
    <w:p w14:paraId="30451F6D"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Predictability:</w:t>
      </w:r>
    </w:p>
    <w:p w14:paraId="66D370C9"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Sellers can rely on the rules to understand their obligations when selling to buyers in different countries, and buyers can confidently purchase goods knowing the legal framework governing the transaction.</w:t>
      </w:r>
    </w:p>
    <w:p w14:paraId="589AC734"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Reduced Litigation:</w:t>
      </w:r>
    </w:p>
    <w:p w14:paraId="44D8FD37"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 xml:space="preserve">Clear and consistent rules can help prevent disputes, as both parties understand their rights and obligations from the outset. </w:t>
      </w:r>
    </w:p>
    <w:p w14:paraId="53771353"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2. Facilitation of International Trade:</w:t>
      </w:r>
    </w:p>
    <w:p w14:paraId="1A2D4A05"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Reduced Barriers:</w:t>
      </w:r>
    </w:p>
    <w:p w14:paraId="567D66C0"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Uniform rules can help eliminate legal trade barriers that arise from differing national laws and customs, making it easier for businesses to engage in cross-border transactions.</w:t>
      </w:r>
    </w:p>
    <w:p w14:paraId="23DBB1C9"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Increased Trade Confidence:</w:t>
      </w:r>
    </w:p>
    <w:p w14:paraId="3E404449"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A predictable and consistent legal framework can boost the confidence of businesses in international trade, encouraging them to explore new markets and opportunities.</w:t>
      </w:r>
    </w:p>
    <w:p w14:paraId="42887D4F"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lastRenderedPageBreak/>
        <w:t>3. Promotion of Stability:</w:t>
      </w:r>
    </w:p>
    <w:p w14:paraId="093C22E8"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Stronger Economic Relationships: Uniform rules can contribute to the development of stronger economic relationships between countries by fostering trust and predictability in international trade.</w:t>
      </w:r>
    </w:p>
    <w:p w14:paraId="6313E4A3"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4.Improved Dispute Resolution:</w:t>
      </w:r>
    </w:p>
    <w:p w14:paraId="0D373090"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Clear and consistent rules can facilitate the resolution of disputes through arbitration or other mechanisms, ensuring a fair and efficient outcome for all parties involved.</w:t>
      </w:r>
    </w:p>
    <w:p w14:paraId="194EB4A5"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Fostering International Trade and Economic Growth:</w:t>
      </w:r>
    </w:p>
    <w:p w14:paraId="7B74D77C"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Lowering Barriers to Entry: By reducing the legal complexities and costs, uniform rules make it easier for businesses, especially small and medium-sized enterprises (SMEs), to engage in cross-border transactions. This opens up new markets and opportunities.</w:t>
      </w:r>
    </w:p>
    <w:p w14:paraId="4C7B9D11"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5. Addressing Gaps and Providing Default Rules:</w:t>
      </w:r>
    </w:p>
    <w:p w14:paraId="3D457A1B" w14:textId="77777777" w:rsidR="002808BE" w:rsidRPr="00152E5F" w:rsidRDefault="00000000" w:rsidP="00152E5F">
      <w:pPr>
        <w:spacing w:line="360" w:lineRule="auto"/>
        <w:jc w:val="both"/>
        <w:rPr>
          <w:rFonts w:ascii="Times New Roman" w:hAnsi="Times New Roman"/>
          <w:sz w:val="24"/>
          <w:szCs w:val="24"/>
        </w:rPr>
      </w:pPr>
      <w:r w:rsidRPr="00152E5F">
        <w:rPr>
          <w:rFonts w:ascii="Times New Roman" w:hAnsi="Times New Roman"/>
          <w:sz w:val="24"/>
          <w:szCs w:val="24"/>
        </w:rPr>
        <w:t>Comprehensive Coverage: While not exhaustive, uniform instruments like the CISG cover key aspects of international sales contracts, including contract formation, obligations of the buyer and seller, remedies for breach, and risk of loss.</w:t>
      </w:r>
    </w:p>
    <w:p w14:paraId="2D6A2AFC" w14:textId="77777777" w:rsidR="002808BE" w:rsidRPr="00152E5F" w:rsidRDefault="002808BE" w:rsidP="00152E5F">
      <w:pPr>
        <w:spacing w:line="360" w:lineRule="auto"/>
        <w:jc w:val="both"/>
        <w:rPr>
          <w:rFonts w:ascii="Times New Roman" w:hAnsi="Times New Roman"/>
          <w:sz w:val="24"/>
          <w:szCs w:val="24"/>
        </w:rPr>
      </w:pPr>
    </w:p>
    <w:p w14:paraId="5CFFE2D5" w14:textId="77777777" w:rsidR="002808BE" w:rsidRPr="00152E5F" w:rsidRDefault="002808BE" w:rsidP="00152E5F">
      <w:pPr>
        <w:spacing w:line="360" w:lineRule="auto"/>
        <w:jc w:val="both"/>
        <w:rPr>
          <w:rFonts w:ascii="Times New Roman" w:hAnsi="Times New Roman"/>
          <w:sz w:val="24"/>
          <w:szCs w:val="24"/>
        </w:rPr>
      </w:pPr>
    </w:p>
    <w:sectPr w:rsidR="002808BE" w:rsidRPr="00152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08BE"/>
    <w:rsid w:val="00152E5F"/>
    <w:rsid w:val="002808BE"/>
    <w:rsid w:val="00463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13680"/>
  <w15:docId w15:val="{46349B85-B51F-4326-AA83-2ED6F10D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SM-A055F</dc:creator>
  <cp:lastModifiedBy>Ibrahim jafary</cp:lastModifiedBy>
  <cp:revision>2</cp:revision>
  <dcterms:created xsi:type="dcterms:W3CDTF">2025-06-06T11:59:00Z</dcterms:created>
  <dcterms:modified xsi:type="dcterms:W3CDTF">2025-06-06T14:10:00Z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bd0790352a8545c493a4537b90dd0448</vt:lpwstr>
  </property>
</Properties>
</file>