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Inter" w:hAnsi="Inter"/>
          <w:b/>
          <w:color w:val="0F172A"/>
          <w:sz w:val="46"/>
        </w:rPr>
        <w:t>Diagrama de Flujo del Sistema &amp; Catálogo de Módulos (MVP)</w:t>
      </w:r>
    </w:p>
    <w:p>
      <w:pPr>
        <w:spacing w:line="300" w:lineRule="auto" w:after="80" w:before="0"/>
      </w:pPr>
      <w:r>
        <w:rPr>
          <w:rFonts w:ascii="Inter" w:hAnsi="Inter"/>
          <w:b/>
          <w:color w:val="0F172A"/>
          <w:sz w:val="20"/>
        </w:rPr>
        <w:t>Tombstone Hats MES · Control de Planta &amp; Trazabilidad</w:t>
      </w:r>
    </w:p>
    <w:p>
      <w:pPr>
        <w:spacing w:line="300" w:lineRule="auto" w:after="80" w:before="0"/>
      </w:pPr>
      <w:r>
        <w:rPr>
          <w:rFonts w:ascii="Inter" w:hAnsi="Inter"/>
          <w:b w:val="0"/>
          <w:i/>
          <w:color w:val="334155"/>
          <w:sz w:val="20"/>
        </w:rPr>
        <w:t>Documento Oficial de Procesos, Flujo por Rol y Arquitectura Modular.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30" w:type="dxa"/>
              <w:bottom w:w="13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Inter" w:hAnsi="Inter"/>
                <w:b/>
                <w:color w:val="0F172A"/>
                <w:sz w:val="19"/>
              </w:rPr>
              <w:t>Fecha:</w:t>
            </w:r>
            <w:r>
              <w:rPr>
                <w:rFonts w:ascii="Inter" w:hAnsi="Inter"/>
                <w:b w:val="0"/>
                <w:color w:val="334155"/>
                <w:sz w:val="19"/>
              </w:rPr>
              <w:t xml:space="preserve"> 7 de Octubre de 2026</w:t>
            </w:r>
            <w:r>
              <w:br/>
            </w:r>
            <w:r>
              <w:rPr>
                <w:rFonts w:ascii="Inter" w:hAnsi="Inter"/>
                <w:b/>
                <w:color w:val="0F172A"/>
                <w:sz w:val="19"/>
              </w:rPr>
              <w:t>Cliente:</w:t>
            </w:r>
            <w:r>
              <w:rPr>
                <w:rFonts w:ascii="Inter" w:hAnsi="Inter"/>
                <w:b w:val="0"/>
                <w:color w:val="334155"/>
                <w:sz w:val="19"/>
              </w:rPr>
              <w:t xml:space="preserve"> Tombstone Hats (San Francisco del Rincón, Guanajuato)</w:t>
            </w:r>
            <w:r>
              <w:br/>
            </w:r>
            <w:r>
              <w:rPr>
                <w:rFonts w:ascii="Inter" w:hAnsi="Inter"/>
                <w:b/>
                <w:color w:val="0F172A"/>
                <w:sz w:val="19"/>
              </w:rPr>
              <w:t>Líder de Proyecto:</w:t>
            </w:r>
            <w:r>
              <w:rPr>
                <w:rFonts w:ascii="Inter" w:hAnsi="Inter"/>
                <w:b w:val="0"/>
                <w:color w:val="334155"/>
                <w:sz w:val="19"/>
              </w:rPr>
              <w:t xml:space="preserve"> Andrés Villanueva (Uanify)</w:t>
            </w:r>
            <w:r/>
          </w:p>
        </w:tc>
      </w:tr>
    </w:tbl>
    <w:p>
      <w:pPr>
        <w:spacing w:after="120"/>
      </w:pPr>
    </w:p>
    <w:p>
      <w:pPr>
        <w:spacing w:before="80" w:after="160"/>
        <w:pBdr>
          <w:bottom w:val="single" w:sz="6" w:space="8" w:color="CBD5E1"/>
        </w:pBdr>
      </w:pPr>
    </w:p>
    <w:p>
      <w:pPr>
        <w:keepNext/>
        <w:spacing w:before="320" w:after="80"/>
      </w:pPr>
      <w:r>
        <w:rPr>
          <w:rFonts w:ascii="Inter" w:hAnsi="Inter"/>
          <w:b/>
          <w:color w:val="0F172A"/>
          <w:sz w:val="28"/>
        </w:rPr>
        <w:t>1. Diagrama de Flujo General del Sistema (End-to-End)</w:t>
      </w:r>
    </w:p>
    <w:p>
      <w:pPr>
        <w:spacing w:line="300" w:lineRule="auto" w:after="80" w:before="0"/>
      </w:pPr>
      <w:r>
        <w:rPr>
          <w:rFonts w:ascii="Inter" w:hAnsi="Inter"/>
          <w:b w:val="0"/>
          <w:color w:val="334155"/>
          <w:sz w:val="20"/>
        </w:rPr>
        <w:t>El siguiente diagrama modela el flujo físico y digital exacto de la nave industrial: el nacimiento del lote en Prensas tras la unión de copa y falda, el tránsito por las 6 tablets de piso (T1 a T6), los 5 puntos de inspección de calidad (C1 a C5) con retorno a reproceso, y las conexiones de lectura y escritura con CONTPAQi Comercial: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graph TD</w:t>
              <w:br/>
              <w:t xml:space="preserve">    classDef contpaq fill:#0F172A,stroke:#334155,stroke-width:2px,color:#FFFFFF,font-weight:bold;</w:t>
              <w:br/>
              <w:t xml:space="preserve">    classDef proc fill:#1E293B,stroke:#0F172A,stroke-width:2px,color:#FFFFFF;</w:t>
              <w:br/>
              <w:t xml:space="preserve">    classDef t1 fill:#1E3A8A,stroke:#3B82F6,stroke-width:2px,color:#FFFFFF;</w:t>
              <w:br/>
              <w:t xml:space="preserve">    classDef t2 fill:#7C2D12,stroke:#EA580C,stroke-width:2px,color:#FFFFFF;</w:t>
              <w:br/>
              <w:t xml:space="preserve">    classDef t3 fill:#064E3B,stroke:#10B981,stroke-width:2px,color:#FFFFFF;</w:t>
              <w:br/>
              <w:t xml:space="preserve">    classDef t4 fill:#1E293B,stroke:#64748B,stroke-width:2px,color:#FFFFFF;</w:t>
              <w:br/>
              <w:t xml:space="preserve">    classDef t5 fill:#831843,stroke:#EC4899,stroke-width:2px,color:#FFFFFF;</w:t>
              <w:br/>
              <w:t xml:space="preserve">    classDef t6 fill:#14532D,stroke:#22C55E,stroke-width:2px,color:#FFFFFF;</w:t>
              <w:br/>
              <w:t xml:space="preserve">    classDef qual fill:#78350F,stroke:#F59E0B,stroke-width:2px,color:#FFFFFF,font-weight:bold;</w:t>
              <w:br/>
              <w:br/>
              <w:t xml:space="preserve">    CONT_IN["CONTPAQi Comercial\nPedido, lista de materiales y costos"]:::contpaq</w:t>
              <w:br/>
              <w:t xml:space="preserve">    PROG["Programación (Ingeniería)\nOrden, fecha compromiso y tarjetas QR"]:::proc</w:t>
              <w:br/>
              <w:t xml:space="preserve">    CONT_IN --&gt;|Lectura SQL| PROG</w:t>
              <w:br/>
              <w:br/>
              <w:t xml:space="preserve">    PREP["Corte, Endopado y Entallado\nCopa y falda por separado (sin lote)"]:::proc</w:t>
              <w:br/>
              <w:t xml:space="preserve">    ALM_MP["Almacén Materia Prima\nSalida de material cargada a la orden"]:::proc</w:t>
              <w:br/>
              <w:t xml:space="preserve">    PROG --&gt; PREP</w:t>
              <w:br/>
              <w:t xml:space="preserve">    ALM_MP -.-&gt;|KPI Costo Materiales| PREP</w:t>
              <w:br/>
              <w:br/>
              <w:t xml:space="preserve">    C1{"C1 · Revisión de Cuadros"}:::qual</w:t>
              <w:br/>
              <w:t xml:space="preserve">    PREP --&gt; C1</w:t>
              <w:br/>
              <w:t xml:space="preserve">    C1 --&gt;|Pasa| D02["T1 · Prensas\nUnión copa-falda: Nace lote de 60"]:::t1</w:t>
              <w:br/>
              <w:t xml:space="preserve">    C1 -.-&gt;|No pasa| DEF_C1["Cuadros con defecto\n(Descuenta material)"]:::proc</w:t>
              <w:br/>
              <w:br/>
              <w:t xml:space="preserve">    D05["T1 · Alambrado\nRecorte de falda, alambrado y costura"]:::t1</w:t>
              <w:br/>
              <w:t xml:space="preserve">    D02 --&gt; D05</w:t>
              <w:br/>
              <w:br/>
              <w:t xml:space="preserve">    D03["T2 · Endopado\nBaño con alambre"]:::t2</w:t>
              <w:br/>
              <w:t xml:space="preserve">    D05 --&gt; D03</w:t>
              <w:br/>
              <w:br/>
              <w:t xml:space="preserve">    D06_REF["T3 · Pintura - Refuerzo\nRefuerzo a pistola"]:::t3</w:t>
              <w:br/>
              <w:t xml:space="preserve">    D03 --&gt; D06_REF</w:t>
              <w:br/>
              <w:br/>
              <w:t xml:space="preserve">    C2{"C2 · Calidad Refuerzo"}:::qual</w:t>
              <w:br/>
              <w:t xml:space="preserve">    D06_REF --&gt; C2</w:t>
              <w:br/>
              <w:t xml:space="preserve">    C2 --&gt;|Pasa| D07_REP["T1 · Prensas - Replanchado\nReplanchado con alambre"]:::t1</w:t>
              <w:br/>
              <w:t xml:space="preserve">    C2 -.-&gt;|No pasa - Reproceso| D06_REF</w:t>
              <w:br/>
              <w:br/>
              <w:t xml:space="preserve">    D06_PIN["T3 · Pintura\nPintura del sombrero"]:::t3</w:t>
              <w:br/>
              <w:t xml:space="preserve">    D07_REP --&gt; D06_PIN</w:t>
              <w:br/>
              <w:br/>
              <w:t xml:space="preserve">    C3{"C3 · Calidad Pintura"}:::qual</w:t>
              <w:br/>
              <w:t xml:space="preserve">    D06_PIN --&gt; C3</w:t>
              <w:br/>
              <w:t xml:space="preserve">    C3 --&gt;|Pasa| D06_BRI["T3 · Pintura - Brillo\nAcabado de brillo"]:::t3</w:t>
              <w:br/>
              <w:t xml:space="preserve">    C3 -.-&gt;|No pasa - Reproceso| D06_PIN</w:t>
              <w:br/>
              <w:br/>
              <w:t xml:space="preserve">    D07_ALI["T4 · Hidráulicas - Alineado\nSe divide en sublotes de 15 piezas"]:::t4</w:t>
              <w:br/>
              <w:t xml:space="preserve">    D06_BRI --&gt; D07_ALI</w:t>
              <w:br/>
              <w:br/>
              <w:t xml:space="preserve">    C4{"C4 · Calidad Hidráulicas"}:::qual</w:t>
              <w:br/>
              <w:t xml:space="preserve">    D07_ALI --&gt; C4</w:t>
              <w:br/>
              <w:t xml:space="preserve">    C4 --&gt;|Pasa| D08["T1 · Prensas - Refaldeo\nFigura final de la falda"]:::t1</w:t>
              <w:br/>
              <w:t xml:space="preserve">    C4 -.-&gt;|No pasa - Reproceso| D07_ALI</w:t>
              <w:br/>
              <w:br/>
              <w:t xml:space="preserve">    D09["T4 · Pre-adorno\nPerforado y pegado de tafilete"]:::t4</w:t>
              <w:br/>
              <w:t xml:space="preserve">    D08 --&gt; D09</w:t>
              <w:br/>
              <w:br/>
              <w:t xml:space="preserve">    SUB_BUF["T5 · Tafilete y Toquilla\nSemáforo de disponibilidad por talla"]:::t5</w:t>
              <w:br/>
              <w:t xml:space="preserve">    D10["T6 · Adorno\nEtiquetas, parche y toquilla"]:::t6</w:t>
              <w:br/>
              <w:t xml:space="preserve">    D09 --&gt; D10</w:t>
              <w:br/>
              <w:t xml:space="preserve">    SUB_BUF -.-&gt;|Disponibilidad| D10</w:t>
              <w:br/>
              <w:br/>
              <w:t xml:space="preserve">    C5{"C5 · Calidad Final"}:::qual</w:t>
              <w:br/>
              <w:t xml:space="preserve">    D10 --&gt; C5</w:t>
              <w:br/>
              <w:t xml:space="preserve">    C5 -.-&gt;|No pasa - Reproceso| D10</w:t>
              <w:br/>
              <w:br/>
              <w:t xml:space="preserve">    LIB["T6 · Producto Liberado y Entrega\nEmbarque registra la entrega al cliente"]:::t6</w:t>
              <w:br/>
              <w:t xml:space="preserve">    C5 --&gt;|Pasa| LIB</w:t>
              <w:br/>
              <w:br/>
              <w:t xml:space="preserve">    CONT_OUT["CONTPAQi Comercial\nEntrada de producto terminado\nSalida que descuenta el pedido"]:::contpaq</w:t>
              <w:br/>
              <w:t xml:space="preserve">    LIB --&gt;|Escritura SQL| CONT_OUT</w:t>
            </w:r>
          </w:p>
        </w:tc>
      </w:tr>
    </w:tbl>
    <w:p>
      <w:pPr>
        <w:spacing w:after="80"/>
      </w:pPr>
    </w:p>
    <w:p>
      <w:pPr>
        <w:spacing w:before="80" w:after="160"/>
        <w:pBdr>
          <w:bottom w:val="single" w:sz="6" w:space="8" w:color="CBD5E1"/>
        </w:pBdr>
      </w:pPr>
    </w:p>
    <w:p>
      <w:pPr>
        <w:keepNext/>
        <w:spacing w:before="320" w:after="80"/>
      </w:pPr>
      <w:r>
        <w:rPr>
          <w:rFonts w:ascii="Inter" w:hAnsi="Inter"/>
          <w:b/>
          <w:color w:val="0F172A"/>
          <w:sz w:val="28"/>
        </w:rPr>
        <w:t>2. Catálogo de Módulos y Funcionalidades del Sistema</w:t>
      </w:r>
    </w:p>
    <w:p>
      <w:pPr>
        <w:keepNext/>
        <w:spacing w:before="240" w:after="60"/>
      </w:pPr>
      <w:r>
        <w:rPr>
          <w:rFonts w:ascii="Inter" w:hAnsi="Inter"/>
          <w:b/>
          <w:color w:val="2563EB"/>
          <w:sz w:val="23"/>
        </w:rPr>
        <w:t>Módulo 1: Programación, Loteo e Impresión (Ingeniería Admin)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Ingesta de Órdenes:</w:t>
      </w:r>
      <w:r>
        <w:rPr>
          <w:rFonts w:ascii="Inter" w:hAnsi="Inter"/>
          <w:b w:val="0"/>
          <w:color w:val="334155"/>
          <w:sz w:val="20"/>
        </w:rPr>
        <w:t xml:space="preserve"> Lectura directa de pedidos y órdenes de producción desde Microsoft SQL Server de CONTPAQi Comercial.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Captura de Fecha Compromiso:</w:t>
      </w:r>
      <w:r>
        <w:rPr>
          <w:rFonts w:ascii="Inter" w:hAnsi="Inter"/>
          <w:b w:val="0"/>
          <w:color w:val="334155"/>
          <w:sz w:val="20"/>
        </w:rPr>
        <w:t xml:space="preserve"> Registro de la fecha límite acordada con el cliente para el cálculo del semáforo de tiempo de entrega.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Partición y Creación de Lotes:</w:t>
      </w:r>
      <w:r>
        <w:rPr>
          <w:rFonts w:ascii="Inter" w:hAnsi="Inter"/>
          <w:b w:val="0"/>
          <w:color w:val="334155"/>
          <w:sz w:val="20"/>
        </w:rPr>
        <w:t xml:space="preserve"> Definición de lotes madre (60 pzas) y número de sublotes según la planeación semanal.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Centro de Impresión de Tarjetas:</w:t>
      </w:r>
      <w:r>
        <w:rPr>
          <w:rFonts w:ascii="Inter" w:hAnsi="Inter"/>
          <w:b w:val="0"/>
          <w:color w:val="334155"/>
          <w:sz w:val="20"/>
        </w:rPr>
        <w:t xml:space="preserve"> Generación e impresión de tarjetas viajeras con códigos QR en hojas carta de oficina para recortar e introducir en fundas plásticas cosidas.</w:t>
      </w:r>
    </w:p>
    <w:p>
      <w:pPr>
        <w:keepNext/>
        <w:spacing w:before="240" w:after="60"/>
      </w:pPr>
      <w:r>
        <w:rPr>
          <w:rFonts w:ascii="Inter" w:hAnsi="Inter"/>
          <w:b/>
          <w:color w:val="2563EB"/>
          <w:sz w:val="23"/>
        </w:rPr>
        <w:t>Módulo 2: Monitoreo de Piso, WIP por Almacén y Tablero de 5 KPIs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WIP en Vivo por Departamento:</w:t>
      </w:r>
      <w:r>
        <w:rPr>
          <w:rFonts w:ascii="Inter" w:hAnsi="Inter"/>
          <w:b w:val="0"/>
          <w:color w:val="334155"/>
          <w:sz w:val="20"/>
        </w:rPr>
        <w:t xml:space="preserve"> Piezas activas depositadas en cada buffer esperando ser procesadas por la siguiente estación.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Piezas Producidas por Área:</w:t>
      </w:r>
      <w:r>
        <w:rPr>
          <w:rFonts w:ascii="Inter" w:hAnsi="Inter"/>
          <w:b w:val="0"/>
          <w:color w:val="334155"/>
          <w:sz w:val="20"/>
        </w:rPr>
        <w:t xml:space="preserve"> Conteo en tiempo real de unidades escaneadas de salida por estación, turno y fecha.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Consumo de Materiales vs. BOM:</w:t>
      </w:r>
      <w:r>
        <w:rPr>
          <w:rFonts w:ascii="Inter" w:hAnsi="Inter"/>
          <w:b w:val="0"/>
          <w:color w:val="334155"/>
          <w:sz w:val="20"/>
        </w:rPr>
        <w:t xml:space="preserve"> Comparativa entre la materia prima entregada por Almacén y el consumo estándar según la lista de materiales de CONTPAQi.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Mapeo de Reprocesos:</w:t>
      </w:r>
      <w:r>
        <w:rPr>
          <w:rFonts w:ascii="Inter" w:hAnsi="Inter"/>
          <w:b w:val="0"/>
          <w:color w:val="334155"/>
          <w:sz w:val="20"/>
        </w:rPr>
        <w:t xml:space="preserve"> Conteo de piezas rechazadas en los filtros C1 a C5 con registro de causa raíz y estación causante.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Tiempo de Entrega vs. Fecha Compromiso:</w:t>
      </w:r>
      <w:r>
        <w:rPr>
          <w:rFonts w:ascii="Inter" w:hAnsi="Inter"/>
          <w:b w:val="0"/>
          <w:color w:val="334155"/>
          <w:sz w:val="20"/>
        </w:rPr>
        <w:t xml:space="preserve"> Semáforo visual en el tablero (verde: a tiempo, amarillo: próximo a vencer, rojo: atrasado).</w:t>
      </w:r>
    </w:p>
    <w:p>
      <w:pPr>
        <w:keepNext/>
        <w:spacing w:before="240" w:after="60"/>
      </w:pPr>
      <w:r>
        <w:rPr>
          <w:rFonts w:ascii="Inter" w:hAnsi="Inter"/>
          <w:b/>
          <w:color w:val="2563EB"/>
          <w:sz w:val="23"/>
        </w:rPr>
        <w:t>Módulo 3: Terminal Táctil de Piso (Supervisores y Tablets T1 a T6)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Escaneo de Lotes:</w:t>
      </w:r>
      <w:r>
        <w:rPr>
          <w:rFonts w:ascii="Inter" w:hAnsi="Inter"/>
          <w:b w:val="0"/>
          <w:color w:val="334155"/>
          <w:sz w:val="20"/>
        </w:rPr>
        <w:t xml:space="preserve"> Identificación de tarjeta viajera mediante cámara de la tablet (Xiaomi Redmi Pad SE) o lector óptico industrial 2D (Opción B).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Registro de Depósito:</w:t>
      </w:r>
      <w:r>
        <w:rPr>
          <w:rFonts w:ascii="Inter" w:hAnsi="Inter"/>
          <w:b w:val="0"/>
          <w:color w:val="334155"/>
          <w:sz w:val="20"/>
        </w:rPr>
        <w:t xml:space="preserve"> Confirmación de depósito en el almacén intermedio correspondiente al concluir el trabajo en la estación.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División en Sublotes (T4):</w:t>
      </w:r>
      <w:r>
        <w:rPr>
          <w:rFonts w:ascii="Inter" w:hAnsi="Inter"/>
          <w:b w:val="0"/>
          <w:color w:val="334155"/>
          <w:sz w:val="20"/>
        </w:rPr>
        <w:t xml:space="preserve"> Función para archivar la tarjeta madre de 60 piezas y activar formalmente los códigos QR de los sublotes de 15 piezas.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Captura de Paros de Máquina:</w:t>
      </w:r>
      <w:r>
        <w:rPr>
          <w:rFonts w:ascii="Inter" w:hAnsi="Inter"/>
          <w:b w:val="0"/>
          <w:color w:val="334155"/>
          <w:sz w:val="20"/>
        </w:rPr>
        <w:t xml:space="preserve"> Registro ágil de paros productivos con motivo de catálogo táctil (cambio de horma, falla mecánica, falta de vapor, falta de material) y tiempos de detención.</w:t>
      </w:r>
    </w:p>
    <w:p>
      <w:pPr>
        <w:keepNext/>
        <w:spacing w:before="240" w:after="60"/>
      </w:pPr>
      <w:r>
        <w:rPr>
          <w:rFonts w:ascii="Inter" w:hAnsi="Inter"/>
          <w:b/>
          <w:color w:val="2563EB"/>
          <w:sz w:val="23"/>
        </w:rPr>
        <w:t>Módulo 4: Puntos de Control de Calidad e Inspección (Filtros C1 a C5)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Validación de Filtro:</w:t>
      </w:r>
      <w:r>
        <w:rPr>
          <w:rFonts w:ascii="Inter" w:hAnsi="Inter"/>
          <w:b w:val="0"/>
          <w:color w:val="334155"/>
          <w:sz w:val="20"/>
        </w:rPr>
        <w:t xml:space="preserve"> Inspección física por parte del Inspector de Calidad con dos opciones directas: Aprobar o Rechazar.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Resolución de Rechazos (Supervisor / Ingeniero de Calidad):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 w:val="0"/>
          <w:color w:val="334155"/>
          <w:sz w:val="20"/>
        </w:rPr>
        <w:t xml:space="preserve">Asignación manual de estación de retorno para </w:t>
      </w:r>
      <w:r>
        <w:rPr>
          <w:rFonts w:ascii="Inter" w:hAnsi="Inter"/>
          <w:b/>
          <w:color w:val="0F172A"/>
          <w:sz w:val="20"/>
        </w:rPr>
        <w:t>Reprocesos</w:t>
      </w:r>
      <w:r>
        <w:rPr>
          <w:rFonts w:ascii="Inter" w:hAnsi="Inter"/>
          <w:b w:val="0"/>
          <w:color w:val="334155"/>
          <w:sz w:val="20"/>
        </w:rPr>
        <w:t xml:space="preserve"> (C2 regresa a Refuerzo, C3 a Pintura, C4 a Alineado, C5 a Adorno).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 w:val="0"/>
          <w:color w:val="334155"/>
          <w:sz w:val="20"/>
        </w:rPr>
        <w:t xml:space="preserve">Captura de piezas y causa raíz para </w:t>
      </w:r>
      <w:r>
        <w:rPr>
          <w:rFonts w:ascii="Inter" w:hAnsi="Inter"/>
          <w:b/>
          <w:color w:val="0F172A"/>
          <w:sz w:val="20"/>
        </w:rPr>
        <w:t>Segundas</w:t>
      </w:r>
      <w:r>
        <w:rPr>
          <w:rFonts w:ascii="Inter" w:hAnsi="Inter"/>
          <w:b w:val="0"/>
          <w:color w:val="334155"/>
          <w:sz w:val="20"/>
        </w:rPr>
        <w:t xml:space="preserve"> (histórico para KPIs).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 w:val="0"/>
          <w:color w:val="334155"/>
          <w:sz w:val="20"/>
        </w:rPr>
        <w:t xml:space="preserve">Captura de piezas y motivo para </w:t>
      </w:r>
      <w:r>
        <w:rPr>
          <w:rFonts w:ascii="Inter" w:hAnsi="Inter"/>
          <w:b/>
          <w:color w:val="0F172A"/>
          <w:sz w:val="20"/>
        </w:rPr>
        <w:t>Mermas</w:t>
      </w:r>
      <w:r>
        <w:rPr>
          <w:rFonts w:ascii="Inter" w:hAnsi="Inter"/>
          <w:b w:val="0"/>
          <w:color w:val="334155"/>
          <w:sz w:val="20"/>
        </w:rPr>
        <w:t xml:space="preserve"> (histórico para KPIs).</w:t>
      </w:r>
    </w:p>
    <w:p>
      <w:pPr>
        <w:keepNext/>
        <w:spacing w:before="240" w:after="60"/>
      </w:pPr>
      <w:r>
        <w:rPr>
          <w:rFonts w:ascii="Inter" w:hAnsi="Inter"/>
          <w:b/>
          <w:color w:val="2563EB"/>
          <w:sz w:val="23"/>
        </w:rPr>
        <w:t>Módulo 5: Subensambles (T5) y Ficha Técnica Multiperspectiva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Semáforo de Buffer en Adorno:</w:t>
      </w:r>
      <w:r>
        <w:rPr>
          <w:rFonts w:ascii="Inter" w:hAnsi="Inter"/>
          <w:b w:val="0"/>
          <w:color w:val="334155"/>
          <w:sz w:val="20"/>
        </w:rPr>
        <w:t xml:space="preserve"> Monitoreo visual de disponibilidad de inventario intermedio en subensambles (Tafiletes y Toquillas) para evitar paros en Adorno.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Ficha Técnica Visual con Fotos Oficiales (AWS S3):</w:t>
      </w:r>
      <w:r>
        <w:rPr>
          <w:rFonts w:ascii="Inter" w:hAnsi="Inter"/>
          <w:b w:val="0"/>
          <w:color w:val="334155"/>
          <w:sz w:val="20"/>
        </w:rPr>
        <w:t xml:space="preserve"> Despliegue en pantalla de varias fotografías de la muestra oficial autorizada del sombrero en diferentes perspectivas (armado, doblado, toquilla, herraje) para comparación física en Adorno e Inspección Final.</w:t>
      </w:r>
    </w:p>
    <w:p>
      <w:pPr>
        <w:keepNext/>
        <w:spacing w:before="240" w:after="60"/>
      </w:pPr>
      <w:r>
        <w:rPr>
          <w:rFonts w:ascii="Inter" w:hAnsi="Inter"/>
          <w:b/>
          <w:color w:val="2563EB"/>
          <w:sz w:val="23"/>
        </w:rPr>
        <w:t>Módulo 6: Pre-Nómina de Destajo y Reportes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Cálculo de Destajo Semanal:</w:t>
      </w:r>
      <w:r>
        <w:rPr>
          <w:rFonts w:ascii="Inter" w:hAnsi="Inter"/>
          <w:b w:val="0"/>
          <w:color w:val="334155"/>
          <w:sz w:val="20"/>
        </w:rPr>
        <w:t xml:space="preserve"> Acumulado automático de piezas concluidas por operador con base en su tarifa fija ($/pza).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Exportación Administrativa:</w:t>
      </w:r>
      <w:r>
        <w:rPr>
          <w:rFonts w:ascii="Inter" w:hAnsi="Inter"/>
          <w:b w:val="0"/>
          <w:color w:val="334155"/>
          <w:sz w:val="20"/>
        </w:rPr>
        <w:t xml:space="preserve"> Descarga en un clic en formato nativo Microsoft Excel para conciliación de nómina.</w:t>
      </w:r>
    </w:p>
    <w:p>
      <w:pPr>
        <w:keepNext/>
        <w:spacing w:before="240" w:after="60"/>
      </w:pPr>
      <w:r>
        <w:rPr>
          <w:rFonts w:ascii="Inter" w:hAnsi="Inter"/>
          <w:b/>
          <w:color w:val="2563EB"/>
          <w:sz w:val="23"/>
        </w:rPr>
        <w:t>Módulo 7: Microservicio Puente CONTPAQi SQL Server</w:t>
      </w:r>
    </w:p>
    <w:p>
      <w:pPr>
        <w:pStyle w:val="ListBullet"/>
        <w:spacing w:before="0" w:after="60" w:line="300" w:lineRule="auto"/>
      </w:pPr>
      <w:r>
        <w:rPr>
          <w:rFonts w:ascii="Inter" w:hAnsi="Inter"/>
          <w:b/>
          <w:color w:val="0F172A"/>
          <w:sz w:val="20"/>
        </w:rPr>
        <w:t>Integración Local ($0 Licencias SDK):</w:t>
      </w:r>
      <w:r>
        <w:rPr>
          <w:rFonts w:ascii="Inter" w:hAnsi="Inter"/>
          <w:b w:val="0"/>
          <w:color w:val="334155"/>
          <w:sz w:val="20"/>
        </w:rPr>
        <w:t xml:space="preserve"> Vistas y Procedimientos Almacenados en Microsoft SQL Server dentro de red local para sincronizar catálogos, registrar entrada de producto terminado con el folio del lote MES en observaciones y descargar materia prima consumida.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color w:val="64748B"/>
        <w:sz w:val="17"/>
      </w:rPr>
      <w:t>Tombstone Hats MES · Uanify Software Industrial  |  Diagrama de Flujo del Sistema y Catálogo de Módulos (MVP)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