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  <w:t>﻿# Diagrama de Flujo del Sistema &amp; Catálogo de Módulos (MVP)</w:t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Tombstone Hats MES · Control de Planta &amp; Trazabilidad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Documento Oficial de Procesos, Flujo por Rol y Arquitectura Modular.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top w:val="none"/>
              <w:left w:val="single" w:sz="24" w:space="0" w:color="8B5E3C"/>
              <w:bottom w:val="none"/>
              <w:right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Versión:</w:t>
            </w:r>
            <w:r>
              <w:rPr>
                <w:rFonts w:ascii="Arial" w:hAnsi="Arial"/>
                <w:color w:val="1E293B"/>
                <w:sz w:val="19"/>
              </w:rPr>
              <w:t xml:space="preserve"> `v2.44.0`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Fecha:</w:t>
            </w:r>
            <w:r>
              <w:rPr>
                <w:rFonts w:ascii="Arial" w:hAnsi="Arial"/>
                <w:color w:val="1E293B"/>
                <w:sz w:val="19"/>
              </w:rPr>
              <w:t xml:space="preserve"> 7 de Octubre de 2026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Estado:</w:t>
            </w:r>
            <w:r>
              <w:rPr>
                <w:rFonts w:ascii="Arial" w:hAnsi="Arial"/>
                <w:color w:val="1E293B"/>
                <w:sz w:val="19"/>
              </w:rPr>
              <w:t xml:space="preserve"> Documento Oficial de Entrega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Cliente:</w:t>
            </w:r>
            <w:r>
              <w:rPr>
                <w:rFonts w:ascii="Arial" w:hAnsi="Arial"/>
                <w:color w:val="1E293B"/>
                <w:sz w:val="19"/>
              </w:rPr>
              <w:t xml:space="preserve"> Tombstone Hats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Proveedor:</w:t>
            </w:r>
            <w:r>
              <w:rPr>
                <w:rFonts w:ascii="Arial" w:hAnsi="Arial"/>
                <w:color w:val="1E293B"/>
                <w:sz w:val="19"/>
              </w:rPr>
              <w:t xml:space="preserve"> Uanify</w:t>
            </w:r>
            <w:r/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1. Diagrama de Flujo General del Sistema (End-to-End)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graph TD</w:t>
              <w:br/>
              <w:t xml:space="preserve">    classDef role fill:#1E293B,stroke:#0F172A,stroke-width:2px,color:#FFFFFF,font-weight:bold;</w:t>
              <w:br/>
              <w:t xml:space="preserve">    classDef proc fill:#F8FAFC,stroke:#8B5E3C,stroke-width:2px,color:#0F172A;</w:t>
              <w:br/>
              <w:t xml:space="preserve">    classDef alm fill:#FEF3C7,stroke:#D97706,stroke-width:2px,color:#92400E,font-weight:bold;</w:t>
              <w:br/>
              <w:t xml:space="preserve">    classDef check fill:#FEE2E2,stroke:#DC2626,stroke-width:2px,color:#991B1B,font-weight:bold;</w:t>
              <w:br/>
              <w:br/>
              <w:t xml:space="preserve">    subgraph ROL_ING["Ingeniero Admin (Programación &amp; Catálogos)"]</w:t>
              <w:br/>
              <w:t xml:space="preserve">        O1["Ingesta de Orden desde CONTPAQi SQL"]:::proc</w:t>
              <w:br/>
              <w:t xml:space="preserve">        O2["Definición de Lotes Madre (60) y Sublotes (15)"]:::proc</w:t>
              <w:br/>
              <w:t xml:space="preserve">        O3["Impresión In-App de Tarjetas Viajeras QR"]:::proc</w:t>
              <w:br/>
              <w:t xml:space="preserve">        O1 --&gt; O2 --&gt; O3</w:t>
              <w:br/>
              <w:t xml:space="preserve">    end</w:t>
              <w:br/>
              <w:br/>
              <w:t xml:space="preserve">    subgraph PISO_SUPERVISOR["Supervisor de Planta (Movimiento en Piso &amp; Rampa)"]</w:t>
              <w:br/>
              <w:t xml:space="preserve">        S1["Inicio en D-01 Corte / D-02 Prensas"]:::proc</w:t>
              <w:br/>
              <w:t xml:space="preserve">        S2["Depósito en Almacén Salida Prensas"]:::alm</w:t>
              <w:br/>
              <w:t xml:space="preserve">        S3["Fraccionamiento en Rampa (Modo Rampa Multi-QR)"]:::proc</w:t>
              <w:br/>
              <w:t xml:space="preserve">        S4["Depósito en Almacén Intermedio Siguiente"]:::alm</w:t>
              <w:br/>
              <w:t xml:space="preserve">        O3 -.-&gt; S1 --&gt; S2 --&gt; S3 --&gt; S4</w:t>
              <w:br/>
              <w:t xml:space="preserve">    end</w:t>
              <w:br/>
              <w:br/>
              <w:t xml:space="preserve">    subgraph FILTRO_CALIDAD["Inspector de Calidad &amp; Supervisor (Filtros de Inspección)"]</w:t>
              <w:br/>
              <w:t xml:space="preserve">        C1{"Inspección en Filtro Calidad"}:::check</w:t>
              <w:br/>
              <w:t xml:space="preserve">        C_OK["Aprobado: Continúa a Almacén Entrada"]:::alm</w:t>
              <w:br/>
              <w:t xml:space="preserve">        C_NOK["Rechazado: Inspector Marca No Conformidad"]:::check</w:t>
              <w:br/>
              <w:t xml:space="preserve">        C_DEC{"Decisión Supervisor / Ingeniero"}:::proc</w:t>
              <w:br/>
              <w:t xml:space="preserve">        C_REP["Reproceso:\nSelecciona Estación Anterior"]:::proc</w:t>
              <w:br/>
              <w:t xml:space="preserve">        C_SEG["Segunda:\nRegistro Histórico + Causa Raíz"]:::proc</w:t>
              <w:br/>
              <w:t xml:space="preserve">        C_MER["Merma:\nRegistro Pieza Descartada + Causa"]:::proc</w:t>
              <w:br/>
              <w:br/>
              <w:t xml:space="preserve">        S4 --&gt; C1</w:t>
              <w:br/>
              <w:t xml:space="preserve">        C1 --&gt;|Apto| C_OK</w:t>
              <w:br/>
              <w:t xml:space="preserve">        C1 --&gt;|Defecto| C_NOK --&gt; C_DEC</w:t>
              <w:br/>
              <w:t xml:space="preserve">        C_DEC --&gt;|Reprocesar| C_REP --&gt; S1</w:t>
              <w:br/>
              <w:t xml:space="preserve">        C_DEC --&gt;|Segunda| C_SEG --&gt; C_OK</w:t>
              <w:br/>
              <w:t xml:space="preserve">        C_DEC --&gt;|Merma| C_MER</w:t>
              <w:br/>
              <w:t xml:space="preserve">    end</w:t>
              <w:br/>
              <w:br/>
              <w:t xml:space="preserve">    subgraph CIERRE_CONTPAQ["Cierre de Lote &amp; Enlace CONTPAQi"]</w:t>
              <w:br/>
              <w:t xml:space="preserve">        END_DEP["Almacén Producto Terminado"]:::alm</w:t>
              <w:br/>
              <w:t xml:space="preserve">        SP_CONTPAQ["Descarga de Materia Prima en SQL\nIngreso PT con Folio de Lote MES"]:::proc</w:t>
              <w:br/>
              <w:t xml:space="preserve">        C_OK -.-&gt; END_DEP --&gt; SP_CONTPAQ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2. Catálogo de Módulos y Funcionalidades del Sistema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Módulo 1: Programación, Loteo e Impresión (Ingeniería Admin)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Ingesta de Órdenes:</w:t>
      </w:r>
      <w:r>
        <w:rPr>
          <w:rFonts w:ascii="Arial" w:hAnsi="Arial"/>
          <w:color w:val="1E293B"/>
          <w:sz w:val="20"/>
        </w:rPr>
        <w:t xml:space="preserve"> Lectura directa de órdenes de producción activas en la base de datos Microsoft SQL Server de CONTPAQi.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Partición y Creación de Lotes:</w:t>
      </w:r>
      <w:r>
        <w:rPr>
          <w:rFonts w:ascii="Arial" w:hAnsi="Arial"/>
          <w:color w:val="1E293B"/>
          <w:sz w:val="20"/>
        </w:rPr>
        <w:t xml:space="preserve"> Pantalla para programar el volumen de la orden, definiendo lotes madre y número de sublotes.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Centro de Impresión de Tarjetas:</w:t>
      </w:r>
      <w:r>
        <w:rPr>
          <w:rFonts w:ascii="Arial" w:hAnsi="Arial"/>
          <w:color w:val="1E293B"/>
          <w:sz w:val="20"/>
        </w:rPr>
        <w:t xml:space="preserve"> Generación de formatos estándar en papel carta listos para recortar e introducir en micas viajeras de piso con códigos QR.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Módulo 2: Monitoreo de Piso y WIP por Almacén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Avance Real vs. Programado:</w:t>
      </w:r>
      <w:r>
        <w:rPr>
          <w:rFonts w:ascii="Arial" w:hAnsi="Arial"/>
          <w:color w:val="1E293B"/>
          <w:sz w:val="20"/>
        </w:rPr>
        <w:t xml:space="preserve"> Medidor visual de piezas completadas frente a las requeridas por cada orden activa.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Mapa de Almacenes Intermedios:</w:t>
      </w:r>
      <w:r>
        <w:rPr>
          <w:rFonts w:ascii="Arial" w:hAnsi="Arial"/>
          <w:color w:val="1E293B"/>
          <w:sz w:val="20"/>
        </w:rPr>
        <w:t xml:space="preserve"> Visualización en tiempo real del inventario en proceso (WIP) depositado en cada buffer y almacén entre estaciones.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Bitácora Mínima del Lote:</w:t>
      </w:r>
      <w:r>
        <w:rPr>
          <w:rFonts w:ascii="Arial" w:hAnsi="Arial"/>
          <w:color w:val="1E293B"/>
          <w:sz w:val="20"/>
        </w:rPr>
        <w:t xml:space="preserve"> Consulta rápida del historial de movimientos, hora y usuario que depositó cada lote o sublote.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Módulo 3: Terminal Táctil de Piso (Supervisores)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Escaneo de Lotes:</w:t>
      </w:r>
      <w:r>
        <w:rPr>
          <w:rFonts w:ascii="Arial" w:hAnsi="Arial"/>
          <w:color w:val="1E293B"/>
          <w:sz w:val="20"/>
        </w:rPr>
        <w:t xml:space="preserve"> Identificación de tarjeta viajera mediante cámara integrada o lector óptico industrial.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Registro de Depósito:</w:t>
      </w:r>
      <w:r>
        <w:rPr>
          <w:rFonts w:ascii="Arial" w:hAnsi="Arial"/>
          <w:color w:val="1E293B"/>
          <w:sz w:val="20"/>
        </w:rPr>
        <w:t xml:space="preserve"> Confirmación de depósito en el almacén intermedio correspondiente.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Modo Rampa (Fraccionamiento Multi-QR):</w:t>
      </w:r>
      <w:r>
        <w:rPr>
          <w:rFonts w:ascii="Arial" w:hAnsi="Arial"/>
          <w:color w:val="1E293B"/>
          <w:sz w:val="20"/>
        </w:rPr>
        <w:t xml:space="preserve"> Escaneo en lote para desactivar la tarjeta madre y activar los códigos QR de los sublotes de 15 piezas.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Captura de Paros de Máquina:</w:t>
      </w:r>
      <w:r>
        <w:rPr>
          <w:rFonts w:ascii="Arial" w:hAnsi="Arial"/>
          <w:color w:val="1E293B"/>
          <w:sz w:val="20"/>
        </w:rPr>
        <w:t xml:space="preserve"> Registro de tiempo improductivo indicando operador, máquina y motivo de falla.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Módulo 4: Puntos de Control de Calidad e Inspección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Validación de Filtro:</w:t>
      </w:r>
      <w:r>
        <w:rPr>
          <w:rFonts w:ascii="Arial" w:hAnsi="Arial"/>
          <w:color w:val="1E293B"/>
          <w:sz w:val="20"/>
        </w:rPr>
        <w:t xml:space="preserve"> Aprobación o rechazo de piezas en los puntos oficiales de revisión.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Resolución de Rechazos (Supervisor / Ingeniero):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Asignación manual de estación de retorno para </w:t>
      </w:r>
      <w:r>
        <w:rPr>
          <w:rFonts w:ascii="Arial" w:hAnsi="Arial"/>
          <w:b/>
          <w:color w:val="0F172A"/>
          <w:sz w:val="20"/>
        </w:rPr>
        <w:t>Reprocesos</w:t>
      </w:r>
      <w:r>
        <w:rPr>
          <w:rFonts w:ascii="Arial" w:hAnsi="Arial"/>
          <w:color w:val="1E293B"/>
          <w:sz w:val="20"/>
        </w:rPr>
        <w:t>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Captura de piezas y causa raíz para </w:t>
      </w:r>
      <w:r>
        <w:rPr>
          <w:rFonts w:ascii="Arial" w:hAnsi="Arial"/>
          <w:b/>
          <w:color w:val="0F172A"/>
          <w:sz w:val="20"/>
        </w:rPr>
        <w:t>Segundas</w:t>
      </w:r>
      <w:r>
        <w:rPr>
          <w:rFonts w:ascii="Arial" w:hAnsi="Arial"/>
          <w:color w:val="1E293B"/>
          <w:sz w:val="20"/>
        </w:rPr>
        <w:t xml:space="preserve"> (histórico).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Captura de piezas y motivo para </w:t>
      </w:r>
      <w:r>
        <w:rPr>
          <w:rFonts w:ascii="Arial" w:hAnsi="Arial"/>
          <w:b/>
          <w:color w:val="0F172A"/>
          <w:sz w:val="20"/>
        </w:rPr>
        <w:t>Mermas</w:t>
      </w:r>
      <w:r>
        <w:rPr>
          <w:rFonts w:ascii="Arial" w:hAnsi="Arial"/>
          <w:color w:val="1E293B"/>
          <w:sz w:val="20"/>
        </w:rPr>
        <w:t xml:space="preserve"> (histórico).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Módulo 5: Pre-Nómina de Destajo y Reportes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Cálculo de Destajo Semanal:</w:t>
      </w:r>
      <w:r>
        <w:rPr>
          <w:rFonts w:ascii="Arial" w:hAnsi="Arial"/>
          <w:color w:val="1E293B"/>
          <w:sz w:val="20"/>
        </w:rPr>
        <w:t xml:space="preserve"> Conteo acumulado de piezas procesadas por cada operador fijo con su tarifa asignada ($/pza).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Exportación Administrativa:</w:t>
      </w:r>
      <w:r>
        <w:rPr>
          <w:rFonts w:ascii="Arial" w:hAnsi="Arial"/>
          <w:color w:val="1E293B"/>
          <w:sz w:val="20"/>
        </w:rPr>
        <w:t xml:space="preserve"> Descarga en un clic en formato Microsoft Excel para nómina.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Módulo 6: Microservicio Puente CONTPAQi SQL Server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Integración Local:</w:t>
      </w:r>
      <w:r>
        <w:rPr>
          <w:rFonts w:ascii="Arial" w:hAnsi="Arial"/>
          <w:color w:val="1E293B"/>
          <w:sz w:val="20"/>
        </w:rPr>
        <w:t xml:space="preserve"> Vistas y Stored Procedures en SQL Server para sincronizar catálogos, registrar salida de producto terminado con folio de lote MES y descontar consumos de materia prima.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Tombstone Hats MES ? Uanify Software Industrial  |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