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00" w:lineRule="auto" w:after="80" w:before="0"/>
      </w:pPr>
      <w:r>
        <w:rPr>
          <w:rFonts w:ascii="Arial" w:hAnsi="Arial"/>
          <w:color w:val="1E293B"/>
          <w:sz w:val="20"/>
        </w:rPr>
        <w:t>﻿# Propuesta Técnica y Arquitectura Operativa · MES Tombstone Hats (MVP)</w:t>
      </w:r>
    </w:p>
    <w:p>
      <w:pPr>
        <w:spacing w:line="300" w:lineRule="auto" w:after="8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0F172A"/>
          <w:sz w:val="20"/>
        </w:rPr>
        <w:t>Estrategia de Digitalización y Control de Manufactura · Uanify</w:t>
      </w:r>
      <w:r>
        <w:rPr>
          <w:rFonts w:ascii="Arial" w:hAnsi="Arial"/>
          <w:color w:val="1E293B"/>
          <w:sz w:val="20"/>
        </w:rPr>
      </w:r>
    </w:p>
    <w:p>
      <w:pPr>
        <w:spacing w:line="300" w:lineRule="auto" w:after="8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i/>
          <w:color w:val="1E293B"/>
          <w:sz w:val="20"/>
        </w:rPr>
        <w:t>Documento de Especificación de Alcance, Procesos de Piso y Modelo Operativo.</w:t>
      </w:r>
      <w:r>
        <w:rPr>
          <w:rFonts w:ascii="Arial" w:hAnsi="Arial"/>
          <w:color w:val="1E293B"/>
          <w:sz w:val="20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220" w:type="dxa"/>
              <w:right w:w="220" w:type="dxa"/>
            </w:tcMar>
            <w:tcBorders>
              <w:top w:val="none"/>
              <w:left w:val="single" w:sz="24" w:space="0" w:color="8B5E3C"/>
              <w:bottom w:val="none"/>
              <w:right w:val="none"/>
            </w:tcBorders>
          </w:tcPr>
          <w:p>
            <w:pPr>
              <w:spacing w:before="40" w:after="40" w:line="300" w:lineRule="auto"/>
            </w:pPr>
            <w:r>
              <w:rPr>
                <w:rFonts w:ascii="Arial" w:hAnsi="Arial"/>
                <w:color w:val="1E293B"/>
                <w:sz w:val="19"/>
              </w:rPr>
            </w:r>
            <w:r>
              <w:rPr>
                <w:rFonts w:ascii="Arial" w:hAnsi="Arial"/>
                <w:b/>
                <w:color w:val="0F172A"/>
                <w:sz w:val="19"/>
              </w:rPr>
              <w:t>Versión Oficial:</w:t>
            </w:r>
            <w:r>
              <w:rPr>
                <w:rFonts w:ascii="Arial" w:hAnsi="Arial"/>
                <w:color w:val="1E293B"/>
                <w:sz w:val="19"/>
              </w:rPr>
              <w:t xml:space="preserve"> `v2.44.0`</w:t>
            </w:r>
            <w:r>
              <w:br/>
            </w:r>
            <w:r>
              <w:rPr>
                <w:rFonts w:ascii="Arial" w:hAnsi="Arial"/>
                <w:color w:val="1E293B"/>
                <w:sz w:val="19"/>
              </w:rPr>
            </w:r>
            <w:r>
              <w:rPr>
                <w:rFonts w:ascii="Arial" w:hAnsi="Arial"/>
                <w:b/>
                <w:color w:val="0F172A"/>
                <w:sz w:val="19"/>
              </w:rPr>
              <w:t>Fecha:</w:t>
            </w:r>
            <w:r>
              <w:rPr>
                <w:rFonts w:ascii="Arial" w:hAnsi="Arial"/>
                <w:color w:val="1E293B"/>
                <w:sz w:val="19"/>
              </w:rPr>
              <w:t xml:space="preserve"> 7 de Octubre de 2026</w:t>
            </w:r>
            <w:r>
              <w:br/>
            </w:r>
            <w:r>
              <w:rPr>
                <w:rFonts w:ascii="Arial" w:hAnsi="Arial"/>
                <w:color w:val="1E293B"/>
                <w:sz w:val="19"/>
              </w:rPr>
            </w:r>
            <w:r>
              <w:rPr>
                <w:rFonts w:ascii="Arial" w:hAnsi="Arial"/>
                <w:b/>
                <w:color w:val="0F172A"/>
                <w:sz w:val="19"/>
              </w:rPr>
              <w:t>Cliente:</w:t>
            </w:r>
            <w:r>
              <w:rPr>
                <w:rFonts w:ascii="Arial" w:hAnsi="Arial"/>
                <w:color w:val="1E293B"/>
                <w:sz w:val="19"/>
              </w:rPr>
              <w:t xml:space="preserve"> Tombstone Hats (San Francisco del Rincón, Guanajuato)</w:t>
            </w:r>
            <w:r>
              <w:br/>
            </w:r>
            <w:r>
              <w:rPr>
                <w:rFonts w:ascii="Arial" w:hAnsi="Arial"/>
                <w:color w:val="1E293B"/>
                <w:sz w:val="19"/>
              </w:rPr>
            </w:r>
            <w:r>
              <w:rPr>
                <w:rFonts w:ascii="Arial" w:hAnsi="Arial"/>
                <w:b/>
                <w:color w:val="0F172A"/>
                <w:sz w:val="19"/>
              </w:rPr>
              <w:t>Dirección y Validación:</w:t>
            </w:r>
            <w:r>
              <w:rPr>
                <w:rFonts w:ascii="Arial" w:hAnsi="Arial"/>
                <w:color w:val="1E293B"/>
                <w:sz w:val="19"/>
              </w:rPr>
              <w:t xml:space="preserve"> Edmundo González / Ing. Carlos Ortiz</w:t>
            </w:r>
            <w:r>
              <w:br/>
            </w:r>
            <w:r>
              <w:rPr>
                <w:rFonts w:ascii="Arial" w:hAnsi="Arial"/>
                <w:color w:val="1E293B"/>
                <w:sz w:val="19"/>
              </w:rPr>
            </w:r>
            <w:r>
              <w:rPr>
                <w:rFonts w:ascii="Arial" w:hAnsi="Arial"/>
                <w:b/>
                <w:color w:val="0F172A"/>
                <w:sz w:val="19"/>
              </w:rPr>
              <w:t>Líder de Proyecto:</w:t>
            </w:r>
            <w:r>
              <w:rPr>
                <w:rFonts w:ascii="Arial" w:hAnsi="Arial"/>
                <w:color w:val="1E293B"/>
                <w:sz w:val="19"/>
              </w:rPr>
              <w:t xml:space="preserve"> Andrés Villanueva (Uanify)</w:t>
            </w:r>
            <w:r/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Arial" w:hAnsi="Arial"/>
          <w:b/>
          <w:color w:val="0F172A"/>
          <w:sz w:val="28"/>
        </w:rPr>
        <w:t>1. Resumen Ejecutivo y Enfoque Estratégico ($0 Costo en Licenciamiento Externo)</w:t>
      </w:r>
    </w:p>
    <w:p>
      <w:pPr>
        <w:spacing w:line="300" w:lineRule="auto" w:after="80" w:before="0"/>
      </w:pPr>
      <w:r>
        <w:rPr>
          <w:rFonts w:ascii="Arial" w:hAnsi="Arial"/>
          <w:color w:val="1E293B"/>
          <w:sz w:val="20"/>
        </w:rPr>
        <w:t xml:space="preserve">La presente propuesta define la arquitectura, flujos operativos y alcance funcional del </w:t>
      </w:r>
      <w:r>
        <w:rPr>
          <w:rFonts w:ascii="Arial" w:hAnsi="Arial"/>
          <w:b/>
          <w:color w:val="0F172A"/>
          <w:sz w:val="20"/>
        </w:rPr>
        <w:t>Sistema MES (Manufacturing Execution System) para Tombstone Hats</w:t>
      </w:r>
      <w:r>
        <w:rPr>
          <w:rFonts w:ascii="Arial" w:hAnsi="Arial"/>
          <w:color w:val="1E293B"/>
          <w:sz w:val="20"/>
        </w:rPr>
        <w:t>, diseñado bajo el estándar industrial del Clúster Sombrerero de San Francisco del Rincón.</w:t>
      </w:r>
    </w:p>
    <w:p>
      <w:pPr>
        <w:spacing w:line="300" w:lineRule="auto" w:after="80" w:before="0"/>
      </w:pPr>
      <w:r>
        <w:rPr>
          <w:rFonts w:ascii="Arial" w:hAnsi="Arial"/>
          <w:color w:val="1E293B"/>
          <w:sz w:val="20"/>
        </w:rPr>
        <w:t>El sistema está enfocado en resolver las dos necesidades críticas de planta:</w:t>
      </w:r>
    </w:p>
    <w:p>
      <w:pPr>
        <w:spacing w:line="300" w:lineRule="auto" w:after="80" w:before="0"/>
        <w:ind w:left="360"/>
      </w:pPr>
      <w:r>
        <w:rPr>
          <w:b/>
          <w:color w:val="0F172A"/>
          <w:sz w:val="20"/>
        </w:rPr>
        <w:t xml:space="preserve">1. </w:t>
      </w: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0F172A"/>
          <w:sz w:val="20"/>
        </w:rPr>
        <w:t>Conocer el avance real de la orden de producción vs. lo programado.</w:t>
      </w:r>
      <w:r>
        <w:rPr>
          <w:rFonts w:ascii="Arial" w:hAnsi="Arial"/>
          <w:color w:val="1E293B"/>
          <w:sz w:val="20"/>
        </w:rPr>
      </w:r>
    </w:p>
    <w:p>
      <w:pPr>
        <w:spacing w:line="300" w:lineRule="auto" w:after="80" w:before="0"/>
        <w:ind w:left="360"/>
      </w:pPr>
      <w:r>
        <w:rPr>
          <w:b/>
          <w:color w:val="0F172A"/>
          <w:sz w:val="20"/>
        </w:rPr>
        <w:t xml:space="preserve">2. </w:t>
      </w: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0F172A"/>
          <w:sz w:val="20"/>
        </w:rPr>
        <w:t>Visualizar el inventario en proceso (WIP) actual por almacén intermedio</w:t>
      </w:r>
      <w:r>
        <w:rPr>
          <w:rFonts w:ascii="Arial" w:hAnsi="Arial"/>
          <w:color w:val="1E293B"/>
          <w:sz w:val="20"/>
        </w:rPr>
        <w:t xml:space="preserve"> (dónde se encuentran físicamente los sombreros en tiempo real).</w:t>
      </w:r>
    </w:p>
    <w:p>
      <w:pPr>
        <w:keepNext/>
        <w:spacing w:before="240" w:after="60"/>
      </w:pPr>
      <w:r>
        <w:rPr>
          <w:rFonts w:ascii="Arial" w:hAnsi="Arial"/>
          <w:b/>
          <w:color w:val="8B5E3C"/>
          <w:sz w:val="23"/>
        </w:rPr>
        <w:t>Directrices Rectoras de la Estrategia (Solo 2 Opciones):</w:t>
      </w:r>
    </w:p>
    <w:p>
      <w:pPr>
        <w:spacing w:line="300" w:lineRule="auto" w:after="80" w:before="0"/>
        <w:ind w:left="360"/>
      </w:pPr>
      <w:r>
        <w:rPr>
          <w:color w:val="8B5E3C"/>
          <w:sz w:val="19"/>
        </w:rPr>
        <w:t xml:space="preserve">?  </w:t>
      </w: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0F172A"/>
          <w:sz w:val="20"/>
        </w:rPr>
        <w:t>Opción A (Recomendada):</w:t>
      </w:r>
      <w:r>
        <w:rPr>
          <w:rFonts w:ascii="Arial" w:hAnsi="Arial"/>
          <w:color w:val="1E293B"/>
          <w:sz w:val="20"/>
        </w:rPr>
        <w:t xml:space="preserve"> Sistema MES Integral con enlace nativo a Microsoft SQL Server de CONTPAQi Comercial 11, trazabilidad por códigos QR en tarjetas viajeras y monitoreo de WIP por almacén intermedio. Operado en tablets/pantallas táctiles utilizando la cámara integrada del dispositivo.</w:t>
      </w:r>
    </w:p>
    <w:p>
      <w:pPr>
        <w:spacing w:line="300" w:lineRule="auto" w:after="80" w:before="0"/>
        <w:ind w:left="360"/>
      </w:pPr>
      <w:r>
        <w:rPr>
          <w:color w:val="8B5E3C"/>
          <w:sz w:val="19"/>
        </w:rPr>
        <w:t xml:space="preserve">?  </w:t>
      </w: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0F172A"/>
          <w:sz w:val="20"/>
        </w:rPr>
        <w:t>Opción B (Con Hardware de Escaneo):</w:t>
      </w:r>
      <w:r>
        <w:rPr>
          <w:rFonts w:ascii="Arial" w:hAnsi="Arial"/>
          <w:color w:val="1E293B"/>
          <w:sz w:val="20"/>
        </w:rPr>
        <w:t xml:space="preserve"> Todo el alcance de la Opción A, complementado con kits de lectores ópticos industriales 2D (código QR) vía USB/Bluetooth en modo emulación teclado (HID) montados en estaciones clave para acelerar el escaneo continuo.</w:t>
      </w:r>
    </w:p>
    <w:p>
      <w:pPr>
        <w:keepNext/>
        <w:spacing w:before="320" w:after="80"/>
      </w:pPr>
      <w:r>
        <w:rPr>
          <w:rFonts w:ascii="Arial" w:hAnsi="Arial"/>
          <w:b/>
          <w:color w:val="0F172A"/>
          <w:sz w:val="28"/>
        </w:rPr>
        <w:t>2. Ingesta de Órdenes, Creación de Lotes e Impresión de Tarjetas</w:t>
      </w:r>
    </w:p>
    <w:p>
      <w:pPr>
        <w:spacing w:line="300" w:lineRule="auto" w:after="80" w:before="0"/>
        <w:ind w:left="360"/>
      </w:pPr>
      <w:r>
        <w:rPr>
          <w:b/>
          <w:color w:val="0F172A"/>
          <w:sz w:val="20"/>
        </w:rPr>
        <w:t xml:space="preserve">1. </w:t>
      </w: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0F172A"/>
          <w:sz w:val="20"/>
        </w:rPr>
        <w:t>Emisión de Tarjetas Directa en Planta:</w:t>
      </w:r>
      <w:r>
        <w:rPr>
          <w:rFonts w:ascii="Arial" w:hAnsi="Arial"/>
          <w:color w:val="1E293B"/>
          <w:sz w:val="20"/>
        </w:rPr>
      </w:r>
    </w:p>
    <w:p>
      <w:pPr>
        <w:spacing w:line="300" w:lineRule="auto" w:after="80" w:before="0"/>
        <w:ind w:left="360"/>
      </w:pPr>
      <w:r>
        <w:rPr>
          <w:color w:val="8B5E3C"/>
          <w:sz w:val="19"/>
        </w:rPr>
        <w:t xml:space="preserve">?  </w:t>
      </w:r>
      <w:r>
        <w:rPr>
          <w:rFonts w:ascii="Arial" w:hAnsi="Arial"/>
          <w:color w:val="1E293B"/>
          <w:sz w:val="20"/>
        </w:rPr>
        <w:t>El Ingeniero Admin consulta en el MES la orden proveniente de CONTPAQi Comercial.</w:t>
      </w:r>
    </w:p>
    <w:p>
      <w:pPr>
        <w:spacing w:line="300" w:lineRule="auto" w:after="80" w:before="0"/>
        <w:ind w:left="360"/>
      </w:pPr>
      <w:r>
        <w:rPr>
          <w:color w:val="8B5E3C"/>
          <w:sz w:val="19"/>
        </w:rPr>
        <w:t xml:space="preserve">?  </w:t>
      </w:r>
      <w:r>
        <w:rPr>
          <w:rFonts w:ascii="Arial" w:hAnsi="Arial"/>
          <w:color w:val="1E293B"/>
          <w:sz w:val="20"/>
        </w:rPr>
        <w:t>Asigna manualmente la cantidad de lotes madre (base 60 pzas) y sublotes (15 pzas) conforme a la programación.</w:t>
      </w:r>
    </w:p>
    <w:p>
      <w:pPr>
        <w:spacing w:line="300" w:lineRule="auto" w:after="80" w:before="0"/>
        <w:ind w:left="360"/>
      </w:pPr>
      <w:r>
        <w:rPr>
          <w:color w:val="8B5E3C"/>
          <w:sz w:val="19"/>
        </w:rPr>
        <w:t xml:space="preserve">?  </w:t>
      </w: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0F172A"/>
          <w:sz w:val="20"/>
        </w:rPr>
        <w:t>Desde la misma pantalla genera e imprime las tarjetas viajeras oficiales con sus códigos QR</w:t>
      </w:r>
      <w:r>
        <w:rPr>
          <w:rFonts w:ascii="Arial" w:hAnsi="Arial"/>
          <w:color w:val="1E293B"/>
          <w:sz w:val="20"/>
        </w:rPr>
        <w:t xml:space="preserve"> en hojas tamaño carta estándar de oficina para recortar e introducirlas en fundas plásticas cosidas.</w:t>
      </w:r>
    </w:p>
    <w:p>
      <w:pPr>
        <w:spacing w:line="300" w:lineRule="auto" w:after="80" w:before="0"/>
        <w:ind w:left="360"/>
      </w:pPr>
      <w:r>
        <w:rPr>
          <w:b/>
          <w:color w:val="0F172A"/>
          <w:sz w:val="20"/>
        </w:rPr>
        <w:t xml:space="preserve">2. </w:t>
      </w: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0F172A"/>
          <w:sz w:val="20"/>
        </w:rPr>
        <w:t>Fraccionamiento en Rampa (D-05):</w:t>
      </w:r>
      <w:r>
        <w:rPr>
          <w:rFonts w:ascii="Arial" w:hAnsi="Arial"/>
          <w:color w:val="1E293B"/>
          <w:sz w:val="20"/>
        </w:rPr>
      </w:r>
    </w:p>
    <w:p>
      <w:pPr>
        <w:spacing w:line="300" w:lineRule="auto" w:after="80" w:before="0"/>
        <w:ind w:left="360"/>
      </w:pPr>
      <w:r>
        <w:rPr>
          <w:color w:val="8B5E3C"/>
          <w:sz w:val="19"/>
        </w:rPr>
        <w:t xml:space="preserve">?  </w:t>
      </w:r>
      <w:r>
        <w:rPr>
          <w:rFonts w:ascii="Arial" w:hAnsi="Arial"/>
          <w:color w:val="1E293B"/>
          <w:sz w:val="20"/>
        </w:rPr>
        <w:t xml:space="preserve">El supervisor recoge en Ingeniería el juego de tarjetas de sublote. En Rampa se realiza el cambio físico; la </w:t>
      </w:r>
      <w:r>
        <w:rPr>
          <w:rFonts w:ascii="Arial" w:hAnsi="Arial"/>
          <w:b/>
          <w:color w:val="0F172A"/>
          <w:sz w:val="20"/>
        </w:rPr>
        <w:t>Tarjeta Madre original se archiva en la mesa de rampa</w:t>
      </w:r>
      <w:r>
        <w:rPr>
          <w:rFonts w:ascii="Arial" w:hAnsi="Arial"/>
          <w:color w:val="1E293B"/>
          <w:sz w:val="20"/>
        </w:rPr>
        <w:t xml:space="preserve"> como bitácora y control histórico.</w:t>
      </w:r>
    </w:p>
    <w:p>
      <w:pPr>
        <w:spacing w:line="300" w:lineRule="auto" w:after="80" w:before="0"/>
        <w:ind w:left="360"/>
      </w:pPr>
      <w:r>
        <w:rPr>
          <w:b/>
          <w:color w:val="0F172A"/>
          <w:sz w:val="20"/>
        </w:rPr>
        <w:t xml:space="preserve">3. </w:t>
      </w: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0F172A"/>
          <w:sz w:val="20"/>
        </w:rPr>
        <w:t>Escaneo de Avance:</w:t>
      </w:r>
      <w:r>
        <w:rPr>
          <w:rFonts w:ascii="Arial" w:hAnsi="Arial"/>
          <w:color w:val="1E293B"/>
          <w:sz w:val="20"/>
        </w:rPr>
      </w:r>
    </w:p>
    <w:p>
      <w:pPr>
        <w:spacing w:line="300" w:lineRule="auto" w:after="80" w:before="0"/>
        <w:ind w:left="360"/>
      </w:pPr>
      <w:r>
        <w:rPr>
          <w:color w:val="8B5E3C"/>
          <w:sz w:val="19"/>
        </w:rPr>
        <w:t xml:space="preserve">?  </w:t>
      </w:r>
      <w:r>
        <w:rPr>
          <w:rFonts w:ascii="Arial" w:hAnsi="Arial"/>
          <w:color w:val="1E293B"/>
          <w:sz w:val="20"/>
        </w:rPr>
        <w:t xml:space="preserve">Se realiza </w:t>
      </w:r>
      <w:r>
        <w:rPr>
          <w:rFonts w:ascii="Arial" w:hAnsi="Arial"/>
          <w:b/>
          <w:color w:val="0F172A"/>
          <w:sz w:val="20"/>
        </w:rPr>
        <w:t>AL SALIR del departamento</w:t>
      </w:r>
      <w:r>
        <w:rPr>
          <w:rFonts w:ascii="Arial" w:hAnsi="Arial"/>
          <w:color w:val="1E293B"/>
          <w:sz w:val="20"/>
        </w:rPr>
        <w:t xml:space="preserve"> por el usuario/supervisor que concluye el proceso al depositar en el almacén intermedio.</w:t>
      </w:r>
    </w:p>
    <w:p>
      <w:pPr>
        <w:keepNext/>
        <w:spacing w:before="320" w:after="80"/>
      </w:pPr>
      <w:r>
        <w:rPr>
          <w:rFonts w:ascii="Arial" w:hAnsi="Arial"/>
          <w:b/>
          <w:color w:val="0F172A"/>
          <w:sz w:val="28"/>
        </w:rPr>
        <w:t>3. Gestión de Calidad, Piezas de Segunda y Reprocesos</w:t>
      </w:r>
    </w:p>
    <w:p>
      <w:pPr>
        <w:spacing w:line="300" w:lineRule="auto" w:after="80" w:before="0"/>
        <w:ind w:left="360"/>
      </w:pPr>
      <w:r>
        <w:rPr>
          <w:b/>
          <w:color w:val="0F172A"/>
          <w:sz w:val="20"/>
        </w:rPr>
        <w:t xml:space="preserve">1. </w:t>
      </w: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0F172A"/>
          <w:sz w:val="20"/>
        </w:rPr>
        <w:t>Estructura de Calidad y Decisión:</w:t>
      </w:r>
      <w:r>
        <w:rPr>
          <w:rFonts w:ascii="Arial" w:hAnsi="Arial"/>
          <w:color w:val="1E293B"/>
          <w:sz w:val="20"/>
        </w:rPr>
      </w:r>
    </w:p>
    <w:p>
      <w:pPr>
        <w:spacing w:line="300" w:lineRule="auto" w:after="80" w:before="0"/>
        <w:ind w:left="360"/>
      </w:pPr>
      <w:r>
        <w:rPr>
          <w:color w:val="8B5E3C"/>
          <w:sz w:val="19"/>
        </w:rPr>
        <w:t xml:space="preserve">?  </w:t>
      </w: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0F172A"/>
          <w:sz w:val="20"/>
        </w:rPr>
        <w:t>Inspector de Calidad:</w:t>
      </w:r>
      <w:r>
        <w:rPr>
          <w:rFonts w:ascii="Arial" w:hAnsi="Arial"/>
          <w:color w:val="1E293B"/>
          <w:sz w:val="20"/>
        </w:rPr>
        <w:t xml:space="preserve"> Valida físicamente las piezas en los filtros oficiales y registra en sistema: </w:t>
      </w:r>
      <w:r>
        <w:rPr>
          <w:rFonts w:ascii="Arial" w:hAnsi="Arial"/>
          <w:b/>
          <w:color w:val="0F172A"/>
          <w:sz w:val="20"/>
        </w:rPr>
        <w:t>Aprobar</w:t>
      </w:r>
      <w:r>
        <w:rPr>
          <w:rFonts w:ascii="Arial" w:hAnsi="Arial"/>
          <w:color w:val="1E293B"/>
          <w:sz w:val="20"/>
        </w:rPr>
        <w:t xml:space="preserve"> o </w:t>
      </w:r>
      <w:r>
        <w:rPr>
          <w:rFonts w:ascii="Arial" w:hAnsi="Arial"/>
          <w:b/>
          <w:color w:val="0F172A"/>
          <w:sz w:val="20"/>
        </w:rPr>
        <w:t>Rechazar</w:t>
      </w:r>
      <w:r>
        <w:rPr>
          <w:rFonts w:ascii="Arial" w:hAnsi="Arial"/>
          <w:color w:val="1E293B"/>
          <w:sz w:val="20"/>
        </w:rPr>
        <w:t>.</w:t>
      </w:r>
    </w:p>
    <w:p>
      <w:pPr>
        <w:spacing w:line="300" w:lineRule="auto" w:after="80" w:before="0"/>
        <w:ind w:left="360"/>
      </w:pPr>
      <w:r>
        <w:rPr>
          <w:color w:val="8B5E3C"/>
          <w:sz w:val="19"/>
        </w:rPr>
        <w:t xml:space="preserve">?  </w:t>
      </w: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0F172A"/>
          <w:sz w:val="20"/>
        </w:rPr>
        <w:t>Resolución de Rechazos (Supervisor / Ingeniero):</w:t>
      </w:r>
      <w:r>
        <w:rPr>
          <w:rFonts w:ascii="Arial" w:hAnsi="Arial"/>
          <w:color w:val="1E293B"/>
          <w:sz w:val="20"/>
        </w:rPr>
        <w:t xml:space="preserve"> Ante una no conformidad, el Supervisor o Ingeniero dictamina en pantalla:</w:t>
      </w:r>
    </w:p>
    <w:p>
      <w:pPr>
        <w:spacing w:line="300" w:lineRule="auto" w:after="80" w:before="0"/>
        <w:ind w:left="360"/>
      </w:pPr>
      <w:r>
        <w:rPr>
          <w:color w:val="8B5E3C"/>
          <w:sz w:val="19"/>
        </w:rPr>
        <w:t xml:space="preserve">?  </w:t>
      </w: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0F172A"/>
          <w:sz w:val="20"/>
        </w:rPr>
        <w:t>Reproceso:</w:t>
      </w:r>
      <w:r>
        <w:rPr>
          <w:rFonts w:ascii="Arial" w:hAnsi="Arial"/>
          <w:color w:val="1E293B"/>
          <w:sz w:val="20"/>
        </w:rPr>
        <w:t xml:space="preserve"> Selecciona manualmente en el sistema a qué estación o proceso anterior debe regresar el lote para ser corregido.</w:t>
      </w:r>
    </w:p>
    <w:p>
      <w:pPr>
        <w:spacing w:line="300" w:lineRule="auto" w:after="80" w:before="0"/>
        <w:ind w:left="360"/>
      </w:pPr>
      <w:r>
        <w:rPr>
          <w:color w:val="8B5E3C"/>
          <w:sz w:val="19"/>
        </w:rPr>
        <w:t xml:space="preserve">?  </w:t>
      </w: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0F172A"/>
          <w:sz w:val="20"/>
        </w:rPr>
        <w:t>Segunda:</w:t>
      </w:r>
      <w:r>
        <w:rPr>
          <w:rFonts w:ascii="Arial" w:hAnsi="Arial"/>
          <w:color w:val="1E293B"/>
          <w:sz w:val="20"/>
        </w:rPr>
        <w:t xml:space="preserve"> El lote principal no se detiene; se captura la cantidad de piezas separadas y su causa raíz.</w:t>
      </w:r>
    </w:p>
    <w:p>
      <w:pPr>
        <w:spacing w:line="300" w:lineRule="auto" w:after="80" w:before="0"/>
        <w:ind w:left="360"/>
      </w:pPr>
      <w:r>
        <w:rPr>
          <w:color w:val="8B5E3C"/>
          <w:sz w:val="19"/>
        </w:rPr>
        <w:t xml:space="preserve">?  </w:t>
      </w: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0F172A"/>
          <w:sz w:val="20"/>
        </w:rPr>
        <w:t>Merma:</w:t>
      </w:r>
      <w:r>
        <w:rPr>
          <w:rFonts w:ascii="Arial" w:hAnsi="Arial"/>
          <w:color w:val="1E293B"/>
          <w:sz w:val="20"/>
        </w:rPr>
        <w:t xml:space="preserve"> Registro de piezas descartadas definitivamente con su causa de falla.</w:t>
      </w:r>
    </w:p>
    <w:p>
      <w:pPr>
        <w:spacing w:line="300" w:lineRule="auto" w:after="80" w:before="0"/>
        <w:ind w:left="360"/>
      </w:pPr>
      <w:r>
        <w:rPr>
          <w:b/>
          <w:color w:val="0F172A"/>
          <w:sz w:val="20"/>
        </w:rPr>
        <w:t xml:space="preserve">2. </w:t>
      </w: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0F172A"/>
          <w:sz w:val="20"/>
        </w:rPr>
        <w:t>Alcance de Mermas y Segundas en MVP:</w:t>
      </w:r>
      <w:r>
        <w:rPr>
          <w:rFonts w:ascii="Arial" w:hAnsi="Arial"/>
          <w:color w:val="1E293B"/>
          <w:sz w:val="20"/>
        </w:rPr>
      </w:r>
    </w:p>
    <w:p>
      <w:pPr>
        <w:spacing w:line="300" w:lineRule="auto" w:after="80" w:before="0"/>
        <w:ind w:left="360"/>
      </w:pPr>
      <w:r>
        <w:rPr>
          <w:color w:val="8B5E3C"/>
          <w:sz w:val="19"/>
        </w:rPr>
        <w:t xml:space="preserve">?  </w:t>
      </w:r>
      <w:r>
        <w:rPr>
          <w:rFonts w:ascii="Arial" w:hAnsi="Arial"/>
          <w:color w:val="1E293B"/>
          <w:sz w:val="20"/>
        </w:rPr>
        <w:t xml:space="preserve">Registro obligatorio del número de piezas y la </w:t>
      </w:r>
      <w:r>
        <w:rPr>
          <w:rFonts w:ascii="Arial" w:hAnsi="Arial"/>
          <w:b/>
          <w:color w:val="0F172A"/>
          <w:sz w:val="20"/>
        </w:rPr>
        <w:t>Causa Raíz</w:t>
      </w:r>
      <w:r>
        <w:rPr>
          <w:rFonts w:ascii="Arial" w:hAnsi="Arial"/>
          <w:color w:val="1E293B"/>
          <w:sz w:val="20"/>
        </w:rPr>
        <w:t xml:space="preserve"> (ej. poro en lienzo, mancha de tinta, quemadura de vapor).</w:t>
      </w:r>
    </w:p>
    <w:p>
      <w:pPr>
        <w:spacing w:line="300" w:lineRule="auto" w:after="80" w:before="0"/>
        <w:ind w:left="360"/>
      </w:pPr>
      <w:r>
        <w:rPr>
          <w:color w:val="8B5E3C"/>
          <w:sz w:val="19"/>
        </w:rPr>
        <w:t xml:space="preserve">?  </w:t>
      </w: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0F172A"/>
          <w:sz w:val="20"/>
        </w:rPr>
        <w:t>Estrictamente Captura y Registro Histórico:</w:t>
      </w:r>
      <w:r>
        <w:rPr>
          <w:rFonts w:ascii="Arial" w:hAnsi="Arial"/>
          <w:color w:val="1E293B"/>
          <w:sz w:val="20"/>
        </w:rPr>
        <w:t xml:space="preserve"> Consulta y trazabilidad para KPIs. No se incluye recosteo contable automático ni facturación especial en esta fase.</w:t>
      </w:r>
    </w:p>
    <w:p>
      <w:pPr>
        <w:keepNext/>
        <w:spacing w:before="320" w:after="80"/>
      </w:pPr>
      <w:r>
        <w:rPr>
          <w:rFonts w:ascii="Arial" w:hAnsi="Arial"/>
          <w:b/>
          <w:color w:val="0F172A"/>
          <w:sz w:val="28"/>
        </w:rPr>
        <w:t>4. Módulo de Destajo y Bitácora de Paros Productivos</w:t>
      </w:r>
    </w:p>
    <w:p>
      <w:pPr>
        <w:spacing w:line="300" w:lineRule="auto" w:after="80" w:before="0"/>
        <w:ind w:left="360"/>
      </w:pPr>
      <w:r>
        <w:rPr>
          <w:b/>
          <w:color w:val="0F172A"/>
          <w:sz w:val="20"/>
        </w:rPr>
        <w:t xml:space="preserve">1. </w:t>
      </w: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0F172A"/>
          <w:sz w:val="20"/>
        </w:rPr>
        <w:t>Pre-nómina Semanal a Destajo:</w:t>
      </w:r>
      <w:r>
        <w:rPr>
          <w:rFonts w:ascii="Arial" w:hAnsi="Arial"/>
          <w:color w:val="1E293B"/>
          <w:sz w:val="20"/>
        </w:rPr>
      </w:r>
    </w:p>
    <w:p>
      <w:pPr>
        <w:spacing w:line="300" w:lineRule="auto" w:after="80" w:before="0"/>
        <w:ind w:left="360"/>
      </w:pPr>
      <w:r>
        <w:rPr>
          <w:color w:val="8B5E3C"/>
          <w:sz w:val="19"/>
        </w:rPr>
        <w:t xml:space="preserve">?  </w:t>
      </w:r>
      <w:r>
        <w:rPr>
          <w:rFonts w:ascii="Arial" w:hAnsi="Arial"/>
          <w:color w:val="1E293B"/>
          <w:sz w:val="20"/>
        </w:rPr>
        <w:t>Cálculo automático del acumulado de piezas concluidas por operador conforme a la tarifa fija asignada ($/pza).</w:t>
      </w:r>
    </w:p>
    <w:p>
      <w:pPr>
        <w:spacing w:line="300" w:lineRule="auto" w:after="80" w:before="0"/>
        <w:ind w:left="360"/>
      </w:pPr>
      <w:r>
        <w:rPr>
          <w:color w:val="8B5E3C"/>
          <w:sz w:val="19"/>
        </w:rPr>
        <w:t xml:space="preserve">?  </w:t>
      </w:r>
      <w:r>
        <w:rPr>
          <w:rFonts w:ascii="Arial" w:hAnsi="Arial"/>
          <w:color w:val="1E293B"/>
          <w:sz w:val="20"/>
        </w:rPr>
        <w:t xml:space="preserve">Generación de </w:t>
      </w:r>
      <w:r>
        <w:rPr>
          <w:rFonts w:ascii="Arial" w:hAnsi="Arial"/>
          <w:b/>
          <w:color w:val="0F172A"/>
          <w:sz w:val="20"/>
        </w:rPr>
        <w:t>Pre-reporte de corte los viernes</w:t>
      </w:r>
      <w:r>
        <w:rPr>
          <w:rFonts w:ascii="Arial" w:hAnsi="Arial"/>
          <w:color w:val="1E293B"/>
          <w:sz w:val="20"/>
        </w:rPr>
        <w:t xml:space="preserve"> con función obligatoria de </w:t>
      </w:r>
      <w:r>
        <w:rPr>
          <w:rFonts w:ascii="Arial" w:hAnsi="Arial"/>
          <w:b/>
          <w:color w:val="0F172A"/>
          <w:sz w:val="20"/>
        </w:rPr>
        <w:t>exportación nativa a Microsoft Excel</w:t>
      </w:r>
      <w:r>
        <w:rPr>
          <w:rFonts w:ascii="Arial" w:hAnsi="Arial"/>
          <w:color w:val="1E293B"/>
          <w:sz w:val="20"/>
        </w:rPr>
        <w:t xml:space="preserve"> para conciliación administrativa.</w:t>
      </w:r>
    </w:p>
    <w:p>
      <w:pPr>
        <w:spacing w:line="300" w:lineRule="auto" w:after="80" w:before="0"/>
        <w:ind w:left="360"/>
      </w:pPr>
      <w:r>
        <w:rPr>
          <w:b/>
          <w:color w:val="0F172A"/>
          <w:sz w:val="20"/>
        </w:rPr>
        <w:t xml:space="preserve">2. </w:t>
      </w: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0F172A"/>
          <w:sz w:val="20"/>
        </w:rPr>
        <w:t>Bitácora de Paros Productivos:</w:t>
      </w:r>
      <w:r>
        <w:rPr>
          <w:rFonts w:ascii="Arial" w:hAnsi="Arial"/>
          <w:color w:val="1E293B"/>
          <w:sz w:val="20"/>
        </w:rPr>
      </w:r>
    </w:p>
    <w:p>
      <w:pPr>
        <w:spacing w:line="300" w:lineRule="auto" w:after="80" w:before="0"/>
        <w:ind w:left="360"/>
      </w:pPr>
      <w:r>
        <w:rPr>
          <w:color w:val="8B5E3C"/>
          <w:sz w:val="19"/>
        </w:rPr>
        <w:t xml:space="preserve">?  </w:t>
      </w:r>
      <w:r>
        <w:rPr>
          <w:rFonts w:ascii="Arial" w:hAnsi="Arial"/>
          <w:color w:val="1E293B"/>
          <w:sz w:val="20"/>
        </w:rPr>
        <w:t>Panel táctil con botones rápidos para registro de paro operativo: Estación/Máquina, operador, hora inicio, hora fin y motivo general.</w:t>
      </w:r>
    </w:p>
    <w:p>
      <w:pPr>
        <w:spacing w:line="300" w:lineRule="auto" w:after="80" w:before="0"/>
        <w:ind w:left="360"/>
      </w:pPr>
      <w:r>
        <w:rPr>
          <w:color w:val="8B5E3C"/>
          <w:sz w:val="19"/>
        </w:rPr>
        <w:t xml:space="preserve">?  </w:t>
      </w:r>
      <w:r>
        <w:rPr>
          <w:rFonts w:ascii="Arial" w:hAnsi="Arial"/>
          <w:color w:val="1E293B"/>
          <w:sz w:val="20"/>
        </w:rPr>
      </w:r>
      <w:r>
        <w:rPr>
          <w:rFonts w:ascii="Arial" w:hAnsi="Arial"/>
          <w:i/>
          <w:color w:val="1E293B"/>
          <w:sz w:val="20"/>
        </w:rPr>
        <w:t>Mapeo y registro histórico:</w:t>
      </w:r>
      <w:r>
        <w:rPr>
          <w:rFonts w:ascii="Arial" w:hAnsi="Arial"/>
          <w:color w:val="1E293B"/>
          <w:sz w:val="20"/>
        </w:rPr>
        <w:t xml:space="preserve"> Consulta de paros para análisis de disponibilidad. Criterios de minutos mínimos y motivos exactos por afinar con el cliente.</w:t>
      </w:r>
    </w:p>
    <w:p>
      <w:pPr>
        <w:keepNext/>
        <w:spacing w:before="320" w:after="80"/>
      </w:pPr>
      <w:r>
        <w:rPr>
          <w:rFonts w:ascii="Arial" w:hAnsi="Arial"/>
          <w:b/>
          <w:color w:val="0F172A"/>
          <w:sz w:val="28"/>
        </w:rPr>
        <w:t>5. Subensambles (Tafiletes y Toquillas) y Ficha Técnica con Foto</w:t>
      </w:r>
    </w:p>
    <w:p>
      <w:pPr>
        <w:spacing w:line="300" w:lineRule="auto" w:after="80" w:before="0"/>
        <w:ind w:left="360"/>
      </w:pPr>
      <w:r>
        <w:rPr>
          <w:b/>
          <w:color w:val="0F172A"/>
          <w:sz w:val="20"/>
        </w:rPr>
        <w:t xml:space="preserve">1. </w:t>
      </w: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0F172A"/>
          <w:sz w:val="20"/>
        </w:rPr>
        <w:t>Semáforo de Buffer en Adorno:</w:t>
      </w:r>
      <w:r>
        <w:rPr>
          <w:rFonts w:ascii="Arial" w:hAnsi="Arial"/>
          <w:color w:val="1E293B"/>
          <w:sz w:val="20"/>
        </w:rPr>
      </w:r>
    </w:p>
    <w:p>
      <w:pPr>
        <w:spacing w:line="300" w:lineRule="auto" w:after="80" w:before="0"/>
        <w:ind w:left="360"/>
      </w:pPr>
      <w:r>
        <w:rPr>
          <w:color w:val="8B5E3C"/>
          <w:sz w:val="19"/>
        </w:rPr>
        <w:t xml:space="preserve">?  </w:t>
      </w:r>
      <w:r>
        <w:rPr>
          <w:rFonts w:ascii="Arial" w:hAnsi="Arial"/>
          <w:color w:val="1E293B"/>
          <w:sz w:val="20"/>
        </w:rPr>
        <w:t>Tafiletes y Toquillas alimentan a Adorno como buffers independientes según la orden de producción.</w:t>
      </w:r>
    </w:p>
    <w:p>
      <w:pPr>
        <w:spacing w:line="300" w:lineRule="auto" w:after="80" w:before="0"/>
        <w:ind w:left="360"/>
      </w:pPr>
      <w:r>
        <w:rPr>
          <w:color w:val="8B5E3C"/>
          <w:sz w:val="19"/>
        </w:rPr>
        <w:t xml:space="preserve">?  </w:t>
      </w:r>
      <w:r>
        <w:rPr>
          <w:rFonts w:ascii="Arial" w:hAnsi="Arial"/>
          <w:color w:val="1E293B"/>
          <w:sz w:val="20"/>
        </w:rPr>
        <w:t>La terminal de Adorno despliega un semáforo de disponibilidad por talla y modelo para evitar cuellos de botella.</w:t>
      </w:r>
    </w:p>
    <w:p>
      <w:pPr>
        <w:spacing w:line="300" w:lineRule="auto" w:after="80" w:before="0"/>
        <w:ind w:left="360"/>
      </w:pPr>
      <w:r>
        <w:rPr>
          <w:b/>
          <w:color w:val="0F172A"/>
          <w:sz w:val="20"/>
        </w:rPr>
        <w:t xml:space="preserve">2. </w:t>
      </w: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0F172A"/>
          <w:sz w:val="20"/>
        </w:rPr>
        <w:t>Ficha Técnica Visual:</w:t>
      </w:r>
      <w:r>
        <w:rPr>
          <w:rFonts w:ascii="Arial" w:hAnsi="Arial"/>
          <w:color w:val="1E293B"/>
          <w:sz w:val="20"/>
        </w:rPr>
      </w:r>
    </w:p>
    <w:p>
      <w:pPr>
        <w:spacing w:line="300" w:lineRule="auto" w:after="80" w:before="0"/>
        <w:ind w:left="360"/>
      </w:pPr>
      <w:r>
        <w:rPr>
          <w:color w:val="8B5E3C"/>
          <w:sz w:val="19"/>
        </w:rPr>
        <w:t xml:space="preserve">?  </w:t>
      </w:r>
      <w:r>
        <w:rPr>
          <w:rFonts w:ascii="Arial" w:hAnsi="Arial"/>
          <w:color w:val="1E293B"/>
          <w:sz w:val="20"/>
        </w:rPr>
        <w:t xml:space="preserve">En Adorno e Inspección Final se muestra en pantalla la </w:t>
      </w:r>
      <w:r>
        <w:rPr>
          <w:rFonts w:ascii="Arial" w:hAnsi="Arial"/>
          <w:b/>
          <w:color w:val="0F172A"/>
          <w:sz w:val="20"/>
        </w:rPr>
        <w:t>fotografía autorizada del sombrero terminado</w:t>
      </w:r>
      <w:r>
        <w:rPr>
          <w:rFonts w:ascii="Arial" w:hAnsi="Arial"/>
          <w:color w:val="1E293B"/>
          <w:sz w:val="20"/>
        </w:rPr>
        <w:t xml:space="preserve"> para confrontar físicamente armado, color, toquilla y herraje contra la muestra oficial.</w:t>
      </w:r>
    </w:p>
    <w:p>
      <w:pPr>
        <w:keepNext/>
        <w:spacing w:before="320" w:after="80"/>
      </w:pPr>
      <w:r>
        <w:rPr>
          <w:rFonts w:ascii="Arial" w:hAnsi="Arial"/>
          <w:b/>
          <w:color w:val="0F172A"/>
          <w:sz w:val="28"/>
        </w:rPr>
        <w:t>6. Módulo Puente CONTPAQi Comercial 11 (Arquitectura SQL Server Validada)</w:t>
      </w:r>
    </w:p>
    <w:p>
      <w:pPr>
        <w:spacing w:line="300" w:lineRule="auto" w:after="80" w:before="0"/>
      </w:pPr>
      <w:r>
        <w:rPr>
          <w:rFonts w:ascii="Arial" w:hAnsi="Arial"/>
          <w:color w:val="1E293B"/>
          <w:sz w:val="20"/>
        </w:rPr>
        <w:t xml:space="preserve">Tras la reunión de validación técnica con la </w:t>
      </w:r>
      <w:r>
        <w:rPr>
          <w:rFonts w:ascii="Arial" w:hAnsi="Arial"/>
          <w:b/>
          <w:color w:val="0F172A"/>
          <w:sz w:val="20"/>
        </w:rPr>
        <w:t>Ing. Lupita López (Soporte CONTPAQi)</w:t>
      </w:r>
      <w:r>
        <w:rPr>
          <w:rFonts w:ascii="Arial" w:hAnsi="Arial"/>
          <w:color w:val="1E293B"/>
          <w:sz w:val="20"/>
        </w:rPr>
        <w:t xml:space="preserve"> y </w:t>
      </w:r>
      <w:r>
        <w:rPr>
          <w:rFonts w:ascii="Arial" w:hAnsi="Arial"/>
          <w:b/>
          <w:color w:val="0F172A"/>
          <w:sz w:val="20"/>
        </w:rPr>
        <w:t>Edmundo Quezada</w:t>
      </w:r>
      <w:r>
        <w:rPr>
          <w:rFonts w:ascii="Arial" w:hAnsi="Arial"/>
          <w:color w:val="1E293B"/>
          <w:sz w:val="20"/>
        </w:rPr>
        <w:t>, se definieron los lineamientos definitivos para la conexión: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60" w:type="dxa"/>
              <w:bottom w:w="160" w:type="dxa"/>
              <w:left w:w="240" w:type="dxa"/>
              <w:right w:w="24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F1F5F9"/>
                <w:sz w:val="17"/>
              </w:rPr>
              <w:t>graph TD</w:t>
              <w:br/>
              <w:t xml:space="preserve">    subgraph MES_TOMBSTONE["Tombstone MES (Piso de Producción)"]</w:t>
              <w:br/>
              <w:t xml:space="preserve">        VALE[Vale de Salida / Lote Concluido\nRef: Folio Lote MES]</w:t>
              <w:br/>
              <w:t xml:space="preserve">        MP_CONS[Consumo Real de Materia Prima\nLienzo, Tafilete, Herrajes]</w:t>
              <w:br/>
              <w:t xml:space="preserve">    end</w:t>
              <w:br/>
              <w:br/>
              <w:t xml:space="preserve">    subgraph SQL_BRIDGE["Microservicio Puente SQL Server (Local / Red Planta)"]</w:t>
              <w:br/>
              <w:t xml:space="preserve">        SP_IN[Stored Procedure:\nIngreso Producto Terminado]</w:t>
              <w:br/>
              <w:t xml:space="preserve">        SP_OUT[Stored Procedure:\nDescarga de Materia Prima]</w:t>
              <w:br/>
              <w:t xml:space="preserve">        V_CAT[Vistas SQL de Catálogos:\nFamilias PIEL001, TEL001, SAT]</w:t>
              <w:br/>
              <w:t xml:space="preserve">    end</w:t>
              <w:br/>
              <w:br/>
              <w:t xml:space="preserve">    subgraph CONTPAQI_DBS["CONTPAQi Comercial 11.3.1 (Microsoft SQL Server)"]</w:t>
              <w:br/>
              <w:t xml:space="preserve">        DB_INT[(BD Empresa Interna / Fiscal)]</w:t>
              <w:br/>
              <w:t xml:space="preserve">    end</w:t>
              <w:br/>
              <w:br/>
              <w:t xml:space="preserve">    VALE --&gt;|Dispara| SP_IN</w:t>
              <w:br/>
              <w:t xml:space="preserve">    MP_CONS --&gt;|Descarga| SP_OUT</w:t>
              <w:br/>
              <w:t xml:space="preserve">    SP_IN --&gt; DB_INT</w:t>
              <w:br/>
              <w:t xml:space="preserve">    SP_OUT --&gt; DB_INT</w:t>
              <w:br/>
              <w:t xml:space="preserve">    V_CAT -.-&gt;|Sincroniza Códigos| MES_TOMBSTONE</w:t>
            </w:r>
          </w:p>
        </w:tc>
      </w:tr>
    </w:tbl>
    <w:p>
      <w:pPr>
        <w:spacing w:after="80"/>
      </w:pPr>
    </w:p>
    <w:p>
      <w:pPr>
        <w:keepNext/>
        <w:spacing w:before="240" w:after="60"/>
      </w:pPr>
      <w:r>
        <w:rPr>
          <w:rFonts w:ascii="Arial" w:hAnsi="Arial"/>
          <w:b/>
          <w:color w:val="8B5E3C"/>
          <w:sz w:val="23"/>
        </w:rPr>
        <w:t>Acuerdos Técnicos y Ventajas Estratégicas:</w:t>
      </w:r>
    </w:p>
    <w:p>
      <w:pPr>
        <w:spacing w:line="300" w:lineRule="auto" w:after="80" w:before="0"/>
        <w:ind w:left="360"/>
      </w:pPr>
      <w:r>
        <w:rPr>
          <w:b/>
          <w:color w:val="0F172A"/>
          <w:sz w:val="20"/>
        </w:rPr>
        <w:t xml:space="preserve">1. </w:t>
      </w: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0F172A"/>
          <w:sz w:val="20"/>
        </w:rPr>
        <w:t>Acceso Nativo Vía Microsoft SQL Server ($0 Costo en Licencias Adicionales):</w:t>
      </w:r>
      <w:r>
        <w:rPr>
          <w:rFonts w:ascii="Arial" w:hAnsi="Arial"/>
          <w:color w:val="1E293B"/>
          <w:sz w:val="20"/>
        </w:rPr>
      </w:r>
    </w:p>
    <w:p>
      <w:pPr>
        <w:spacing w:line="300" w:lineRule="auto" w:after="80" w:before="0"/>
        <w:ind w:left="360"/>
      </w:pPr>
      <w:r>
        <w:rPr>
          <w:color w:val="8B5E3C"/>
          <w:sz w:val="19"/>
        </w:rPr>
        <w:t xml:space="preserve">?  </w:t>
      </w:r>
      <w:r>
        <w:rPr>
          <w:rFonts w:ascii="Arial" w:hAnsi="Arial"/>
          <w:color w:val="1E293B"/>
          <w:sz w:val="20"/>
        </w:rPr>
        <w:t>No se utiliza el SDK de CONTPAQi.</w:t>
      </w:r>
    </w:p>
    <w:p>
      <w:pPr>
        <w:spacing w:line="300" w:lineRule="auto" w:after="80" w:before="0"/>
        <w:ind w:left="360"/>
      </w:pPr>
      <w:r>
        <w:rPr>
          <w:color w:val="8B5E3C"/>
          <w:sz w:val="19"/>
        </w:rPr>
        <w:t xml:space="preserve">?  </w:t>
      </w:r>
      <w:r>
        <w:rPr>
          <w:rFonts w:ascii="Arial" w:hAnsi="Arial"/>
          <w:color w:val="1E293B"/>
          <w:sz w:val="20"/>
        </w:rPr>
        <w:t>Se trabaja mediante Vistas y Procedimientos Almacenados (Stored Procedures) directamente sobre el motor SQL Server.</w:t>
      </w:r>
    </w:p>
    <w:p>
      <w:pPr>
        <w:spacing w:line="300" w:lineRule="auto" w:after="80" w:before="0"/>
        <w:ind w:left="360"/>
      </w:pPr>
      <w:r>
        <w:rPr>
          <w:color w:val="8B5E3C"/>
          <w:sz w:val="19"/>
        </w:rPr>
        <w:t xml:space="preserve">?  </w:t>
      </w: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0F172A"/>
          <w:sz w:val="20"/>
        </w:rPr>
        <w:t>Cero costo de licenciamiento:</w:t>
      </w:r>
      <w:r>
        <w:rPr>
          <w:rFonts w:ascii="Arial" w:hAnsi="Arial"/>
          <w:color w:val="1E293B"/>
          <w:sz w:val="20"/>
        </w:rPr>
        <w:t xml:space="preserve"> La conexión a nivel SQL no consume usuarios concurrentes de la licencia de CONTPAQi Comercial.</w:t>
      </w:r>
    </w:p>
    <w:p>
      <w:pPr>
        <w:spacing w:line="300" w:lineRule="auto" w:after="80" w:before="0"/>
        <w:ind w:left="360"/>
      </w:pPr>
      <w:r>
        <w:rPr>
          <w:b/>
          <w:color w:val="0F172A"/>
          <w:sz w:val="20"/>
        </w:rPr>
        <w:t xml:space="preserve">2. </w:t>
      </w: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0F172A"/>
          <w:sz w:val="20"/>
        </w:rPr>
        <w:t>Manejo de Lotes Desacoplado:</w:t>
      </w:r>
      <w:r>
        <w:rPr>
          <w:rFonts w:ascii="Arial" w:hAnsi="Arial"/>
          <w:color w:val="1E293B"/>
          <w:sz w:val="20"/>
        </w:rPr>
      </w:r>
    </w:p>
    <w:p>
      <w:pPr>
        <w:spacing w:line="300" w:lineRule="auto" w:after="80" w:before="0"/>
        <w:ind w:left="360"/>
      </w:pPr>
      <w:r>
        <w:rPr>
          <w:color w:val="8B5E3C"/>
          <w:sz w:val="19"/>
        </w:rPr>
        <w:t xml:space="preserve">?  </w:t>
      </w:r>
      <w:r>
        <w:rPr>
          <w:rFonts w:ascii="Arial" w:hAnsi="Arial"/>
          <w:color w:val="1E293B"/>
          <w:sz w:val="20"/>
        </w:rPr>
        <w:t xml:space="preserve">Como CONTPAQi no opera con trazabilidad de lotes nativa, el MES inyecta el producto terminado insertando el </w:t>
      </w:r>
      <w:r>
        <w:rPr>
          <w:rFonts w:ascii="Arial" w:hAnsi="Arial"/>
          <w:b/>
          <w:color w:val="0F172A"/>
          <w:sz w:val="20"/>
        </w:rPr>
        <w:t>Folio del Lote del MES en el campo de referencia/observaciones de la partida</w:t>
      </w:r>
      <w:r>
        <w:rPr>
          <w:rFonts w:ascii="Arial" w:hAnsi="Arial"/>
          <w:color w:val="1E293B"/>
          <w:sz w:val="20"/>
        </w:rPr>
        <w:t>.</w:t>
      </w:r>
    </w:p>
    <w:p>
      <w:pPr>
        <w:spacing w:line="300" w:lineRule="auto" w:after="80" w:before="0"/>
        <w:ind w:left="360"/>
      </w:pPr>
      <w:r>
        <w:rPr>
          <w:b/>
          <w:color w:val="0F172A"/>
          <w:sz w:val="20"/>
        </w:rPr>
        <w:t xml:space="preserve">3. </w:t>
      </w: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0F172A"/>
          <w:sz w:val="20"/>
        </w:rPr>
        <w:t>Catálogo de Materiales Estructurado:</w:t>
      </w:r>
      <w:r>
        <w:rPr>
          <w:rFonts w:ascii="Arial" w:hAnsi="Arial"/>
          <w:color w:val="1E293B"/>
          <w:sz w:val="20"/>
        </w:rPr>
      </w:r>
    </w:p>
    <w:p>
      <w:pPr>
        <w:spacing w:line="300" w:lineRule="auto" w:after="80" w:before="0"/>
        <w:ind w:left="360"/>
      </w:pPr>
      <w:r>
        <w:rPr>
          <w:color w:val="8B5E3C"/>
          <w:sz w:val="19"/>
        </w:rPr>
        <w:t xml:space="preserve">?  </w:t>
      </w:r>
      <w:r>
        <w:rPr>
          <w:rFonts w:ascii="Arial" w:hAnsi="Arial"/>
          <w:color w:val="1E293B"/>
          <w:sz w:val="20"/>
        </w:rPr>
        <w:t>Clasificación por Familias + Consecutivo único (ej. `PIEL001` = Sintético Poring, `TEL001` = Fieltro).</w:t>
      </w:r>
    </w:p>
    <w:p>
      <w:pPr>
        <w:spacing w:line="300" w:lineRule="auto" w:after="80" w:before="0"/>
        <w:ind w:left="360"/>
      </w:pPr>
      <w:r>
        <w:rPr>
          <w:color w:val="8B5E3C"/>
          <w:sz w:val="19"/>
        </w:rPr>
        <w:t xml:space="preserve">?  </w:t>
      </w:r>
      <w:r>
        <w:rPr>
          <w:rFonts w:ascii="Arial" w:hAnsi="Arial"/>
          <w:color w:val="1E293B"/>
          <w:sz w:val="20"/>
        </w:rPr>
        <w:t>Trazabilidad de origen ligada al Folio de Factura del Proveedor.</w:t>
      </w:r>
    </w:p>
    <w:p>
      <w:pPr>
        <w:keepNext/>
        <w:spacing w:before="320" w:after="80"/>
      </w:pPr>
      <w:r>
        <w:rPr>
          <w:rFonts w:ascii="Arial" w:hAnsi="Arial"/>
          <w:b/>
          <w:color w:val="0F172A"/>
          <w:sz w:val="28"/>
        </w:rPr>
        <w:t>7. Perfiles de Acceso (3 Roles)</w:t>
      </w:r>
    </w:p>
    <w:p>
      <w:pPr>
        <w:spacing w:line="300" w:lineRule="auto" w:after="80" w:before="0"/>
        <w:ind w:left="360"/>
      </w:pPr>
      <w:r>
        <w:rPr>
          <w:b/>
          <w:color w:val="0F172A"/>
          <w:sz w:val="20"/>
        </w:rPr>
        <w:t xml:space="preserve">1. </w:t>
      </w: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0F172A"/>
          <w:sz w:val="20"/>
        </w:rPr>
        <w:t>Ingeniero (Admin Mayor):</w:t>
      </w:r>
      <w:r>
        <w:rPr>
          <w:rFonts w:ascii="Arial" w:hAnsi="Arial"/>
          <w:color w:val="1E293B"/>
          <w:sz w:val="20"/>
        </w:rPr>
        <w:t xml:space="preserve"> Acceso total. Administración de órdenes, creación y partición de lotes, impresión de tarjetas viajeras, configuración de rutas, almacenes y usuarios. </w:t>
      </w:r>
      <w:r>
        <w:rPr>
          <w:rFonts w:ascii="Arial" w:hAnsi="Arial"/>
          <w:i/>
          <w:color w:val="1E293B"/>
          <w:sz w:val="20"/>
        </w:rPr>
        <w:t>(Dirección General opera con perfil Ingeniero Admin para consulta y auditoría total).</w:t>
      </w:r>
      <w:r>
        <w:rPr>
          <w:rFonts w:ascii="Arial" w:hAnsi="Arial"/>
          <w:color w:val="1E293B"/>
          <w:sz w:val="20"/>
        </w:rPr>
      </w:r>
    </w:p>
    <w:p>
      <w:pPr>
        <w:spacing w:line="300" w:lineRule="auto" w:after="80" w:before="0"/>
        <w:ind w:left="360"/>
      </w:pPr>
      <w:r>
        <w:rPr>
          <w:b/>
          <w:color w:val="0F172A"/>
          <w:sz w:val="20"/>
        </w:rPr>
        <w:t xml:space="preserve">2. </w:t>
      </w: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0F172A"/>
          <w:sz w:val="20"/>
        </w:rPr>
        <w:t>Supervisor de Planta:</w:t>
      </w:r>
      <w:r>
        <w:rPr>
          <w:rFonts w:ascii="Arial" w:hAnsi="Arial"/>
          <w:color w:val="1E293B"/>
          <w:sz w:val="20"/>
        </w:rPr>
        <w:t xml:space="preserve"> Consulta de WIP de sus almacenes asignados, registro de depósito de lotes, Modo Rampa, captura de paros de máquina y resolución de reprocesos.</w:t>
      </w:r>
    </w:p>
    <w:p>
      <w:pPr>
        <w:spacing w:line="300" w:lineRule="auto" w:after="80" w:before="0"/>
        <w:ind w:left="360"/>
      </w:pPr>
      <w:r>
        <w:rPr>
          <w:b/>
          <w:color w:val="0F172A"/>
          <w:sz w:val="20"/>
        </w:rPr>
        <w:t xml:space="preserve">3. </w:t>
      </w: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0F172A"/>
          <w:sz w:val="20"/>
        </w:rPr>
        <w:t>Inspector de Calidad:</w:t>
      </w:r>
      <w:r>
        <w:rPr>
          <w:rFonts w:ascii="Arial" w:hAnsi="Arial"/>
          <w:color w:val="1E293B"/>
          <w:sz w:val="20"/>
        </w:rPr>
        <w:t xml:space="preserve"> Acceso exclusivo a los filtros de calidad para aprobar o rechazar lotes.</w:t>
      </w:r>
    </w:p>
    <w:p>
      <w:pPr>
        <w:keepNext/>
        <w:spacing w:before="320" w:after="80"/>
      </w:pPr>
      <w:r>
        <w:rPr>
          <w:rFonts w:ascii="Arial" w:hAnsi="Arial"/>
          <w:b/>
          <w:color w:val="0F172A"/>
          <w:sz w:val="28"/>
        </w:rPr>
        <w:t>8. Infraestructura, Conectividad y Póliza de Mantenimiento</w:t>
      </w:r>
    </w:p>
    <w:p>
      <w:pPr>
        <w:spacing w:line="300" w:lineRule="auto" w:after="80" w:before="0"/>
        <w:ind w:left="360"/>
      </w:pPr>
      <w:r>
        <w:rPr>
          <w:b/>
          <w:color w:val="0F172A"/>
          <w:sz w:val="20"/>
        </w:rPr>
        <w:t xml:space="preserve">1. </w:t>
      </w: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0F172A"/>
          <w:sz w:val="20"/>
        </w:rPr>
        <w:t>Conectividad 100% En Línea (Sin Modo Offline):</w:t>
      </w:r>
      <w:r>
        <w:rPr>
          <w:rFonts w:ascii="Arial" w:hAnsi="Arial"/>
          <w:color w:val="1E293B"/>
          <w:sz w:val="20"/>
        </w:rPr>
      </w:r>
    </w:p>
    <w:p>
      <w:pPr>
        <w:spacing w:line="300" w:lineRule="auto" w:after="80" w:before="0"/>
        <w:ind w:left="360"/>
      </w:pPr>
      <w:r>
        <w:rPr>
          <w:color w:val="8B5E3C"/>
          <w:sz w:val="19"/>
        </w:rPr>
        <w:t xml:space="preserve">?  </w:t>
      </w:r>
      <w:r>
        <w:rPr>
          <w:rFonts w:ascii="Arial" w:hAnsi="Arial"/>
          <w:color w:val="1E293B"/>
          <w:sz w:val="20"/>
        </w:rPr>
        <w:t>El sistema requiere red Wi-Fi estable y continua en las zonas de trabajo de la nave para actualización inmediata del WIP.</w:t>
      </w:r>
    </w:p>
    <w:p>
      <w:pPr>
        <w:spacing w:line="300" w:lineRule="auto" w:after="80" w:before="0"/>
        <w:ind w:left="360"/>
      </w:pPr>
      <w:r>
        <w:rPr>
          <w:b/>
          <w:color w:val="0F172A"/>
          <w:sz w:val="20"/>
        </w:rPr>
        <w:t xml:space="preserve">2. </w:t>
      </w: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0F172A"/>
          <w:sz w:val="20"/>
        </w:rPr>
        <w:t>Administración de Infraestructura por Uanify:</w:t>
      </w:r>
      <w:r>
        <w:rPr>
          <w:rFonts w:ascii="Arial" w:hAnsi="Arial"/>
          <w:color w:val="1E293B"/>
          <w:sz w:val="20"/>
        </w:rPr>
      </w:r>
    </w:p>
    <w:p>
      <w:pPr>
        <w:spacing w:line="300" w:lineRule="auto" w:after="80" w:before="0"/>
        <w:ind w:left="360"/>
      </w:pPr>
      <w:r>
        <w:rPr>
          <w:color w:val="8B5E3C"/>
          <w:sz w:val="19"/>
        </w:rPr>
        <w:t xml:space="preserve">?  </w:t>
      </w:r>
      <w:r>
        <w:rPr>
          <w:rFonts w:ascii="Arial" w:hAnsi="Arial"/>
          <w:color w:val="1E293B"/>
          <w:sz w:val="20"/>
        </w:rPr>
        <w:t>Uanify aloja y administra el servidor de aplicaciones, la base de datos principal y el microservicio puente SQL local.</w:t>
      </w:r>
    </w:p>
    <w:p>
      <w:pPr>
        <w:spacing w:line="300" w:lineRule="auto" w:after="80" w:before="0"/>
        <w:ind w:left="360"/>
      </w:pPr>
      <w:r>
        <w:rPr>
          <w:b/>
          <w:color w:val="0F172A"/>
          <w:sz w:val="20"/>
        </w:rPr>
        <w:t xml:space="preserve">3. </w:t>
      </w: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0F172A"/>
          <w:sz w:val="20"/>
        </w:rPr>
        <w:t>Póliza de Mantenimiento y Operación Continua:</w:t>
      </w:r>
      <w:r>
        <w:rPr>
          <w:rFonts w:ascii="Arial" w:hAnsi="Arial"/>
          <w:color w:val="1E293B"/>
          <w:sz w:val="20"/>
        </w:rPr>
      </w:r>
    </w:p>
    <w:p>
      <w:pPr>
        <w:spacing w:line="300" w:lineRule="auto" w:after="80" w:before="0"/>
        <w:ind w:left="360"/>
      </w:pPr>
      <w:r>
        <w:rPr>
          <w:color w:val="8B5E3C"/>
          <w:sz w:val="19"/>
        </w:rPr>
        <w:t xml:space="preserve">?  </w:t>
      </w:r>
      <w:r>
        <w:rPr>
          <w:rFonts w:ascii="Arial" w:hAnsi="Arial"/>
          <w:color w:val="1E293B"/>
          <w:sz w:val="20"/>
        </w:rPr>
        <w:t>Incluye: Respaldos diarios automáticos, monitoreo de disponibilidad, optimización y mantenimiento del microservicio SQL Server CONTPAQi, y soporte técnico continuo.</w:t>
      </w:r>
    </w:p>
    <w:p>
      <w:pPr>
        <w:spacing w:line="300" w:lineRule="auto" w:after="80" w:before="0"/>
        <w:ind w:left="360"/>
      </w:pPr>
      <w:r>
        <w:rPr>
          <w:color w:val="8B5E3C"/>
          <w:sz w:val="19"/>
        </w:rPr>
        <w:t xml:space="preserve">?  </w:t>
      </w:r>
      <w:r>
        <w:rPr>
          <w:rFonts w:ascii="Arial" w:hAnsi="Arial"/>
          <w:color w:val="1E293B"/>
          <w:sz w:val="20"/>
        </w:rPr>
      </w:r>
      <w:r>
        <w:rPr>
          <w:rFonts w:ascii="Arial" w:hAnsi="Arial"/>
          <w:i/>
          <w:color w:val="1E293B"/>
          <w:sz w:val="20"/>
        </w:rPr>
        <w:t>Operación si no se contrata póliza:</w:t>
      </w:r>
      <w:r>
        <w:rPr>
          <w:rFonts w:ascii="Arial" w:hAnsi="Arial"/>
          <w:color w:val="1E293B"/>
          <w:sz w:val="20"/>
        </w:rPr>
        <w:t xml:space="preserve"> Si el cliente opta por operar de forma autónoma, se le entregan los instaladores y base de datos local, cesando los servicios administrados de respaldo y soporte de Uanify.</w:t>
      </w:r>
    </w:p>
    <w:p>
      <w:pPr>
        <w:keepNext/>
        <w:spacing w:before="320" w:after="80"/>
      </w:pPr>
      <w:r>
        <w:rPr>
          <w:rFonts w:ascii="Arial" w:hAnsi="Arial"/>
          <w:b/>
          <w:color w:val="0F172A"/>
          <w:sz w:val="28"/>
        </w:rPr>
        <w:t>9. Metodología de Entrega y Cronograma (12 Semanas Totales)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1F5F9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9"/>
              </w:rPr>
              <w:t>Fase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1F5F9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9"/>
              </w:rPr>
              <w:t>Duración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1F5F9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9"/>
              </w:rPr>
              <w:t>Actividades Clave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**Fase 1: Desarrollo e Integraciones**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8 semanas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Construcción de módulos, vistas de almacén, terminal QR y puente SQL CONTPAQi.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**Fase 2: Pruebas UAT en Planta**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1 semana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Despliegue en piso, pruebas con usuarios reales y validación de tarjetas viajeras.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**Fase 3: Refinamiento y Ajustes**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2 semanas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Ajustes de ergonomía táctil, afinación de vistas y validación de descargas SQL.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**Fase 4: Pruebas Finales y Go-Live**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1 semana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Puesta en marcha oficial en nave industrial y arranque productivo.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**TOTAL**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**12 semanas**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**Entrega formal del sistema en piso.**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220" w:type="dxa"/>
              <w:right w:w="220" w:type="dxa"/>
            </w:tcMar>
            <w:tcBorders>
              <w:top w:val="none"/>
              <w:left w:val="single" w:sz="24" w:space="0" w:color="8B5E3C"/>
              <w:bottom w:val="none"/>
              <w:right w:val="none"/>
            </w:tcBorders>
          </w:tcPr>
          <w:p>
            <w:pPr>
              <w:spacing w:before="40" w:after="40" w:line="300" w:lineRule="auto"/>
            </w:pPr>
            <w:r>
              <w:rPr>
                <w:rFonts w:ascii="Arial" w:hAnsi="Arial"/>
                <w:color w:val="1E293B"/>
                <w:sz w:val="19"/>
              </w:rPr>
            </w:r>
            <w:r>
              <w:rPr>
                <w:rFonts w:ascii="Arial" w:hAnsi="Arial"/>
                <w:b/>
                <w:color w:val="0F172A"/>
                <w:sz w:val="19"/>
              </w:rPr>
              <w:t>Garantía Post-Arranque:</w:t>
            </w:r>
            <w:r>
              <w:rPr>
                <w:rFonts w:ascii="Arial" w:hAnsi="Arial"/>
                <w:color w:val="1E293B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0F172A"/>
                <w:sz w:val="19"/>
              </w:rPr>
              <w:t>5 semanas de soporte correctivo directo</w:t>
            </w:r>
            <w:r>
              <w:rPr>
                <w:rFonts w:ascii="Arial" w:hAnsi="Arial"/>
                <w:color w:val="1E293B"/>
                <w:sz w:val="19"/>
              </w:rPr>
              <w:t xml:space="preserve"> a partir del Go-Live formal en planta.</w:t>
            </w:r>
            <w:r/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Arial" w:hAnsi="Arial"/>
          <w:b/>
          <w:color w:val="0F172A"/>
          <w:sz w:val="28"/>
        </w:rPr>
        <w:t>10. Modelo Comercial e Inversión</w:t>
      </w:r>
    </w:p>
    <w:p>
      <w:pPr>
        <w:spacing w:line="300" w:lineRule="auto" w:after="80" w:before="0"/>
        <w:ind w:left="360"/>
      </w:pPr>
      <w:r>
        <w:rPr>
          <w:b/>
          <w:color w:val="0F172A"/>
          <w:sz w:val="20"/>
        </w:rPr>
        <w:t xml:space="preserve">1. </w:t>
      </w: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0F172A"/>
          <w:sz w:val="20"/>
        </w:rPr>
        <w:t>Desarrollo del Sistema MES (12 semanas):</w:t>
      </w:r>
      <w:r>
        <w:rPr>
          <w:rFonts w:ascii="Arial" w:hAnsi="Arial"/>
          <w:color w:val="1E293B"/>
          <w:sz w:val="20"/>
        </w:rPr>
      </w:r>
    </w:p>
    <w:p>
      <w:pPr>
        <w:spacing w:line="300" w:lineRule="auto" w:after="80" w:before="0"/>
        <w:ind w:left="360"/>
      </w:pPr>
      <w:r>
        <w:rPr>
          <w:color w:val="8B5E3C"/>
          <w:sz w:val="19"/>
        </w:rPr>
        <w:t xml:space="preserve">?  </w:t>
      </w:r>
      <w:r>
        <w:rPr>
          <w:rFonts w:ascii="Arial" w:hAnsi="Arial"/>
          <w:color w:val="1E293B"/>
          <w:sz w:val="20"/>
        </w:rPr>
      </w:r>
      <w:r>
        <w:rPr>
          <w:rFonts w:ascii="Arial" w:hAnsi="Arial"/>
          <w:i/>
          <w:color w:val="1E293B"/>
          <w:sz w:val="20"/>
        </w:rPr>
        <w:t>Rango de Inversión:</w:t>
      </w:r>
      <w:r>
        <w:rPr>
          <w:rFonts w:ascii="Arial" w:hAnsi="Arial"/>
          <w:color w:val="1E293B"/>
          <w:sz w:val="20"/>
        </w:rPr>
        <w:t xml:space="preserve"> </w:t>
      </w:r>
      <w:r>
        <w:rPr>
          <w:rFonts w:ascii="Arial" w:hAnsi="Arial"/>
          <w:b/>
          <w:color w:val="0F172A"/>
          <w:sz w:val="20"/>
        </w:rPr>
        <w:t>[Pendiente de definir tras aprobación de módulos y diagramas de flujo]</w:t>
      </w:r>
      <w:r>
        <w:rPr>
          <w:rFonts w:ascii="Arial" w:hAnsi="Arial"/>
          <w:color w:val="1E293B"/>
          <w:sz w:val="20"/>
        </w:rPr>
      </w:r>
    </w:p>
    <w:p>
      <w:pPr>
        <w:spacing w:line="300" w:lineRule="auto" w:after="80" w:before="0"/>
        <w:ind w:left="360"/>
      </w:pPr>
      <w:r>
        <w:rPr>
          <w:b/>
          <w:color w:val="0F172A"/>
          <w:sz w:val="20"/>
        </w:rPr>
        <w:t xml:space="preserve">2. </w:t>
      </w: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0F172A"/>
          <w:sz w:val="20"/>
        </w:rPr>
        <w:t>Hardware de Piso (Opción B):</w:t>
      </w:r>
      <w:r>
        <w:rPr>
          <w:rFonts w:ascii="Arial" w:hAnsi="Arial"/>
          <w:color w:val="1E293B"/>
          <w:sz w:val="20"/>
        </w:rPr>
      </w:r>
    </w:p>
    <w:p>
      <w:pPr>
        <w:spacing w:line="300" w:lineRule="auto" w:after="80" w:before="0"/>
        <w:ind w:left="360"/>
      </w:pPr>
      <w:r>
        <w:rPr>
          <w:color w:val="8B5E3C"/>
          <w:sz w:val="19"/>
        </w:rPr>
        <w:t xml:space="preserve">?  </w:t>
      </w:r>
      <w:r>
        <w:rPr>
          <w:rFonts w:ascii="Arial" w:hAnsi="Arial"/>
          <w:color w:val="1E293B"/>
          <w:sz w:val="20"/>
        </w:rPr>
        <w:t>Cotización de lectores ópticos 2D industriales y accesorios según estaciones requeridas.</w:t>
      </w:r>
    </w:p>
    <w:p>
      <w:pPr>
        <w:spacing w:line="300" w:lineRule="auto" w:after="80" w:before="0"/>
        <w:ind w:left="360"/>
      </w:pPr>
      <w:r>
        <w:rPr>
          <w:b/>
          <w:color w:val="0F172A"/>
          <w:sz w:val="20"/>
        </w:rPr>
        <w:t xml:space="preserve">3. </w:t>
      </w: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0F172A"/>
          <w:sz w:val="20"/>
        </w:rPr>
        <w:t>Póliza de Mantenimiento y Soporte Continuo:</w:t>
      </w:r>
      <w:r>
        <w:rPr>
          <w:rFonts w:ascii="Arial" w:hAnsi="Arial"/>
          <w:color w:val="1E293B"/>
          <w:sz w:val="20"/>
        </w:rPr>
      </w:r>
    </w:p>
    <w:p>
      <w:pPr>
        <w:spacing w:line="300" w:lineRule="auto" w:after="80" w:before="0"/>
        <w:ind w:left="360"/>
      </w:pPr>
      <w:r>
        <w:rPr>
          <w:color w:val="8B5E3C"/>
          <w:sz w:val="19"/>
        </w:rPr>
        <w:t xml:space="preserve">?  </w:t>
      </w:r>
      <w:r>
        <w:rPr>
          <w:rFonts w:ascii="Arial" w:hAnsi="Arial"/>
          <w:color w:val="1E293B"/>
          <w:sz w:val="20"/>
        </w:rPr>
        <w:t>Cuota mensual administrada: Respaldos, monitoreo de servidor, afinación de enlace SQL y soporte a incidencias.</w:t>
      </w:r>
    </w:p>
    <w:p>
      <w:pPr>
        <w:keepNext/>
        <w:spacing w:before="320" w:after="80"/>
      </w:pPr>
      <w:r>
        <w:rPr>
          <w:rFonts w:ascii="Arial" w:hAnsi="Arial"/>
          <w:b/>
          <w:color w:val="0F172A"/>
          <w:sz w:val="28"/>
        </w:rPr>
        <w:t>11. Supuestos y Exclusiones del MVP</w:t>
      </w:r>
    </w:p>
    <w:p>
      <w:pPr>
        <w:keepNext/>
        <w:spacing w:before="240" w:after="60"/>
      </w:pPr>
      <w:r>
        <w:rPr>
          <w:rFonts w:ascii="Arial" w:hAnsi="Arial"/>
          <w:b/>
          <w:color w:val="8B5E3C"/>
          <w:sz w:val="23"/>
        </w:rPr>
        <w:t>Supuestos Obligatorios:</w:t>
      </w:r>
    </w:p>
    <w:p>
      <w:pPr>
        <w:spacing w:line="300" w:lineRule="auto" w:after="80" w:before="0"/>
        <w:ind w:left="360"/>
      </w:pPr>
      <w:r>
        <w:rPr>
          <w:b/>
          <w:color w:val="0F172A"/>
          <w:sz w:val="20"/>
        </w:rPr>
        <w:t xml:space="preserve">1. </w:t>
      </w:r>
      <w:r>
        <w:rPr>
          <w:rFonts w:ascii="Arial" w:hAnsi="Arial"/>
          <w:color w:val="1E293B"/>
          <w:sz w:val="20"/>
        </w:rPr>
        <w:t>Red local Wi-Fi con cobertura estable y continua en los puntos de almacén y calidad de la nave.</w:t>
      </w:r>
    </w:p>
    <w:p>
      <w:pPr>
        <w:spacing w:line="300" w:lineRule="auto" w:after="80" w:before="0"/>
        <w:ind w:left="360"/>
      </w:pPr>
      <w:r>
        <w:rPr>
          <w:b/>
          <w:color w:val="0F172A"/>
          <w:sz w:val="20"/>
        </w:rPr>
        <w:t xml:space="preserve">2. </w:t>
      </w:r>
      <w:r>
        <w:rPr>
          <w:rFonts w:ascii="Arial" w:hAnsi="Arial"/>
          <w:color w:val="1E293B"/>
          <w:sz w:val="20"/>
        </w:rPr>
        <w:t>Servidor de CONTPAQi Comercial accesible en red local con credenciales a Microsoft SQL Server.</w:t>
      </w:r>
    </w:p>
    <w:p>
      <w:pPr>
        <w:spacing w:line="300" w:lineRule="auto" w:after="80" w:before="0"/>
        <w:ind w:left="360"/>
      </w:pPr>
      <w:r>
        <w:rPr>
          <w:b/>
          <w:color w:val="0F172A"/>
          <w:sz w:val="20"/>
        </w:rPr>
        <w:t xml:space="preserve">3. </w:t>
      </w:r>
      <w:r>
        <w:rPr>
          <w:rFonts w:ascii="Arial" w:hAnsi="Arial"/>
          <w:color w:val="1E293B"/>
          <w:sz w:val="20"/>
        </w:rPr>
        <w:t>Impresora láser de oficina funcional para impresión de tarjetas en papel carta estándar.</w:t>
      </w:r>
    </w:p>
    <w:p>
      <w:pPr>
        <w:keepNext/>
        <w:spacing w:before="240" w:after="60"/>
      </w:pPr>
      <w:r>
        <w:rPr>
          <w:rFonts w:ascii="Arial" w:hAnsi="Arial"/>
          <w:b/>
          <w:color w:val="8B5E3C"/>
          <w:sz w:val="23"/>
        </w:rPr>
        <w:t>Exclusiones Explícitas del Alcance:</w:t>
      </w:r>
    </w:p>
    <w:p>
      <w:pPr>
        <w:spacing w:line="300" w:lineRule="auto" w:after="80" w:before="0"/>
        <w:ind w:left="360"/>
      </w:pPr>
      <w:r>
        <w:rPr>
          <w:b/>
          <w:color w:val="0F172A"/>
          <w:sz w:val="20"/>
        </w:rPr>
        <w:t xml:space="preserve">1. </w:t>
      </w: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0F172A"/>
          <w:sz w:val="20"/>
        </w:rPr>
        <w:t>Modo Offline:</w:t>
      </w:r>
      <w:r>
        <w:rPr>
          <w:rFonts w:ascii="Arial" w:hAnsi="Arial"/>
          <w:color w:val="1E293B"/>
          <w:sz w:val="20"/>
        </w:rPr>
        <w:t xml:space="preserve"> No se contempla almacenamiento en desconexión.</w:t>
      </w:r>
    </w:p>
    <w:p>
      <w:pPr>
        <w:spacing w:line="300" w:lineRule="auto" w:after="80" w:before="0"/>
        <w:ind w:left="360"/>
      </w:pPr>
      <w:r>
        <w:rPr>
          <w:b/>
          <w:color w:val="0F172A"/>
          <w:sz w:val="20"/>
        </w:rPr>
        <w:t xml:space="preserve">2. </w:t>
      </w: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0F172A"/>
          <w:sz w:val="20"/>
        </w:rPr>
        <w:t>Algoritmos automáticos de optimización de corte o loteo:</w:t>
      </w:r>
      <w:r>
        <w:rPr>
          <w:rFonts w:ascii="Arial" w:hAnsi="Arial"/>
          <w:color w:val="1E293B"/>
          <w:sz w:val="20"/>
        </w:rPr>
        <w:t xml:space="preserve"> La partición la define el usuario.</w:t>
      </w:r>
    </w:p>
    <w:p>
      <w:pPr>
        <w:spacing w:line="300" w:lineRule="auto" w:after="80" w:before="0"/>
        <w:ind w:left="360"/>
      </w:pPr>
      <w:r>
        <w:rPr>
          <w:b/>
          <w:color w:val="0F172A"/>
          <w:sz w:val="20"/>
        </w:rPr>
        <w:t xml:space="preserve">3. </w:t>
      </w: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0F172A"/>
          <w:sz w:val="20"/>
        </w:rPr>
        <w:t>Kárdex contable valorizado:</w:t>
      </w:r>
      <w:r>
        <w:rPr>
          <w:rFonts w:ascii="Arial" w:hAnsi="Arial"/>
          <w:color w:val="1E293B"/>
          <w:sz w:val="20"/>
        </w:rPr>
        <w:t xml:space="preserve"> Se entrega bitácora física de movimientos por lote; la contabilidad de costos permanece en CONTPAQi.</w:t>
      </w:r>
    </w:p>
    <w:p>
      <w:pPr>
        <w:spacing w:line="300" w:lineRule="auto" w:after="80" w:before="0"/>
        <w:ind w:left="360"/>
      </w:pPr>
      <w:r>
        <w:rPr>
          <w:b/>
          <w:color w:val="0F172A"/>
          <w:sz w:val="20"/>
        </w:rPr>
        <w:t xml:space="preserve">4. </w:t>
      </w: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0F172A"/>
          <w:sz w:val="20"/>
        </w:rPr>
        <w:t>Pantallas Smart TV / Andon en vigas:</w:t>
      </w:r>
      <w:r>
        <w:rPr>
          <w:rFonts w:ascii="Arial" w:hAnsi="Arial"/>
          <w:color w:val="1E293B"/>
          <w:sz w:val="20"/>
        </w:rPr>
        <w:t xml:space="preserve"> La visualización se concentra en tablets y PCs.</w:t>
      </w:r>
    </w:p>
    <w:p>
      <w:pPr>
        <w:spacing w:line="300" w:lineRule="auto" w:after="80" w:before="0"/>
        <w:ind w:left="360"/>
      </w:pPr>
      <w:r>
        <w:rPr>
          <w:b/>
          <w:color w:val="0F172A"/>
          <w:sz w:val="20"/>
        </w:rPr>
        <w:t xml:space="preserve">5. </w:t>
      </w: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0F172A"/>
          <w:sz w:val="20"/>
        </w:rPr>
        <w:t>Sensores IoT / Telemetría física en prensas:</w:t>
      </w:r>
      <w:r>
        <w:rPr>
          <w:rFonts w:ascii="Arial" w:hAnsi="Arial"/>
          <w:color w:val="1E293B"/>
          <w:sz w:val="20"/>
        </w:rPr>
        <w:t xml:space="preserve"> El registro de paros es por captura manual táctil.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4748B"/>
        <w:sz w:val="17"/>
      </w:rPr>
      <w:t>Tombstone Hats MES ? Uanify Software Industrial  |  Confidencial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