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09" w:rsidRPr="00351F37" w:rsidRDefault="003F2B7A" w:rsidP="00351F37">
      <w:pPr>
        <w:pStyle w:val="1"/>
        <w:spacing w:after="480" w:line="276" w:lineRule="auto"/>
        <w:ind w:left="1418" w:hanging="709"/>
        <w:rPr>
          <w:rFonts w:cs="Times New Roman"/>
        </w:rPr>
      </w:pPr>
      <w:r>
        <w:rPr>
          <w:rFonts w:cs="Times New Roman"/>
        </w:rPr>
        <w:t>5</w:t>
      </w:r>
      <w:r w:rsidR="00950988">
        <w:rPr>
          <w:rFonts w:cs="Times New Roman"/>
        </w:rPr>
        <w:tab/>
      </w:r>
      <w:r w:rsidR="00950988" w:rsidRPr="00367CD0">
        <w:rPr>
          <w:rFonts w:cs="Times New Roman"/>
        </w:rPr>
        <w:t>РЕАЛИЗАЦИЯ ЭРГОНОМИЧЕСКОЙ СОВМЕСТИМОСТИ РАБОТНИКА И ТЕХНИЧЕСКОГО СРЕДСТВА ПРИ РАЗРАБОТКЕ И ЭКСПЛУАТАЦИИ ВЕБ-ПРИЛОЖЕНИЯ</w:t>
      </w:r>
    </w:p>
    <w:p w:rsidR="00F50279" w:rsidRDefault="00F50279" w:rsidP="00F50279">
      <w:pPr>
        <w:pStyle w:val="a5"/>
        <w:spacing w:before="0" w:beforeAutospacing="0" w:after="0" w:afterAutospacing="0"/>
        <w:ind w:firstLine="709"/>
        <w:jc w:val="both"/>
      </w:pPr>
      <w:r w:rsidRPr="00C62F46">
        <w:rPr>
          <w:color w:val="000000"/>
          <w:sz w:val="28"/>
          <w:szCs w:val="28"/>
        </w:rPr>
        <w:t xml:space="preserve">Целью дипломного проекта является </w:t>
      </w:r>
      <w:r>
        <w:rPr>
          <w:color w:val="000000"/>
          <w:sz w:val="28"/>
          <w:szCs w:val="28"/>
        </w:rPr>
        <w:t xml:space="preserve">разработка </w:t>
      </w:r>
      <w:r w:rsidRPr="00C62F46">
        <w:rPr>
          <w:color w:val="000000"/>
          <w:sz w:val="28"/>
          <w:szCs w:val="28"/>
        </w:rPr>
        <w:t xml:space="preserve">веб-приложения </w:t>
      </w:r>
      <w:r>
        <w:rPr>
          <w:color w:val="000000"/>
          <w:sz w:val="28"/>
          <w:szCs w:val="28"/>
        </w:rPr>
        <w:t>приложения для совместного использования частного автомобиля и его инженерно-психологическое обеспечение.</w:t>
      </w:r>
    </w:p>
    <w:p w:rsidR="00C96D67" w:rsidRDefault="00F50279" w:rsidP="00F50279">
      <w:pPr>
        <w:pStyle w:val="a5"/>
        <w:widowControl w:val="0"/>
        <w:spacing w:before="0" w:beforeAutospacing="0" w:after="0" w:afterAutospacing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C62F46">
        <w:rPr>
          <w:color w:val="000000"/>
          <w:sz w:val="28"/>
          <w:szCs w:val="28"/>
        </w:rPr>
        <w:t xml:space="preserve">Данная система представляет собой веб-приложение, посредством которого </w:t>
      </w:r>
      <w:r>
        <w:rPr>
          <w:color w:val="000000"/>
          <w:sz w:val="28"/>
          <w:szCs w:val="28"/>
        </w:rPr>
        <w:t>водители смогут найти попутчиков, в дорогу, с которыми можно будет как приятно пообщаться, так и разделить трату на бензин. Попутчикам приложение позволит найти водителя, с автомобилем, который двигается в интересующем направлении, что позволит быстро и с комфортом добраться до интересующего населенного пункта.</w:t>
      </w:r>
      <w:r w:rsidR="00C96D67">
        <w:rPr>
          <w:color w:val="000000"/>
          <w:sz w:val="28"/>
          <w:szCs w:val="28"/>
        </w:rPr>
        <w:t xml:space="preserve"> Приложение можно использовать с любого устройства с доступом в интернет. 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прогресс и широкое внедрение в производство информационных технологий значительно изменяют содержание и условия труда, что является предпосылкой для облегчения труда человека, освобождения его от выполнения однообразных трудоемких ручных операций, и вместе с тем приводит к появлению новых факторов, негативно влияющих на организм работников, среди которых на первое место выходит повышенная напряженность труда, обусловленная высокими требованиями к уровню психической деятельности человека. По этой причине внедрение в производство новейших технологий может быть успешно реализовано и дать положительный эффект лишь при достаточно полном учете характера все усложняющихся связей между человеком и техническим окружением всестороннем учете возможностей человека (человеческого фактора), его физиологических, психологических, антропометрических,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стетических и других свойств [12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Рациональная совместимость возможностей человека и характеристик технических средств, оптимальное распределение функций между элементами системы «человек-машина» существенно повышают ее надежность, эффективность и обусловливают оптимальное использование человеком технических средств в соответствии с их назначением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[12]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указанных задач эргономика использует данные и методы наук, изучающих свойства и возможности человека - физиологии, психологии, социологии и гигиены труда, антропологии, инженерной психологии и др. На их основании разрабатываются эргономические требования и рекомендации к 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различным видам технических средств, видам деятельности, организации трудового процесса, рабочим мес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там и производственной среде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человеко-машинная система функционировала эффективно и не приносила ущерба здоровью человека, необходимо прежде всего обеспечить совместимость характеристик машины и человека. Совместимость человека с машиной определяется его пространственно-антропометрической, сенсомоторной, энергетической (биомеханической) и психофизиологической совместимостью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D1241F">
        <w:rPr>
          <w:rFonts w:ascii="Times New Roman" w:eastAsia="Times New Roman" w:hAnsi="Times New Roman" w:cs="Times New Roman"/>
          <w:sz w:val="28"/>
          <w:szCs w:val="28"/>
          <w:lang w:eastAsia="ru-RU"/>
        </w:rPr>
        <w:t>[12]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Пространственно-антропометрическая совместимость</w:t>
      </w:r>
      <w:r w:rsidRPr="003627F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 необходимость учета размеров тела человека, его возможности обзора внешнего пространства, определения зоны досягаемости для конечностей и </w:t>
      </w:r>
      <w:proofErr w:type="spellStart"/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[12]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3627FA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Антропометрические характеристики человека подразделяются на статические и динамические. К статическим характеристикам относятся размеры тела и его отдельных частей - рук, ног, кистей, стоп и др., к динамическим - возможные углы поворота отдельных 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 тела, зоны досягаемости [12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Сенсомоторная совместимость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учет скорости двигательных (моторных) операций человека и его сенсорных реакций на различные виды раздражителей (световые, звуковые и др.) при выборе скорости работы машины и подачи сигналов.</w:t>
      </w:r>
    </w:p>
    <w:p w:rsidR="00950988" w:rsidRPr="00367CD0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Энергетическая (биомеханическая) совместимость</w:t>
      </w:r>
      <w:r w:rsidRPr="00367CD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 согласование прилагаемых усилий, затрачиваемой мощности, скорости и точности движений ручных и ножных органов управления, с биомеханическими возможностями человека, которые в зависимости от частоты их использования и важности должны располагаться в соответствующих зонах досягаемости. Усилия на органах управления не должны быть слишком маленькими, чтобы можно было контролировать выполненные действия, и не слишком большими, так как большие усилия приводят к быстрой усталости и перенапряжению мышц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Default="00950988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Умственный труд связан с приемом и переработкой информации и требует напряжения внимания, памяти, активизации процессов мышления, связан с повышенной эмоциональной нагрузкой.</w:t>
      </w:r>
      <w:r w:rsidRPr="00D8160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умственного труда характерно снижение двигательной активности - </w:t>
      </w:r>
      <w:r w:rsidRPr="00367C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гипокинезия. 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Гипокинезия может являться условием формирования сердечно</w:t>
      </w:r>
      <w:r w:rsidR="00D8160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сосудистых нарушений у человека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Pr="00367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433FE" w:rsidRPr="003627FA" w:rsidRDefault="002433FE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Продолжительная умственная нагрузка оказывает отрицательное влияние на психическую деятельность - ухудшаются внимание, память, функции восприятия окружающей среды. Самочувствие человека и, в </w:t>
      </w: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конечном счете, его состояние здоровья в значительной мере зависит от правильной организации умственного труда и от параметров окружающей среды, в которой осуществляется умственная деятельность человека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>[13].</w:t>
      </w:r>
    </w:p>
    <w:p w:rsidR="00653AF5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контролем зрения совершается до - 80% - 90%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трудовых операций. Множество тонких и точных операций выполняется в электронной и приборостроительной промышленности. Значительное место среди работ, вызывающих зрительное напряжение, занимает труд операторов,</w:t>
      </w:r>
      <w:r w:rsidRPr="003627F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 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работающих на дисплеях ЭВМ. Такая работа приводит к развитию зрительного утомления. Причиной этого являются: 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фиксация близко расположенных, двигающихся объектов; 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длительное рассматривание мелких деталей;</w:t>
      </w:r>
    </w:p>
    <w:p w:rsidR="00653AF5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постоянный перевод взгляда с одного объекта на другой; </w:t>
      </w:r>
    </w:p>
    <w:p w:rsid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 xml:space="preserve">частые и резкие переходы от света к тени и обратно; </w:t>
      </w:r>
    </w:p>
    <w:p w:rsidR="00950988" w:rsidRPr="00653AF5" w:rsidRDefault="00950988" w:rsidP="00653AF5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пульсации освещенности и другое.</w:t>
      </w:r>
    </w:p>
    <w:p w:rsidR="00950988" w:rsidRDefault="00950988" w:rsidP="0095098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неблагоприятному воздействию этих факторов добавляется строго фиксированная рабочая поза и гипокинезия. Кроме того, работа за видеотерминалами требует большого нервно-психического напряжения, связанного с необходимостью длительного наблюдения, концентрации памяти и внимания, решения сложных задач</w:t>
      </w:r>
      <w:r w:rsid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33FE" w:rsidRPr="003627FA" w:rsidRDefault="002433FE" w:rsidP="002433F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Трудовая деятельность человека должна осуществляться в допустимых условиях производственной среды, речь идет о создании таких условий, при которых негативные воздействия не превышали бы защитных способностей организма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[13</w:t>
      </w:r>
      <w:r w:rsidRPr="003627FA">
        <w:rPr>
          <w:rFonts w:ascii="Times New Roman" w:eastAsia="Times New Roman" w:hAnsi="Times New Roman" w:cs="Times New Roman"/>
          <w:sz w:val="28"/>
          <w:szCs w:val="28"/>
          <w:lang w:eastAsia="ru-RU"/>
        </w:rPr>
        <w:t>].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Помещения, где эксплуатируются компьютеры, должны иметь как естественное, так и искусственное освеще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ние.</w:t>
      </w:r>
      <w:r w:rsidR="00D548DA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Естественное освещение на рабочих местах с компьютером должно осуществляться через световые проемы, ориентированные преимущественно на север, северо-восток, восток, запад или северо-запад, и обеспечивать коэффициент естественной освещенности не ниже 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1,5 процента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[13]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Оконные проемы должны быть оборудованы регулируемыми устройствами типа жалюзи, занавес</w:t>
      </w:r>
      <w:r w:rsid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ей, внешних козырьков и другого.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одного рабочего места для пользователей компьютеров должна составлять не менее 6 </w:t>
      </w:r>
      <w:proofErr w:type="spellStart"/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кв.м</w:t>
      </w:r>
      <w:proofErr w:type="spellEnd"/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Площадь одного рабочего места может составлять не менее 4,5 </w:t>
      </w:r>
      <w:proofErr w:type="spellStart"/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кв.м</w:t>
      </w:r>
      <w:proofErr w:type="spellEnd"/>
      <w:r w:rsidR="00BB70F7"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каждого пользователя при одновременном наличии двух условий:</w:t>
      </w:r>
    </w:p>
    <w:p w:rsidR="00950988" w:rsidRPr="00BB70F7" w:rsidRDefault="00950988" w:rsidP="00BB70F7">
      <w:pPr>
        <w:pStyle w:val="a3"/>
        <w:numPr>
          <w:ilvl w:val="0"/>
          <w:numId w:val="5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B70F7">
        <w:rPr>
          <w:rFonts w:eastAsia="Times New Roman" w:cs="Times New Roman"/>
          <w:sz w:val="28"/>
          <w:szCs w:val="28"/>
          <w:lang w:eastAsia="ru-RU"/>
        </w:rPr>
        <w:t>Отсутствие на рабочем месте периферийных устройств (принтер, сканер и другое);</w:t>
      </w:r>
    </w:p>
    <w:p w:rsidR="00950988" w:rsidRPr="00BB70F7" w:rsidRDefault="00950988" w:rsidP="00BB70F7">
      <w:pPr>
        <w:pStyle w:val="a3"/>
        <w:numPr>
          <w:ilvl w:val="0"/>
          <w:numId w:val="5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B70F7">
        <w:rPr>
          <w:rFonts w:eastAsia="Times New Roman" w:cs="Times New Roman"/>
          <w:sz w:val="28"/>
          <w:szCs w:val="28"/>
          <w:lang w:eastAsia="ru-RU"/>
        </w:rPr>
        <w:t>Продолжительность работы должна составлять не более 4 часов в день.</w:t>
      </w:r>
    </w:p>
    <w:p w:rsidR="00950988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Площадь одного рабочего места может составлять не менее 4,5 </w:t>
      </w:r>
      <w:proofErr w:type="spellStart"/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кв.м</w:t>
      </w:r>
      <w:proofErr w:type="spellEnd"/>
      <w:r w:rsidR="00BB70F7"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каждого пользователя при использовании компьютеров на базе плоских дискретных экранов (жидкокриста</w:t>
      </w:r>
      <w:r w:rsid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ллические, плазменные и другие)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BB70F7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0F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50988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работы с компьютерами помещения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</w:t>
      </w:r>
      <w:r w:rsidR="00950988"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высотой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пола до потолка не менее 3,0 м.</w:t>
      </w:r>
    </w:p>
    <w:p w:rsidR="00950988" w:rsidRPr="00D548DA" w:rsidRDefault="00950988" w:rsidP="00D548D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рабочему месту, на котором выполняется работа за компьютером, установлены Санитарными нормами № 59 [14].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размещении рабочих мест с компьютерами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2,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0 м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расстояние между боковыми поверхност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видеомониторов – не менее 1,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2 м</w:t>
      </w:r>
      <w:r w:rsid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>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Рабочие места с компьютерами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перегородками высотой 1,5–2,0 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 видеомонитора должен находиться на расстоянии 600–700 мм от глаз пользователя, но не ближе 500 мм с учетом размеров алфав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итно-цифровых знаков и символов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 рабочего стола должна предусматривать оптимальное размещение компьютера и другого оборудования с учетом специфики выполняемой р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аботы и количества оборудования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яемой и иметь надежную фиксацию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654B" w:rsidRPr="00D1241F">
        <w:rPr>
          <w:rFonts w:ascii="Times New Roman" w:eastAsia="Times New Roman" w:hAnsi="Times New Roman" w:cs="Times New Roman"/>
          <w:sz w:val="28"/>
          <w:szCs w:val="28"/>
          <w:lang w:eastAsia="ru-RU"/>
        </w:rPr>
        <w:t>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Высота рабочей поверхности стола для взрослых пользователей должна регулироваться в пределах 680–800 мм. При отсутствии такой возможности высота рабочей поверхности стола должна составлять 725 мм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Рабочий стол должен иметь пространство для ног высотой не менее 600 мм, шириной – не менее 500 мм, глубиной на уровне колен – не менее 450 мм и на уровне 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вытянутых ног – не менее 650 мм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="00653A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88" w:rsidRPr="00D548DA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 рабочего стула (кресла) должна обеспечивать: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Ширину и глубину поверхности сиденья не менее 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Поверхность сиденья с закругленным передним краем;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высоты поверхности сиденья в пределах 400–550 мм и угла наклона вперед до 15 градусов и назад до 5 градусов;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lastRenderedPageBreak/>
        <w:t>Высоту опорной поверхности спинки 300 +/– 20 мм, ширину не менее 380 мм и радиус кривизны горизонтальной плоскости – 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Угол наклона спинки в вертикальной плоскости в пределах 0 +/– 30 градусов;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расстояния спинки от переднего края сиденья в пределах 260–400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Стационарные или съемные подлокотники длиной не менее 250 мм и шириной 50–70 мм;</w:t>
      </w:r>
    </w:p>
    <w:p w:rsidR="00950988" w:rsidRPr="00653AF5" w:rsidRDefault="00950988" w:rsidP="00653AF5">
      <w:pPr>
        <w:pStyle w:val="a3"/>
        <w:numPr>
          <w:ilvl w:val="0"/>
          <w:numId w:val="8"/>
        </w:numPr>
        <w:tabs>
          <w:tab w:val="left" w:pos="1134"/>
          <w:tab w:val="left" w:pos="1701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3AF5">
        <w:rPr>
          <w:rFonts w:eastAsia="Times New Roman" w:cs="Times New Roman"/>
          <w:sz w:val="28"/>
          <w:szCs w:val="28"/>
          <w:lang w:eastAsia="ru-RU"/>
        </w:rPr>
        <w:t>Регулировку подлокотников по высоте над сиденьем в пределах 230 +/– 30 мм и внутреннего расстояния между подлокотниками в пределах 350–500 мм.</w:t>
      </w:r>
    </w:p>
    <w:p w:rsidR="004A13C2" w:rsidRDefault="00950988" w:rsidP="00D548D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Клавиатуру следует располагать на поверхности стола на расстоянии 100–300 мм от края, обращенного ко взрослому пользователю, или на специальной, регулируемой по высоте рабочей поверхности, отделенной от основной столешницы</w:t>
      </w:r>
      <w:r w:rsidR="0070654B" w:rsidRPr="007065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[14]</w:t>
      </w:r>
      <w:r w:rsidRPr="00D548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268A" w:rsidRDefault="000D268A" w:rsidP="000D268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вышеизложенного следует, что для высокой работоспособности и получения эффективной отдачи от труда работников, с наименьшим ущербом для их состояния здоровья, необходимо: 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 xml:space="preserve">правильно, в соответствии с научно разработанными нормативами, организовать рабочие места; 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>поддерживать микроклимат и аэроионный состав воздуха рабочей зоны;</w:t>
      </w:r>
    </w:p>
    <w:p w:rsidR="000D268A" w:rsidRPr="000D268A" w:rsidRDefault="000D268A" w:rsidP="000D268A">
      <w:pPr>
        <w:pStyle w:val="a3"/>
        <w:numPr>
          <w:ilvl w:val="0"/>
          <w:numId w:val="9"/>
        </w:numPr>
        <w:tabs>
          <w:tab w:val="left" w:pos="1134"/>
        </w:tabs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D268A">
        <w:rPr>
          <w:rFonts w:eastAsia="Times New Roman" w:cs="Times New Roman"/>
          <w:sz w:val="28"/>
          <w:szCs w:val="28"/>
          <w:lang w:eastAsia="ru-RU"/>
        </w:rPr>
        <w:t xml:space="preserve">следить за соблюдением режима труда и отдыха. </w:t>
      </w:r>
    </w:p>
    <w:p w:rsidR="0070654B" w:rsidRPr="002433FE" w:rsidRDefault="000D268A" w:rsidP="002433FE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268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и соблюдение этих требований позволяет исключить или минимизировать неблагоприятное воздействие производственной среды и трудового процесса, обеспечить сохранение здоровья работников.</w:t>
      </w: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</w:p>
    <w:p w:rsidR="0070654B" w:rsidRDefault="0070654B" w:rsidP="00D81609">
      <w:pPr>
        <w:tabs>
          <w:tab w:val="left" w:pos="1134"/>
        </w:tabs>
        <w:spacing w:after="0"/>
        <w:ind w:left="709"/>
        <w:jc w:val="both"/>
        <w:rPr>
          <w:rFonts w:eastAsia="Times New Roman" w:cs="Times New Roman"/>
          <w:i/>
          <w:color w:val="FF0000"/>
          <w:sz w:val="28"/>
          <w:szCs w:val="28"/>
          <w:u w:val="single"/>
          <w:lang w:eastAsia="ru-RU"/>
        </w:rPr>
      </w:pPr>
      <w:bookmarkStart w:id="0" w:name="_GoBack"/>
      <w:bookmarkEnd w:id="0"/>
    </w:p>
    <w:p w:rsidR="0070654B" w:rsidRPr="00916E1E" w:rsidRDefault="0070654B" w:rsidP="0070654B">
      <w:pPr>
        <w:pStyle w:val="1"/>
        <w:spacing w:after="480" w:line="276" w:lineRule="auto"/>
        <w:jc w:val="center"/>
        <w:rPr>
          <w:rFonts w:eastAsia="Calibri" w:cs="Times New Roman"/>
          <w:sz w:val="28"/>
        </w:rPr>
      </w:pPr>
      <w:bookmarkStart w:id="1" w:name="_Toc10624604"/>
      <w:bookmarkStart w:id="2" w:name="_Toc57316140"/>
      <w:r w:rsidRPr="00C62F46">
        <w:rPr>
          <w:rFonts w:eastAsia="Calibri" w:cs="Times New Roman"/>
        </w:rPr>
        <w:lastRenderedPageBreak/>
        <w:t>СПИСОК ИСПОЛЬЗОВАННЫХ ИСТОЧНИКОВ</w:t>
      </w:r>
      <w:bookmarkEnd w:id="1"/>
      <w:bookmarkEnd w:id="2"/>
    </w:p>
    <w:p w:rsidR="0070654B" w:rsidRPr="00DD0C66" w:rsidRDefault="0070654B" w:rsidP="0070654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[12]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Михнюк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Т.Ф. Охрана труда: учебник для студ.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учеб. </w:t>
      </w:r>
      <w:proofErr w:type="spellStart"/>
      <w:proofErr w:type="gram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gram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Т.Ф.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Михнюк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Мн.: ИВЦ Минфина, 2009. - 345 с.</w:t>
      </w:r>
    </w:p>
    <w:p w:rsidR="0070654B" w:rsidRPr="00DD0C66" w:rsidRDefault="0070654B" w:rsidP="0070654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[13]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В.А. Охрана труда: учебник/ В.А.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Девисилов</w:t>
      </w:r>
      <w:proofErr w:type="spell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- 4-е изд., </w:t>
      </w:r>
      <w:proofErr w:type="spell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proofErr w:type="gramStart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- М.: Форум, 2009. - 496с.</w:t>
      </w:r>
    </w:p>
    <w:p w:rsidR="0070654B" w:rsidRPr="0070654B" w:rsidRDefault="0070654B" w:rsidP="0070654B">
      <w:pPr>
        <w:widowControl w:val="0"/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[14] </w:t>
      </w:r>
      <w:r w:rsidRPr="00DD0C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ka.brest.by [Электронный ресурс]. – Режим доступа: </w:t>
      </w:r>
      <w:hyperlink r:id="rId7" w:history="1">
        <w:r w:rsidRPr="00DD0C66">
          <w:rPr>
            <w:rStyle w:val="aa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https://bka.brest.by/2018/05/31/</w:t>
        </w:r>
      </w:hyperlink>
      <w:r w:rsidRPr="00DD0C66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Дата доступа 25.11.20</w:t>
      </w:r>
    </w:p>
    <w:sectPr w:rsidR="0070654B" w:rsidRPr="0070654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5A2" w:rsidRDefault="000D55A2" w:rsidP="00A27365">
      <w:pPr>
        <w:spacing w:after="0" w:line="240" w:lineRule="auto"/>
      </w:pPr>
      <w:r>
        <w:separator/>
      </w:r>
    </w:p>
  </w:endnote>
  <w:endnote w:type="continuationSeparator" w:id="0">
    <w:p w:rsidR="000D55A2" w:rsidRDefault="000D55A2" w:rsidP="00A2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455932"/>
      <w:docPartObj>
        <w:docPartGallery w:val="Page Numbers (Bottom of Page)"/>
        <w:docPartUnique/>
      </w:docPartObj>
    </w:sdtPr>
    <w:sdtEndPr/>
    <w:sdtContent>
      <w:p w:rsidR="00A27365" w:rsidRDefault="00A27365">
        <w:pPr>
          <w:pStyle w:val="a8"/>
          <w:jc w:val="right"/>
        </w:pPr>
        <w:r w:rsidRPr="00A273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73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241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73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27365" w:rsidRDefault="00A273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5A2" w:rsidRDefault="000D55A2" w:rsidP="00A27365">
      <w:pPr>
        <w:spacing w:after="0" w:line="240" w:lineRule="auto"/>
      </w:pPr>
      <w:r>
        <w:separator/>
      </w:r>
    </w:p>
  </w:footnote>
  <w:footnote w:type="continuationSeparator" w:id="0">
    <w:p w:rsidR="000D55A2" w:rsidRDefault="000D55A2" w:rsidP="00A2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5C90"/>
    <w:multiLevelType w:val="hybridMultilevel"/>
    <w:tmpl w:val="6EA4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A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90333"/>
    <w:multiLevelType w:val="hybridMultilevel"/>
    <w:tmpl w:val="7826A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AF755F"/>
    <w:multiLevelType w:val="hybridMultilevel"/>
    <w:tmpl w:val="2236B2EE"/>
    <w:lvl w:ilvl="0" w:tplc="C18EEEC2">
      <w:start w:val="65535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2820B1"/>
    <w:multiLevelType w:val="hybridMultilevel"/>
    <w:tmpl w:val="3392C2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E60EBB"/>
    <w:multiLevelType w:val="hybridMultilevel"/>
    <w:tmpl w:val="00BC8776"/>
    <w:lvl w:ilvl="0" w:tplc="5052A8B6">
      <w:start w:val="1"/>
      <w:numFmt w:val="decimal"/>
      <w:lvlText w:val="%1)"/>
      <w:lvlJc w:val="left"/>
      <w:pPr>
        <w:ind w:left="1211" w:hanging="360"/>
      </w:pPr>
      <w:rPr>
        <w:color w:val="FF000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A5221F"/>
    <w:multiLevelType w:val="hybridMultilevel"/>
    <w:tmpl w:val="B7D626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C056F2"/>
    <w:multiLevelType w:val="multilevel"/>
    <w:tmpl w:val="8BC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D157D"/>
    <w:multiLevelType w:val="hybridMultilevel"/>
    <w:tmpl w:val="A63A9B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A6"/>
    <w:rsid w:val="00000F59"/>
    <w:rsid w:val="00076152"/>
    <w:rsid w:val="000D268A"/>
    <w:rsid w:val="000D55A2"/>
    <w:rsid w:val="000E6C12"/>
    <w:rsid w:val="001B60A6"/>
    <w:rsid w:val="002433FE"/>
    <w:rsid w:val="002D392E"/>
    <w:rsid w:val="00351F37"/>
    <w:rsid w:val="003F2B7A"/>
    <w:rsid w:val="00653AF5"/>
    <w:rsid w:val="006B5E79"/>
    <w:rsid w:val="0070654B"/>
    <w:rsid w:val="00950988"/>
    <w:rsid w:val="00973BF1"/>
    <w:rsid w:val="00A27365"/>
    <w:rsid w:val="00A36104"/>
    <w:rsid w:val="00BB70F7"/>
    <w:rsid w:val="00C96D67"/>
    <w:rsid w:val="00D1241F"/>
    <w:rsid w:val="00D548DA"/>
    <w:rsid w:val="00D81609"/>
    <w:rsid w:val="00E11217"/>
    <w:rsid w:val="00F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6820A-5FA9-438D-B558-31CDF24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9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0988"/>
    <w:pPr>
      <w:keepNext/>
      <w:keepLines/>
      <w:spacing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98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aliases w:val="Heading 2 custom,Bullet List,FooterText,numbered,Абзац маркированнный"/>
    <w:basedOn w:val="a"/>
    <w:link w:val="a4"/>
    <w:uiPriority w:val="34"/>
    <w:qFormat/>
    <w:rsid w:val="00950988"/>
    <w:pPr>
      <w:ind w:left="720"/>
      <w:contextualSpacing/>
    </w:pPr>
    <w:rPr>
      <w:rFonts w:ascii="Times New Roman" w:hAnsi="Times New Roman"/>
    </w:rPr>
  </w:style>
  <w:style w:type="paragraph" w:styleId="a5">
    <w:name w:val="Normal (Web)"/>
    <w:basedOn w:val="a"/>
    <w:uiPriority w:val="99"/>
    <w:unhideWhenUsed/>
    <w:rsid w:val="0095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 2 custom Знак,Bullet List Знак,FooterText Знак,numbered Знак,Абзац маркированнный Знак"/>
    <w:basedOn w:val="a0"/>
    <w:link w:val="a3"/>
    <w:uiPriority w:val="34"/>
    <w:locked/>
    <w:rsid w:val="00950988"/>
    <w:rPr>
      <w:rFonts w:ascii="Times New Roman" w:hAnsi="Times New Roman"/>
    </w:rPr>
  </w:style>
  <w:style w:type="paragraph" w:styleId="a6">
    <w:name w:val="header"/>
    <w:basedOn w:val="a"/>
    <w:link w:val="a7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7365"/>
  </w:style>
  <w:style w:type="paragraph" w:styleId="a8">
    <w:name w:val="footer"/>
    <w:basedOn w:val="a"/>
    <w:link w:val="a9"/>
    <w:uiPriority w:val="99"/>
    <w:unhideWhenUsed/>
    <w:rsid w:val="00A2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7365"/>
  </w:style>
  <w:style w:type="character" w:styleId="aa">
    <w:name w:val="Hyperlink"/>
    <w:basedOn w:val="a0"/>
    <w:uiPriority w:val="99"/>
    <w:unhideWhenUsed/>
    <w:rsid w:val="0070654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706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ka.brest.by/2018/05/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2020-12-02T17:22:00Z</dcterms:created>
  <dcterms:modified xsi:type="dcterms:W3CDTF">2020-12-08T15:54:00Z</dcterms:modified>
</cp:coreProperties>
</file>