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Digital Minds Sprint — Track 3 Research Plan</w:t>
      </w:r>
    </w:p>
    <w:p>
      <w:pPr>
        <w:spacing w:after="200"/>
      </w:pPr>
      <w:r>
        <w:rPr>
          <w:i/>
          <w:iCs/>
        </w:rPr>
        <w:t xml:space="preserve">Self-Prediction &amp; Privileged Access — Research Design, Literature Grounding, and Analysis Plan</w:t>
      </w:r>
    </w:p>
    <w:p>
      <w:pPr>
        <w:spacing w:after="160"/>
      </w:pPr>
      <w:r>
        <w:rPr>
          <w:i/>
          <w:iCs/>
        </w:rPr>
        <w:t xml:space="preserve">This revision shifts the plan's center of gravity from engineering execution to research reasoning — the object we're producing over three days is a defensible argument about a live disagreement in the introspection literature, not a working pipeline. Code is the minimum instrument needed to collect the data; the actual work is the design, the interpretation, and the writing.</w:t>
      </w:r>
    </w:p>
    <w:p>
      <w:pPr>
        <w:pBdr>
          <w:bottom w:val="single" w:color="999999" w:sz="6"/>
        </w:pBdr>
        <w:spacing w:after="200"/>
      </w:pPr>
      <w:r>
        <w:t xml:space="preserve"/>
      </w:r>
    </w:p>
    <w:p>
      <w:pPr>
        <w:pStyle w:val="Heading1"/>
        <w:spacing w:after="120" w:before="280"/>
      </w:pPr>
      <w:r>
        <w:rPr>
          <w:b/>
          <w:bCs/>
        </w:rPr>
        <w:t xml:space="preserve">1. Research Focus</w:t>
      </w:r>
    </w:p>
    <w:p>
      <w:pPr>
        <w:spacing w:after="160"/>
      </w:pPr>
      <w:r>
        <w:t xml:space="preserve">The project sits inside a specific, live academic disagreement: Binder et al. report that a model predicts its own hypothetical behavior better than a differently-trained model does, and interpret this as evidence of privileged self-access. Song, Hu &amp; Mahowald dispute the interpretation, arguing the effect is better explained by behavioral similarity between predictor and target than by anything self-specific. Our contribution is not a new theory of introspection — it is a more carefully controlled empirical test of which of these two accounts survives when similarity is measured rather than assumed.</w:t>
      </w:r>
    </w:p>
    <w:p>
      <w:pPr>
        <w:spacing w:after="160"/>
      </w:pPr>
      <w:r>
        <w:t xml:space="preserve">Roughly, the three days should split as: about a third on experimental design, piloting, and the reasoning behind each methodological choice; about a quarter on literature grounding and situating the result against Binder and Song specifically; about a quarter on statistical analysis and interpretation; the remainder on writing and pitch framing. Scripting to run the condition batches is real but small — closer to a fifth of total effort than a headline activity.</w:t>
      </w:r>
    </w:p>
    <w:p>
      <w:pPr>
        <w:pStyle w:val="Heading1"/>
        <w:spacing w:after="120" w:before="280"/>
      </w:pPr>
      <w:r>
        <w:rPr>
          <w:b/>
          <w:bCs/>
        </w:rPr>
        <w:t xml:space="preserve">2. What Breaks — the Design Attacked Directly</w:t>
      </w:r>
    </w:p>
    <w:p>
      <w:pPr>
        <w:pStyle w:val="Heading2"/>
        <w:spacing w:after="120" w:before="280"/>
      </w:pPr>
      <w:r>
        <w:rPr>
          <w:b/>
          <w:bCs/>
        </w:rPr>
        <w:t xml:space="preserve">2.1 — Condition D has no principled place on a similarity scale</w:t>
      </w:r>
    </w:p>
    <w:p>
      <w:pPr>
        <w:spacing w:after="160"/>
      </w:pPr>
      <w:r>
        <w:t xml:space="preserve">The statistical/heuristic classifier is not a model and has no defensible position on a “similarity to M” continuum. Treating it as a point on that continuum is a category error dressed up as a data point, and a reviewer who asks “why is a heuristic ranked between two language models?” exposes it immediately.</w:t>
      </w:r>
    </w:p>
    <w:p>
      <w:pPr>
        <w:pStyle w:val="Heading2"/>
        <w:spacing w:after="120" w:before="280"/>
      </w:pPr>
      <w:r>
        <w:rPr>
          <w:b/>
          <w:bCs/>
        </w:rPr>
        <w:t xml:space="preserve">2.2 — Three points is not a regression</w:t>
      </w:r>
    </w:p>
    <w:p>
      <w:pPr>
        <w:spacing w:after="160"/>
      </w:pPr>
      <w:r>
        <w:t xml:space="preserve">The claim that self sits “above the B/C/D trend” rests on fitting a line through three values — one real degree of freedom. Wrapping that in a bootstrap confidence interval narrows the interval without addressing the underlying problem: a line through three points fits by construction, so a residual test on it is not really testing anything.</w:t>
      </w:r>
    </w:p>
    <w:p>
      <w:pPr>
        <w:pStyle w:val="Heading2"/>
        <w:spacing w:after="120" w:before="280"/>
      </w:pPr>
      <w:r>
        <w:rPr>
          <w:b/>
          <w:bCs/>
        </w:rPr>
        <w:t xml:space="preserve">2.3 — Pooling models papers over a worse assumption</w:t>
      </w:r>
    </w:p>
    <w:p>
      <w:pPr>
        <w:spacing w:after="160"/>
      </w:pPr>
      <w:r>
        <w:t xml:space="preserve">Pooling several target models to manufacture more regression points only works if the similarity trend has the same slope and intercept across models of different baseline capability. There is no basis for that assumption and no time to test it. Pooling doesn't fix the small-N problem — it hides it under more data.</w:t>
      </w:r>
    </w:p>
    <w:p>
      <w:pPr>
        <w:pStyle w:val="Heading2"/>
        <w:spacing w:after="120" w:before="280"/>
      </w:pPr>
      <w:r>
        <w:rPr>
          <w:b/>
          <w:bCs/>
        </w:rPr>
        <w:t xml:space="preserve">2.4 — The similarity ranking has no ground truth</w:t>
      </w:r>
    </w:p>
    <w:p>
      <w:pPr>
        <w:spacing w:after="160"/>
      </w:pPr>
      <w:r>
        <w:t xml:space="preserve">Assuming B is “more similar” to M than C because they share a provider is a proxy, not a measurement. The entire self-residual argument depends on this ranking being reasonable, which makes it the most exposed part of the whole design — a hostile reviewer will go here first.</w:t>
      </w:r>
    </w:p>
    <w:p>
      <w:pPr>
        <w:pStyle w:val="Heading2"/>
        <w:spacing w:after="120" w:before="280"/>
      </w:pPr>
      <w:r>
        <w:rPr>
          <w:b/>
          <w:bCs/>
        </w:rPr>
        <w:t xml:space="preserve">2.5 — “Self” is easy to overclaim in the room</w:t>
      </w:r>
    </w:p>
    <w:p>
      <w:pPr>
        <w:spacing w:after="160"/>
      </w:pPr>
      <w:r>
        <w:t xml:space="preserve">Condition A predicts in a fresh session, with no memory of having generated the text. Any advantage found can only mean the model is unusually well-fit to its own output distribution — a same-weights effect — never that it “remembers” producing the text, which would be a same-episode effect. This distinction has to be stated before anyone in the room can ask; saying it only under pressure reads as walking the claim back.</w:t>
      </w:r>
    </w:p>
    <w:p>
      <w:pPr>
        <w:pStyle w:val="Heading2"/>
        <w:spacing w:after="120" w:before="280"/>
      </w:pPr>
      <w:r>
        <w:rPr>
          <w:b/>
          <w:bCs/>
        </w:rPr>
        <w:t xml:space="preserve">2.6 — Temperature is a risky choice of hidden property</w:t>
      </w:r>
    </w:p>
    <w:p>
      <w:pPr>
        <w:spacing w:after="160"/>
      </w:pPr>
      <w:r>
        <w:t xml:space="preserve">If the hidden property is sampling temperature, a simple surface heuristic — token diversity, repetition rate, lexical entropy — can plausibly detect it well on its own. If the statistical baseline performs strongly here, the whole similarity-gradient story is muddied, because the “far” end of the axis was never actually weak.</w:t>
      </w:r>
    </w:p>
    <w:p>
      <w:pPr>
        <w:pStyle w:val="Heading2"/>
        <w:spacing w:after="120" w:before="280"/>
      </w:pPr>
      <w:r>
        <w:rPr>
          <w:b/>
          <w:bCs/>
        </w:rPr>
        <w:t xml:space="preserve">2.7 — No fallback if the first day's test fails</w:t>
      </w:r>
    </w:p>
    <w:p>
      <w:pPr>
        <w:spacing w:after="160"/>
      </w:pPr>
      <w:r>
        <w:t xml:space="preserve">The design jumps straight to a full multi-condition, multi-model run with no smaller version to fall back on. The initial feasibility check has already been identified as the single largest risk in the plan; there was no stated answer for what ships if it doesn't pass.</w:t>
      </w:r>
    </w:p>
    <w:p>
      <w:pPr>
        <w:pStyle w:val="Heading2"/>
        <w:spacing w:after="120" w:before="280"/>
      </w:pPr>
      <w:r>
        <w:rPr>
          <w:b/>
          <w:bCs/>
        </w:rPr>
        <w:t xml:space="preserve">2.8 — The statistics are probably underpowered</w:t>
      </w:r>
    </w:p>
    <w:p>
      <w:pPr>
        <w:spacing w:after="160"/>
      </w:pPr>
      <w:r>
        <w:t xml:space="preserve">Binary accuracy at roughly 150–200 trials per condition gives a standard error of about three to four percentage points. Self-versus-external effects in this literature, where they exist at all, tend to be modest. Spreading the trial budget across several target models risks a result smaller than the noise floor — an underpowered shrug rather than a clean, interpretable null.</w:t>
      </w:r>
    </w:p>
    <w:p>
      <w:pPr>
        <w:pStyle w:val="Heading2"/>
        <w:spacing w:after="120" w:before="280"/>
      </w:pPr>
      <w:r>
        <w:rPr>
          <w:b/>
          <w:bCs/>
        </w:rPr>
        <w:t xml:space="preserve">2.9 — The framing isn't legible outside the literature</w:t>
      </w:r>
    </w:p>
    <w:p>
      <w:pPr>
        <w:spacing w:after="160"/>
      </w:pPr>
      <w:r>
        <w:t xml:space="preserve">The project's value — extending a specific dispute between two papers — is compelling to readers who already know that dispute and inert to everyone else. Opening with the citation history loses half the room before the actual question is even stated.</w:t>
      </w:r>
    </w:p>
    <w:p>
      <w:pPr>
        <w:pStyle w:val="Heading2"/>
        <w:spacing w:after="120" w:before="280"/>
      </w:pPr>
      <w:r>
        <w:rPr>
          <w:b/>
          <w:bCs/>
        </w:rPr>
        <w:t xml:space="preserve">2.10 — Reasoning time is tight even after every cut below</w:t>
      </w:r>
    </w:p>
    <w:p>
      <w:pPr>
        <w:spacing w:after="160"/>
      </w:pPr>
      <w:r>
        <w:t xml:space="preserve">Grounding the similarity measure, piloting the hidden property, interpreting the pilot, running the main comparison, working through what each outcome would mean, and writing the report is a full three days for two people even in the leanest version. The write-up and the interpretation are where the actual intellectual contribution lives, and they need to be protected from being squeezed at the end.</w:t>
      </w:r>
    </w:p>
    <w:p>
      <w:pPr>
        <w:pStyle w:val="Heading1"/>
        <w:spacing w:after="120" w:before="280"/>
      </w:pPr>
      <w:r>
        <w:rPr>
          <w:b/>
          <w:bCs/>
        </w:rPr>
        <w:t xml:space="preserve">3. The Fixes — and the Reasoning Behind Each</w:t>
      </w:r>
    </w:p>
    <w:p>
      <w:pPr>
        <w:pStyle w:val="ListParagraph"/>
        <w:numPr>
          <w:ilvl w:val="0"/>
          <w:numId w:val="2"/>
        </w:numPr>
        <w:spacing w:after="100"/>
      </w:pPr>
      <w:r>
        <w:rPr>
          <w:b/>
          <w:bCs/>
        </w:rPr>
        <w:t xml:space="preserve">Drop D from the comparison entirely. </w:t>
      </w:r>
      <w:r>
        <w:t xml:space="preserve">It stays in the plan only as a sanity check — does the hidden property leak through surface features at all — never as a point used to argue anything about self-advantage.</w:t>
      </w:r>
    </w:p>
    <w:p>
      <w:pPr>
        <w:pStyle w:val="ListParagraph"/>
        <w:numPr>
          <w:ilvl w:val="0"/>
          <w:numId w:val="2"/>
        </w:numPr>
        <w:spacing w:after="100"/>
      </w:pPr>
      <w:r>
        <w:rPr>
          <w:b/>
          <w:bCs/>
        </w:rPr>
        <w:t xml:space="preserve">Replace the regression with three pre-registered pairwise comparisons. </w:t>
      </w:r>
      <w:r>
        <w:t xml:space="preserve">Self vs. near-self, near-self vs. far-self, self vs. far-self, each with a stated directional prediction and a bootstrap confidence interval on the difference. This is the honest version of the same underlying question, and it's one a general audience can follow without needing to trust a curve-fit.</w:t>
      </w:r>
    </w:p>
    <w:p>
      <w:pPr>
        <w:pStyle w:val="ListParagraph"/>
        <w:numPr>
          <w:ilvl w:val="0"/>
          <w:numId w:val="2"/>
        </w:numPr>
        <w:spacing w:after="100"/>
      </w:pPr>
      <w:r>
        <w:rPr>
          <w:b/>
          <w:bCs/>
        </w:rPr>
        <w:t xml:space="preserve">Ground the similarity claim in a measurement, not an assumption. </w:t>
      </w:r>
      <w:r>
        <w:t xml:space="preserve">Before the main comparison, run a short calibration probe measuring how often the near-self and far-self models actually agree with the target model on an unrelated task. This turns “we assume B is more similar than C” into “we measured that B agrees with M more often than C does” — the single most important change in the whole revision, because it converts the design's most exposed assumption into an empirical result reported alongside the main finding.</w:t>
      </w:r>
    </w:p>
    <w:p>
      <w:pPr>
        <w:pStyle w:val="ListParagraph"/>
        <w:numPr>
          <w:ilvl w:val="0"/>
          <w:numId w:val="2"/>
        </w:numPr>
        <w:spacing w:after="100"/>
      </w:pPr>
      <w:r>
        <w:rPr>
          <w:b/>
          <w:bCs/>
        </w:rPr>
        <w:t xml:space="preserve">Go deep on one target model rather than shallow on several. </w:t>
      </w:r>
      <w:r>
        <w:t xml:space="preserve">More trials on a single model beats thin power spread across three, and it removes the pooling assumption in 2.3 entirely rather than trying to justify it.</w:t>
      </w:r>
    </w:p>
    <w:p>
      <w:pPr>
        <w:pStyle w:val="ListParagraph"/>
        <w:numPr>
          <w:ilvl w:val="0"/>
          <w:numId w:val="2"/>
        </w:numPr>
        <w:spacing w:after="100"/>
      </w:pPr>
      <w:r>
        <w:rPr>
          <w:b/>
          <w:bCs/>
        </w:rPr>
        <w:t xml:space="preserve">State the same-weights vs. same-episode distinction in the abstract, not the limitations. </w:t>
      </w:r>
      <w:r>
        <w:t xml:space="preserve">“Self-advantage here means same-weights advantage, never same-episode advantage” is a sentence that belongs in the first paragraph a reader sees.</w:t>
      </w:r>
    </w:p>
    <w:p>
      <w:pPr>
        <w:pStyle w:val="ListParagraph"/>
        <w:numPr>
          <w:ilvl w:val="0"/>
          <w:numId w:val="2"/>
        </w:numPr>
        <w:spacing w:after="100"/>
      </w:pPr>
      <w:r>
        <w:rPr>
          <w:b/>
          <w:bCs/>
        </w:rPr>
        <w:t xml:space="preserve">Choose the hidden property for its resistance to surface detection, not its convenience. </w:t>
      </w:r>
      <w:r>
        <w:t xml:space="preserve">A semantically buried property — for instance, which of two subtly different underlying personas produced the text — protects the far end of the similarity axis from being trivially solved by a simple classifier. Sampling temperature is kept only as a fallback if the primary property proves unworkable.</w:t>
      </w:r>
    </w:p>
    <w:p>
      <w:pPr>
        <w:pStyle w:val="ListParagraph"/>
        <w:numPr>
          <w:ilvl w:val="0"/>
          <w:numId w:val="2"/>
        </w:numPr>
        <w:spacing w:after="100"/>
      </w:pPr>
      <w:r>
        <w:rPr>
          <w:b/>
          <w:bCs/>
        </w:rPr>
        <w:t xml:space="preserve">Decide the fallback scope now, not mid-sprint. </w:t>
      </w:r>
      <w:r>
        <w:t xml:space="preserve">If the first day's test fails, the plan collapses to three conditions — self, far-self, statistical baseline — one target model, three accuracy numbers with confidence intervals, no comparison to a similarity trend at all. Deciding this in advance is itself a piece of research discipline: it keeps a failed pilot from becoming a wasted day.</w:t>
      </w:r>
    </w:p>
    <w:p>
      <w:pPr>
        <w:pStyle w:val="ListParagraph"/>
        <w:numPr>
          <w:ilvl w:val="0"/>
          <w:numId w:val="2"/>
        </w:numPr>
        <w:spacing w:after="100"/>
      </w:pPr>
      <w:r>
        <w:rPr>
          <w:b/>
          <w:bCs/>
        </w:rPr>
        <w:t xml:space="preserve">Lead the framing with the stakes, not the citation history. </w:t>
      </w:r>
      <w:r>
        <w:t xml:space="preserve">“People treat an AI's self-report as if it knows something special about itself; this is a test for whether that's true or just familiarity” — say this first. The Binder/Song grounding is the second sentence, for readers who want the academic anchor, not the first.</w:t>
      </w:r>
    </w:p>
    <w:p>
      <w:pPr>
        <w:pStyle w:val="Heading1"/>
        <w:spacing w:after="120" w:before="280"/>
      </w:pPr>
      <w:r>
        <w:rPr>
          <w:b/>
          <w:bCs/>
        </w:rPr>
        <w:t xml:space="preserve">4. The Research Question, Precisely</w:t>
      </w:r>
    </w:p>
    <w:p>
      <w:pPr>
        <w:pStyle w:val="Heading2"/>
        <w:spacing w:after="120" w:before="280"/>
      </w:pPr>
      <w:r>
        <w:rPr>
          <w:b/>
          <w:bCs/>
        </w:rPr>
        <w:t xml:space="preserve">Title</w:t>
      </w:r>
    </w:p>
    <w:p>
      <w:pPr>
        <w:spacing w:after="200"/>
      </w:pPr>
      <w:r>
        <w:rPr>
          <w:i/>
          <w:iCs/>
        </w:rPr>
        <w:t xml:space="preserve">Does Self-Advantage in Behavioral Self-Prediction Scale With Model Similarity? A Similarity-Controlled Test of Privileged Access.</w:t>
      </w:r>
    </w:p>
    <w:p>
      <w:pPr>
        <w:pStyle w:val="Heading2"/>
        <w:spacing w:after="120" w:before="280"/>
      </w:pPr>
      <w:r>
        <w:rPr>
          <w:b/>
          <w:bCs/>
        </w:rPr>
        <w:t xml:space="preserve">One-sentence question</w:t>
      </w:r>
    </w:p>
    <w:p>
      <w:pPr>
        <w:spacing w:after="160"/>
      </w:pPr>
      <w:r>
        <w:t xml:space="preserve">When predicting a hidden property of a model's own output, is self-prediction accuracy explained by the same similarity effect that governs near-self and far-self prediction, or does self show an advantage beyond what similarity predicts?</w:t>
      </w:r>
    </w:p>
    <w:p>
      <w:pPr>
        <w:pStyle w:val="Heading2"/>
        <w:spacing w:after="120" w:before="280"/>
      </w:pPr>
      <w:r>
        <w:rPr>
          <w:b/>
          <w:bCs/>
        </w:rPr>
        <w:t xml:space="preserve">Plain-English framing (lead with this)</w:t>
      </w:r>
    </w:p>
    <w:p>
      <w:pPr>
        <w:spacing w:after="160"/>
      </w:pPr>
      <w:r>
        <w:t xml:space="preserve">People treat an AI's self-report as if it knows something special about itself. This is a controlled test for whether that's actually true, or just an illusion created by the model being statistically similar to itself.</w:t>
      </w:r>
    </w:p>
    <w:p>
      <w:pPr>
        <w:pStyle w:val="Heading2"/>
        <w:spacing w:after="120" w:before="280"/>
      </w:pPr>
      <w:r>
        <w:rPr>
          <w:b/>
          <w:bCs/>
        </w:rPr>
        <w:t xml:space="preserve">Hypotheses</w:t>
      </w:r>
    </w:p>
    <w:p>
      <w:pPr>
        <w:pStyle w:val="ListParagraph"/>
        <w:numPr>
          <w:ilvl w:val="0"/>
          <w:numId w:val="2"/>
        </w:numPr>
        <w:spacing w:after="100"/>
      </w:pPr>
      <w:r>
        <w:rPr>
          <w:b/>
          <w:bCs/>
        </w:rPr>
        <w:t xml:space="preserve">H_similarity — </w:t>
      </w:r>
      <w:r>
        <w:t xml:space="preserve">accuracy declines from near-self to far-self, and self falls on the same trend: no self-specific advantage beyond similarity.</w:t>
      </w:r>
    </w:p>
    <w:p>
      <w:pPr>
        <w:pStyle w:val="ListParagraph"/>
        <w:numPr>
          <w:ilvl w:val="0"/>
          <w:numId w:val="2"/>
        </w:numPr>
        <w:spacing w:after="100"/>
      </w:pPr>
      <w:r>
        <w:rPr>
          <w:b/>
          <w:bCs/>
        </w:rPr>
        <w:t xml:space="preserve">H_privileged — </w:t>
      </w:r>
      <w:r>
        <w:t xml:space="preserve">self-prediction accuracy exceeds what the near-self → far-self trend would predict: a genuine self-specific residual.</w:t>
      </w:r>
    </w:p>
    <w:p>
      <w:pPr>
        <w:pStyle w:val="Heading1"/>
        <w:spacing w:after="120" w:before="280"/>
      </w:pPr>
      <w:r>
        <w:rPr>
          <w:b/>
          <w:bCs/>
        </w:rPr>
        <w:t xml:space="preserve">5. Conditions and Rationale</w:t>
      </w:r>
    </w:p>
    <w:p>
      <w:pPr>
        <w:pStyle w:val="ListParagraph"/>
        <w:numPr>
          <w:ilvl w:val="0"/>
          <w:numId w:val="2"/>
        </w:numPr>
        <w:spacing w:after="100"/>
      </w:pPr>
      <w:r>
        <w:rPr>
          <w:b/>
          <w:bCs/>
        </w:rPr>
        <w:t xml:space="preserve">A — Self. </w:t>
      </w:r>
      <w:r>
        <w:t xml:space="preserve">The target model, in a fresh session with no memory of generating the text, predicts a hidden property of its own output. This is the condition the whole design exists to interrogate.</w:t>
      </w:r>
    </w:p>
    <w:p>
      <w:pPr>
        <w:pStyle w:val="ListParagraph"/>
        <w:numPr>
          <w:ilvl w:val="0"/>
          <w:numId w:val="2"/>
        </w:numPr>
        <w:spacing w:after="100"/>
      </w:pPr>
      <w:r>
        <w:rPr>
          <w:b/>
          <w:bCs/>
        </w:rPr>
        <w:t xml:space="preserve">B — Near-self. </w:t>
      </w:r>
      <w:r>
        <w:t xml:space="preserve">A different checkpoint or version in the same model family predicts the same property from the same text — the closest matched comparison available without access to the target's own weights.</w:t>
      </w:r>
    </w:p>
    <w:p>
      <w:pPr>
        <w:pStyle w:val="ListParagraph"/>
        <w:numPr>
          <w:ilvl w:val="0"/>
          <w:numId w:val="2"/>
        </w:numPr>
        <w:spacing w:after="100"/>
      </w:pPr>
      <w:r>
        <w:rPr>
          <w:b/>
          <w:bCs/>
        </w:rPr>
        <w:t xml:space="preserve">C — Far-self. </w:t>
      </w:r>
      <w:r>
        <w:t xml:space="preserve">A model from a different provider or family predicts the same property from the same text — the low-similarity anchor of the comparison.</w:t>
      </w:r>
    </w:p>
    <w:p>
      <w:pPr>
        <w:pStyle w:val="ListParagraph"/>
        <w:numPr>
          <w:ilvl w:val="0"/>
          <w:numId w:val="2"/>
        </w:numPr>
        <w:spacing w:after="100"/>
      </w:pPr>
      <w:r>
        <w:rPr>
          <w:b/>
          <w:bCs/>
        </w:rPr>
        <w:t xml:space="preserve">D — Statistical baseline. </w:t>
      </w:r>
      <w:r>
        <w:t xml:space="preserve">A simple heuristic on surface text features, used exclusively as a sanity check on whether the hidden property leaks through style alone — never as evidence about self-advantage.</w:t>
      </w:r>
    </w:p>
    <w:p>
      <w:pPr>
        <w:pStyle w:val="Heading2"/>
        <w:spacing w:after="120" w:before="280"/>
      </w:pPr>
      <w:r>
        <w:rPr>
          <w:b/>
          <w:bCs/>
        </w:rPr>
        <w:t xml:space="preserve">Hidden property</w:t>
      </w:r>
    </w:p>
    <w:p>
      <w:pPr>
        <w:spacing w:after="160"/>
      </w:pPr>
      <w:r>
        <w:t xml:space="preserve">Primary: which of two subtly different underlying personas produced the response — chosen because it resists detection through surface style, which protects the integrity of the far-self comparison. Fallback: sampling temperature bucket, used only if the persona property proves too easy or too hard to recover during piloting.</w:t>
      </w:r>
    </w:p>
    <w:p>
      <w:pPr>
        <w:pStyle w:val="Heading1"/>
        <w:spacing w:after="120" w:before="280"/>
      </w:pPr>
      <w:r>
        <w:rPr>
          <w:b/>
          <w:bCs/>
        </w:rPr>
        <w:t xml:space="preserve">6. Grounding the Similarity Claim</w:t>
      </w:r>
    </w:p>
    <w:p>
      <w:pPr>
        <w:spacing w:after="160"/>
      </w:pPr>
      <w:r>
        <w:t xml:space="preserve">Before the main comparison, a short calibration probe measures how often the near-self and far-self models agree with the target model on a task unrelated to the hidden-property test. This produces an empirical ordering rather than a provider-based assumption, and it is reported as a result in its own right — a reader should be able to see the measured agreement rates, not just take the near/far labeling on faith.</w:t>
      </w:r>
    </w:p>
    <w:p>
      <w:pPr>
        <w:pStyle w:val="Heading1"/>
        <w:spacing w:after="120" w:before="280"/>
      </w:pPr>
      <w:r>
        <w:rPr>
          <w:b/>
          <w:bCs/>
        </w:rPr>
        <w:t xml:space="preserve">7. Scope</w:t>
      </w:r>
    </w:p>
    <w:p>
      <w:pPr>
        <w:pStyle w:val="ListParagraph"/>
        <w:numPr>
          <w:ilvl w:val="0"/>
          <w:numId w:val="2"/>
        </w:numPr>
        <w:spacing w:after="100"/>
      </w:pPr>
      <w:r>
        <w:t xml:space="preserve">One target model, chosen for API access to both a same-family near-self checkpoint and a different-family far-self model.</w:t>
      </w:r>
    </w:p>
    <w:p>
      <w:pPr>
        <w:pStyle w:val="ListParagraph"/>
        <w:numPr>
          <w:ilvl w:val="0"/>
          <w:numId w:val="2"/>
        </w:numPr>
        <w:spacing w:after="100"/>
      </w:pPr>
      <w:r>
        <w:t xml:space="preserve">250–300 trials per condition, sized for stable accuracy and confidence-interval estimates given the modest effect sizes reported elsewhere in this literature.</w:t>
      </w:r>
    </w:p>
    <w:p>
      <w:pPr>
        <w:pStyle w:val="ListParagraph"/>
        <w:numPr>
          <w:ilvl w:val="0"/>
          <w:numId w:val="2"/>
        </w:numPr>
        <w:spacing w:after="100"/>
      </w:pPr>
      <w:r>
        <w:t xml:space="preserve">A second target model is a stretch goal only, attempted after the core comparison and its interpretation are secured.</w:t>
      </w:r>
    </w:p>
    <w:p>
      <w:pPr>
        <w:pStyle w:val="Heading1"/>
        <w:spacing w:after="120" w:before="280"/>
      </w:pPr>
      <w:r>
        <w:rPr>
          <w:b/>
          <w:bCs/>
        </w:rPr>
        <w:t xml:space="preserve">8. Analysis and Interpretation Plan</w:t>
      </w:r>
    </w:p>
    <w:p>
      <w:pPr>
        <w:spacing w:after="160"/>
      </w:pPr>
      <w:r>
        <w:t xml:space="preserve">Three pre-registered pairwise comparisons — self vs. near-self, near-self vs. far-self, self vs. far-self — each with a bootstrap confidence interval on the accuracy difference, reported as an effect size rather than a bare significance threshold. Condition D is reported separately, as a floor/ceiling check on whether the hidden property is recoverable from surface style at all, never folded into the similarity argument.</w:t>
      </w:r>
    </w:p>
    <w:p>
      <w:pPr>
        <w:spacing w:after="160"/>
      </w:pPr>
      <w:r>
        <w:t xml:space="preserve">The interpretive work matters as much as the numbers themselves. If self clears both near-self and far-self by a margin the confidence intervals support, that's a genuine residual worth weighing against the Binder account. If self tracks near-self closely and both clear far-self by similar margins, that supports the similarity account directly, and the finding is that a better-controlled test than the ones in the existing dispute still lands on Song's side. If the intervals overlap in a way that doesn't cleanly support either reading, that ambiguity is itself worth reporting honestly, with a specific account of what a follow-up study would need to resolve it — this is where the write-up should spend real time, not treat an inconclusive result as a failure to explain away.</w:t>
      </w:r>
    </w:p>
    <w:p>
      <w:pPr>
        <w:pStyle w:val="Heading1"/>
        <w:spacing w:after="120" w:before="280"/>
      </w:pPr>
      <w:r>
        <w:rPr>
          <w:b/>
          <w:bCs/>
        </w:rPr>
        <w:t xml:space="preserve">9. Explicit Scope Limits</w:t>
      </w:r>
    </w:p>
    <w:p>
      <w:pPr>
        <w:pStyle w:val="ListParagraph"/>
        <w:numPr>
          <w:ilvl w:val="0"/>
          <w:numId w:val="2"/>
        </w:numPr>
        <w:spacing w:after="100"/>
      </w:pPr>
      <w:r>
        <w:t xml:space="preserve">This design speaks to same-weights self-modeling only — never same-episode memory, and never genuine introspective access in the activation-level sense Lindsey's work addresses. No claim of internal-state awareness is available from this paradigm, and the write-up says so in its first page.</w:t>
      </w:r>
    </w:p>
    <w:p>
      <w:pPr>
        <w:pStyle w:val="ListParagraph"/>
        <w:numPr>
          <w:ilvl w:val="0"/>
          <w:numId w:val="2"/>
        </w:numPr>
        <w:spacing w:after="100"/>
      </w:pPr>
      <w:r>
        <w:t xml:space="preserve">A self-advantage, if found, is evidence the model is unusually well-fit to its own output distribution — not evidence that it “remembers” producing the text.</w:t>
      </w:r>
    </w:p>
    <w:p>
      <w:pPr>
        <w:pStyle w:val="Heading1"/>
        <w:spacing w:after="120" w:before="280"/>
      </w:pPr>
      <w:r>
        <w:rPr>
          <w:b/>
          <w:bCs/>
        </w:rPr>
        <w:t xml:space="preserve">10. Falsification Criteria</w:t>
      </w:r>
    </w:p>
    <w:p>
      <w:pPr>
        <w:spacing w:after="160"/>
      </w:pPr>
      <w:r>
        <w:t xml:space="preserve">H_privileged is falsified if the self-vs-near-self accuracy difference is statistically indistinguishable from zero, or if near-self performs comparably to self across the pre-registered comparisons.</w:t>
      </w:r>
    </w:p>
    <w:p>
      <w:pPr>
        <w:pStyle w:val="Heading1"/>
        <w:spacing w:after="120" w:before="280"/>
      </w:pPr>
      <w:r>
        <w:rPr>
          <w:b/>
          <w:bCs/>
        </w:rPr>
        <w:t xml:space="preserve">11. Fallback Plan</w:t>
      </w:r>
    </w:p>
    <w:p>
      <w:pPr>
        <w:spacing w:after="160"/>
      </w:pPr>
      <w:r>
        <w:t xml:space="preserve">If the first day's feasibility check shows the hidden property is too easy or too hard to recover, the project collapses to three conditions only — self, far-self, and the statistical baseline — one target model, no near-self arm, and no similarity-trend comparison at all. The deliverable becomes three accuracy numbers with confidence intervals and an honest account of why the fuller design wasn't reachable. Deciding this now, rather than while the clock is running on day two, is itself part of the research discipline this project is trying to model.</w:t>
      </w:r>
    </w:p>
    <w:p>
      <w:pPr>
        <w:pStyle w:val="Heading1"/>
        <w:spacing w:after="120" w:before="280"/>
      </w:pPr>
      <w:r>
        <w:rPr>
          <w:b/>
          <w:bCs/>
        </w:rPr>
        <w:t xml:space="preserve">12. Three-Day Research Plan</w:t>
      </w:r>
    </w:p>
    <w:p>
      <w:pPr>
        <w:spacing w:after="160"/>
      </w:pPr>
      <w:r>
        <w:t xml:space="preserve">Framed as research phases rather than a build schedule — the emphasis throughout is on the reasoning behind each step, not the mechanics of running it.</w:t>
      </w:r>
    </w:p>
    <w:p>
      <w:pPr>
        <w:pStyle w:val="Heading2"/>
        <w:spacing w:after="120" w:before="280"/>
      </w:pPr>
      <w:r>
        <w:rPr>
          <w:b/>
          <w:bCs/>
        </w:rPr>
        <w:t xml:space="preserve">Phase 1 — Grounding and Design</w:t>
      </w:r>
    </w:p>
    <w:p>
      <w:pPr>
        <w:spacing w:after="160"/>
      </w:pPr>
      <w:r>
        <w:t xml:space="preserve">Re-ground the design in Binder, Song, and Lindsey specifically, so every methodological choice below can be traced to a specific point of disagreement in the literature rather than asserted from scratch. Design and reason through the calibration probe, then run it to get the empirical near/far ordering. Design the hidden-property task with the leakage risk explicit at every step, pilot it on the target model, and interpret the pilot result against a stated feasibility threshold before deciding whether to proceed, fall back to the temperature property, or fall further back to the reduced three-condition design. This decision point is the most important piece of judgment in the whole three days and should not be rushed to make room for data collection.</w:t>
      </w:r>
    </w:p>
    <w:p>
      <w:pPr>
        <w:pStyle w:val="Heading2"/>
        <w:spacing w:after="120" w:before="280"/>
      </w:pPr>
      <w:r>
        <w:rPr>
          <w:b/>
          <w:bCs/>
        </w:rPr>
        <w:t xml:space="preserve">Phase 2 — Data Collection</w:t>
      </w:r>
    </w:p>
    <w:p>
      <w:pPr>
        <w:spacing w:after="160"/>
      </w:pPr>
      <w:r>
        <w:t xml:space="preserve">Collect the full set of trials across the pre-registered conditions using a lightweight script whose only job is to run the same condition batches reliably — the collection step itself needs no further design thought once Phase 1's decisions are made. Most of the phase's actual attention should go to spot-checking early outputs against the assumptions made during design, not to the mechanics of the run.</w:t>
      </w:r>
    </w:p>
    <w:p>
      <w:pPr>
        <w:pStyle w:val="Heading2"/>
        <w:spacing w:after="120" w:before="280"/>
      </w:pPr>
      <w:r>
        <w:rPr>
          <w:b/>
          <w:bCs/>
        </w:rPr>
        <w:t xml:space="preserve">Phase 3 — Analysis, Interpretation, and Writing</w:t>
      </w:r>
    </w:p>
    <w:p>
      <w:pPr>
        <w:spacing w:after="160"/>
      </w:pPr>
      <w:r>
        <w:t xml:space="preserve">Run the three pre-registered pairwise comparisons and build the single results figure. The larger task is interpretation: work through what each of the plausible outcome patterns would mean for the Binder/Song disagreement specifically, and write the report so that the reasoning — not just the numbers — is visible to a reader who doesn't already know the literature. Lead with the plain-English framing, introduce the Binder/Song grounding second, state the Level 2/3 versus Level 4 distinction in the abstract, and put limitations up front rather than at the end. Rehearse the pitch aloud at least twice before presenting it.</w:t>
      </w:r>
    </w:p>
    <w:p>
      <w:pPr>
        <w:pStyle w:val="Heading2"/>
        <w:spacing w:after="120" w:before="280"/>
      </w:pPr>
      <w:r>
        <w:rPr>
          <w:b/>
          <w:bCs/>
        </w:rPr>
        <w:t xml:space="preserve">Stretch goals, attempted in this order only if core analysis and writing are already secure</w:t>
      </w:r>
    </w:p>
    <w:p>
      <w:pPr>
        <w:pStyle w:val="ListParagraph"/>
        <w:numPr>
          <w:ilvl w:val="0"/>
          <w:numId w:val="2"/>
        </w:numPr>
        <w:spacing w:after="100"/>
      </w:pPr>
      <w:r>
        <w:t xml:space="preserve">A second target model, to check whether the pattern replicates.</w:t>
      </w:r>
    </w:p>
    <w:p>
      <w:pPr>
        <w:pStyle w:val="ListParagraph"/>
        <w:numPr>
          <w:ilvl w:val="0"/>
          <w:numId w:val="2"/>
        </w:numPr>
        <w:spacing w:after="100"/>
      </w:pPr>
      <w:r>
        <w:t xml:space="preserve">A quantitative similarity metric to sit alongside the calibration-probe measurement, strengthening the similarity claim further.</w:t>
      </w:r>
    </w:p>
    <w:p>
      <w:pPr>
        <w:pStyle w:val="ListParagraph"/>
        <w:numPr>
          <w:ilvl w:val="0"/>
          <w:numId w:val="2"/>
        </w:numPr>
        <w:spacing w:after="100"/>
      </w:pPr>
      <w:r>
        <w:t xml:space="preserve">A calibration/ECE layer on top of raw accuracy, for a richer picture of how confident the predictors are, not just how often they're right.</w:t>
      </w:r>
    </w:p>
    <w:p>
      <w:pPr>
        <w:pStyle w:val="Heading1"/>
        <w:spacing w:after="120" w:before="280"/>
      </w:pPr>
      <w:r>
        <w:rPr>
          <w:b/>
          <w:bCs/>
        </w:rPr>
        <w:t xml:space="preserve">13. Team Roles</w:t>
      </w:r>
    </w:p>
    <w:p>
      <w:pPr>
        <w:spacing w:after="160"/>
      </w:pPr>
      <w:r>
        <w:t xml:space="preserve">Both roles below are weighted toward reasoning and interpretation; the scripting each involves is real but secondary to the judgment calls around it.</w:t>
      </w:r>
    </w:p>
    <w:p>
      <w:pPr>
        <w:pStyle w:val="ListParagraph"/>
        <w:numPr>
          <w:ilvl w:val="0"/>
          <w:numId w:val="2"/>
        </w:numPr>
        <w:spacing w:after="100"/>
      </w:pPr>
      <w:r>
        <w:rPr>
          <w:b/>
          <w:bCs/>
        </w:rPr>
        <w:t xml:space="preserve">Ubayd — experimental design and statistical reasoning. </w:t>
      </w:r>
      <w:r>
        <w:t xml:space="preserve">Leads the calibration-probe design and the bootstrap comparison plan, works through what each outcome pattern implies, and writes the analysis and results sections. Runs the lightweight scripting needed to execute the design once it's settled, but that scripting is in service of the analysis, not the deliverable itself.</w:t>
      </w:r>
    </w:p>
    <w:p>
      <w:pPr>
        <w:pStyle w:val="ListParagraph"/>
        <w:numPr>
          <w:ilvl w:val="0"/>
          <w:numId w:val="2"/>
        </w:numPr>
        <w:spacing w:after="100"/>
      </w:pPr>
      <w:r>
        <w:rPr>
          <w:b/>
          <w:bCs/>
        </w:rPr>
        <w:t xml:space="preserve">Jaswin — literature grounding and task design. </w:t>
      </w:r>
      <w:r>
        <w:t xml:space="preserve">Leads the hidden-property design and its piloting, including the judgment call on whether a pilot result counts as a pass, grounds the write-up in Binder, Song, and Lindsey specifically, and leads the plain-English framing and pitch rehearsal.</w:t>
      </w:r>
    </w:p>
    <w:p>
      <w:pPr>
        <w:pStyle w:val="ListParagraph"/>
        <w:numPr>
          <w:ilvl w:val="0"/>
          <w:numId w:val="2"/>
        </w:numPr>
        <w:spacing w:after="100"/>
      </w:pPr>
      <w:r>
        <w:t xml:space="preserve">Both contribute to the interpretation section and the final write-up — this is deliberately not split so that one person writes prose while the other writes code.</w:t>
      </w:r>
    </w:p>
    <w:p>
      <w:pPr>
        <w:pStyle w:val="Heading1"/>
        <w:spacing w:after="120" w:before="280"/>
      </w:pPr>
      <w:r>
        <w:rPr>
          <w:b/>
          <w:bCs/>
        </w:rPr>
        <w:t xml:space="preserve">14. Why This Survives Questions</w:t>
      </w:r>
    </w:p>
    <w:p>
      <w:pPr>
        <w:spacing w:after="160"/>
      </w:pPr>
      <w:r>
        <w:t xml:space="preserve">Every weak point identified in Section 1 has a specific, reasoned fix: the regression became three pairwise comparisons because a three-point fit isn't a real regression; the assumed similarity ranking became a measured one because a proxy isn't a measurement; the pilot risk got an explicit, pre-decided fallback because deciding under pressure produces worse judgment than deciding in advance; and the claim's actual ceiling — same-weights self-modeling, not introspective awareness — is stated in the abstract because a claim discovered to be overreaching under questioning reads as retreat, while the same claim stated up front reads as precision. A hostile question about any of these now has a considered answer instead of an improvised one, because the reasoning behind each fix, not just the fix itself, was worked out in advance.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lvl w:ilvl="1"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2026-08-14T18:51:13.859Z</dcterms:created>
  <dcterms:modified xsi:type="dcterms:W3CDTF">2026-08-14T18:51:13.878Z</dcterms:modified>
</cp:coreProperties>
</file>

<file path=docProps/custom.xml><?xml version="1.0" encoding="utf-8"?>
<Properties xmlns="http://schemas.openxmlformats.org/officeDocument/2006/custom-properties" xmlns:vt="http://schemas.openxmlformats.org/officeDocument/2006/docPropsVTypes"/>
</file>