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정보시스템 구축 용역계약서 (갑 제시 초안)</w:t>
      </w:r>
    </w:p>
    <w:p>
      <w:r>
        <w:t xml:space="preserve">발주기관 OO공공기관(이하 "갑"이라 한다)과 수급인 주식회사 OO SI(이하 "을"이라 한다)는 차세대 통합업무시스템 구축에 관하여 다음과 같이 계약을 체결한다.</w:t>
      </w:r>
    </w:p>
    <w:p>
      <w:pPr>
        <w:pStyle w:val="Heading2"/>
      </w:pPr>
      <w:r>
        <w:t xml:space="preserve">제1조 (계약의 목적)</w:t>
      </w:r>
    </w:p>
    <w:p>
      <w:r>
        <w:t xml:space="preserve">본 계약은 갑이 발주하는 차세대 통합업무시스템의 분석·설계·개발·이행 및 안정화 용역의 수행에 관한 갑과 을의 권리와 의무를 정함을 목적으로 한다.</w:t>
      </w:r>
    </w:p>
    <w:p>
      <w:pPr>
        <w:pStyle w:val="Heading2"/>
      </w:pPr>
      <w:r>
        <w:t xml:space="preserve">제2조 (계약기간 및 총 계약금액)</w:t>
      </w:r>
    </w:p>
    <w:p>
      <w:r>
        <w:t xml:space="preserve">계약기간은 2026년 1월 5일부터 2026년 12월 31일까지로 하고, 총 계약금액은 금 일십이억원(₩1,200,000,000, 부가가치세 포함)으로 한다.</w:t>
      </w:r>
    </w:p>
    <w:p>
      <w:pPr>
        <w:pStyle w:val="Heading2"/>
      </w:pPr>
      <w:r>
        <w:t xml:space="preserve">제7조 (과업 범위의 변경)</w:t>
      </w:r>
    </w:p>
    <w:p>
      <w:r>
        <w:t xml:space="preserve">갑은 계약금액의 증액 없이 과업내용의 추가·변경을 을에게 요구할 수 있으며, 을은 이에 대하여 이의를 제기할 수 없다. 과업 변경에 따른 추가 투입 인건비는 을이 부담한다.</w:t>
      </w:r>
    </w:p>
    <w:p>
      <w:pPr>
        <w:pStyle w:val="Heading2"/>
      </w:pPr>
      <w:r>
        <w:t xml:space="preserve">제11조 (지체상금 및 위약벌)</w:t>
      </w:r>
    </w:p>
    <w:p>
      <w:r>
        <w:t xml:space="preserve">을이 납기를 준수하지 못한 경우 지체일수 1일당 계약금액의 1천분의 3에 해당하는 지체상금을 부과하고, 이와 별도로 총 계약금액의 3배에 해당하는 금액을 위약벌로 갑에게 지급한다. 지체상금과 위약벌의 합계액에는 상한을 두지 아니한다.</w:t>
      </w:r>
    </w:p>
    <w:p>
      <w:pPr>
        <w:pStyle w:val="Heading2"/>
      </w:pPr>
      <w:r>
        <w:t xml:space="preserve">제14조 (계약의 해지)</w:t>
      </w:r>
    </w:p>
    <w:p>
      <w:r>
        <w:t xml:space="preserve">갑은 을의 귀책사유를 불문하고 갑의 예산 사정, 사업계획 변경 또는 갑이 필요하다고 인정하는 경우 최고 없이 해지할 수 있으며, 이 경우 을이 이미 투입한 비용 및 기성 부분에 대한 대가는 지급하지 아니한다.</w:t>
      </w:r>
    </w:p>
    <w:p>
      <w:pPr>
        <w:pStyle w:val="Heading2"/>
      </w:pPr>
      <w:r>
        <w:t xml:space="preserve">제17조 (손해배상 및 면책)</w:t>
      </w:r>
    </w:p>
    <w:p>
      <w:r>
        <w:t xml:space="preserve">본 시스템의 하자, 장애 또는 정보 유출로 제3자에게 손해가 발생한 경우 갑은 귀책사유를 불문하고 일체의 손해배상 책임을 지지 아니하며, 을이 전액 배상한다. 을의 배상 한도는 제한하지 아니한다.</w:t>
      </w:r>
    </w:p>
    <w:p>
      <w:pPr>
        <w:pStyle w:val="Heading2"/>
      </w:pPr>
      <w:r>
        <w:t xml:space="preserve">제19조 (지식재산권 및 산출물)</w:t>
      </w:r>
    </w:p>
    <w:p>
      <w:r>
        <w:t xml:space="preserve">본 용역 수행 과정에서 을이 기존에 보유하던 범용 모듈 및 라이브러리를 포함한 모든 산출물과 그 지식재산권은 갑에게 원시적으로 귀속하며, 을은 이를 타 사업에 재사용하지 아니한다.</w:t>
      </w:r>
    </w:p>
    <w:p>
      <w:pPr>
        <w:pStyle w:val="Heading2"/>
      </w:pPr>
      <w:r>
        <w:t xml:space="preserve">제22조 (하도급 대금 및 인력 관리)</w:t>
      </w:r>
    </w:p>
    <w:p>
      <w:r>
        <w:t xml:space="preserve">을은 갑의 사전 서면 승인 없이 하도급을 할 수 없으며, 갑은 을의 투입인력에 대하여 직접 근태를 지시·관리하고 부적격하다고 판단되는 인력의 즉시 교체를 요구할 수 있다.</w:t>
      </w:r>
    </w:p>
    <w:p>
      <w:pPr>
        <w:pStyle w:val="Heading2"/>
      </w:pPr>
      <w:r>
        <w:t xml:space="preserve">제25조 (분쟁의 해결)</w:t>
      </w:r>
    </w:p>
    <w:p>
      <w:r>
        <w:t xml:space="preserve">본 계약에 관한 분쟁은 갑의 주된 사무소 소재지 관할 법원을 전속 관할로 하며, 을은 국가를 당사자로 하는 계약에 관한 법률에 따른 이의신청 및 분쟁조정 절차를 진행하지 아니한다.</w:t>
      </w:r>
    </w:p>
    <w:p>
      <w:pPr>
        <w:pStyle w:val="Heading2"/>
      </w:pPr>
      <w:r>
        <w:t xml:space="preserve">[별표] 대금 지급 일정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2400" w:type="dxa"/>
          </w:tcPr>
          <w:p>
            <w:r>
              <w:t xml:space="preserve">구분</w:t>
            </w:r>
          </w:p>
        </w:tc>
        <w:tc>
          <w:tcPr>
            <w:tcW w:w="2400" w:type="dxa"/>
          </w:tcPr>
          <w:p>
            <w:r>
              <w:t xml:space="preserve">지급 시기</w:t>
            </w:r>
          </w:p>
        </w:tc>
        <w:tc>
          <w:tcPr>
            <w:tcW w:w="2400" w:type="dxa"/>
          </w:tcPr>
          <w:p>
            <w:r>
              <w:t xml:space="preserve">지급 비율</w:t>
            </w:r>
          </w:p>
        </w:tc>
        <w:tc>
          <w:tcPr>
            <w:tcW w:w="2400" w:type="dxa"/>
          </w:tcPr>
          <w:p>
            <w:r>
              <w:t xml:space="preserve">금액(원)</w:t>
            </w:r>
          </w:p>
        </w:tc>
        <w:tc>
          <w:tcPr>
            <w:tcW w:w="2400" w:type="dxa"/>
          </w:tcPr>
          <w:p>
            <w:r>
              <w:t xml:space="preserve">지급 조건</w:t>
            </w:r>
          </w:p>
        </w:tc>
      </w:tr>
      <w:tr>
        <w:tc>
          <w:tcPr>
            <w:tcW w:w="2400" w:type="dxa"/>
          </w:tcPr>
          <w:p>
            <w:r>
              <w:t xml:space="preserve">선금</w:t>
            </w:r>
          </w:p>
        </w:tc>
        <w:tc>
          <w:tcPr>
            <w:tcW w:w="2400" w:type="dxa"/>
          </w:tcPr>
          <w:p>
            <w:r>
              <w:t xml:space="preserve">착수일로부터 30일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120,000,000</w:t>
            </w:r>
          </w:p>
        </w:tc>
        <w:tc>
          <w:tcPr>
            <w:tcW w:w="2400" w:type="dxa"/>
          </w:tcPr>
          <w:p>
            <w:r>
              <w:t xml:space="preserve">갑이 필요하다고 인정하는 경우에만 지급</w:t>
            </w:r>
          </w:p>
        </w:tc>
      </w:tr>
      <w:tr>
        <w:tc>
          <w:tcPr>
            <w:tcW w:w="2400" w:type="dxa"/>
          </w:tcPr>
          <w:p>
            <w:r>
              <w:t xml:space="preserve">1차 기성</w:t>
            </w:r>
          </w:p>
        </w:tc>
        <w:tc>
          <w:tcPr>
            <w:tcW w:w="2400" w:type="dxa"/>
          </w:tcPr>
          <w:p>
            <w:r>
              <w:t xml:space="preserve">분석·설계 완료</w:t>
            </w:r>
          </w:p>
        </w:tc>
        <w:tc>
          <w:tcPr>
            <w:tcW w:w="2400" w:type="dxa"/>
          </w:tcPr>
          <w:p>
            <w:r>
              <w:t xml:space="preserve">20%</w:t>
            </w:r>
          </w:p>
        </w:tc>
        <w:tc>
          <w:tcPr>
            <w:tcW w:w="2400" w:type="dxa"/>
          </w:tcPr>
          <w:p>
            <w:r>
              <w:t xml:space="preserve">240,000,000</w:t>
            </w:r>
          </w:p>
        </w:tc>
        <w:tc>
          <w:tcPr>
            <w:tcW w:w="2400" w:type="dxa"/>
          </w:tcPr>
          <w:p>
            <w:r>
              <w:t xml:space="preserve">갑의 검사 합격 시</w:t>
            </w:r>
          </w:p>
        </w:tc>
      </w:tr>
      <w:tr>
        <w:tc>
          <w:tcPr>
            <w:tcW w:w="2400" w:type="dxa"/>
          </w:tcPr>
          <w:p>
            <w:r>
              <w:t xml:space="preserve">2차 기성</w:t>
            </w:r>
          </w:p>
        </w:tc>
        <w:tc>
          <w:tcPr>
            <w:tcW w:w="2400" w:type="dxa"/>
          </w:tcPr>
          <w:p>
            <w:r>
              <w:t xml:space="preserve">개발 완료</w:t>
            </w:r>
          </w:p>
        </w:tc>
        <w:tc>
          <w:tcPr>
            <w:tcW w:w="2400" w:type="dxa"/>
          </w:tcPr>
          <w:p>
            <w:r>
              <w:t xml:space="preserve">30%</w:t>
            </w:r>
          </w:p>
        </w:tc>
        <w:tc>
          <w:tcPr>
            <w:tcW w:w="2400" w:type="dxa"/>
          </w:tcPr>
          <w:p>
            <w:r>
              <w:t xml:space="preserve">360,000,000</w:t>
            </w:r>
          </w:p>
        </w:tc>
        <w:tc>
          <w:tcPr>
            <w:tcW w:w="2400" w:type="dxa"/>
          </w:tcPr>
          <w:p>
            <w:r>
              <w:t xml:space="preserve">갑의 검사 합격 시</w:t>
            </w:r>
          </w:p>
        </w:tc>
      </w:tr>
      <w:tr>
        <w:tc>
          <w:tcPr>
            <w:tcW w:w="2400" w:type="dxa"/>
          </w:tcPr>
          <w:p>
            <w:r>
              <w:t xml:space="preserve">잔금</w:t>
            </w:r>
          </w:p>
        </w:tc>
        <w:tc>
          <w:tcPr>
            <w:tcW w:w="2400" w:type="dxa"/>
          </w:tcPr>
          <w:p>
            <w:r>
              <w:t xml:space="preserve">검수 완료 후 90일</w:t>
            </w:r>
          </w:p>
        </w:tc>
        <w:tc>
          <w:tcPr>
            <w:tcW w:w="2400" w:type="dxa"/>
          </w:tcPr>
          <w:p>
            <w:r>
              <w:t xml:space="preserve">40%</w:t>
            </w:r>
          </w:p>
        </w:tc>
        <w:tc>
          <w:tcPr>
            <w:tcW w:w="2400" w:type="dxa"/>
          </w:tcPr>
          <w:p>
            <w:r>
              <w:t xml:space="preserve">480,000,000</w:t>
            </w:r>
          </w:p>
        </w:tc>
        <w:tc>
          <w:tcPr>
            <w:tcW w:w="2400" w:type="dxa"/>
          </w:tcPr>
          <w:p>
            <w:r>
              <w:t xml:space="preserve">하자보수보증금 공제 후 지급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</w:rPr>
  </w:style>
  <w:style w:type="paragraph" w:styleId="Heading2">
    <w:name w:val="heading 2"/>
    <w:pPr>
      <w:outlineLvl w:val="1"/>
    </w:pPr>
    <w:rPr>
      <w:b/>
    </w:rPr>
  </w:style>
  <w:style w:type="paragraph" w:styleId="Heading3">
    <w:name w:val="heading 3"/>
    <w:pPr>
      <w:outlineLvl w:val="2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