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제1조(목적)</w:t>
      </w:r>
    </w:p>
    <w:p>
      <w:pPr>
        <w:widowControl/>
      </w:pPr>
      <w:r>
        <w:t>이 기준은 개인정보와 중요정보를 안전하게 보호하기 위하여 조직이 준수해야 할 최소 통제 요건을 정함을 목적으로 한다.</w:t>
      </w:r>
    </w:p>
    <w:p>
      <w:pPr>
        <w:widowControl/>
      </w:pPr>
      <w:r>
        <w:t>이 문서는 실제 법률 자문이나 회사 규정이 아닌 소프트웨어 기능 검증용 가상 문서이다.</w:t>
      </w:r>
    </w:p>
    <w:p>
      <w:pPr>
        <w:pStyle w:val="Heading1"/>
        <w:pageBreakBefore w:val="0"/>
      </w:pPr>
      <w:r>
        <w:t>제2조(접근권한 관리)</w:t>
      </w:r>
    </w:p>
    <w:p>
      <w:pPr>
        <w:widowControl/>
      </w:pPr>
      <w:r>
        <w:t>정보시스템 접근권한은 최소권한 원칙에 따라 업무상 필요한 범위로만 부여하고, 부서장과 정보보호책임자의 사전 승인을 받아야 한다.</w:t>
      </w:r>
    </w:p>
    <w:p>
      <w:pPr>
        <w:widowControl/>
      </w:pPr>
      <w:r>
        <w:t>접근권한은 분기마다 검토하며 퇴직, 전보 또는 업무 종료 사실을 확인한 때부터 24시간 이내에 회수해야 한다.</w:t>
      </w:r>
    </w:p>
    <w:p>
      <w:pPr>
        <w:pStyle w:val="Heading1"/>
        <w:pageBreakBefore w:val="0"/>
      </w:pPr>
      <w:r>
        <w:t>제3조(다중인증)</w:t>
      </w:r>
    </w:p>
    <w:p>
      <w:pPr>
        <w:widowControl/>
      </w:pPr>
      <w:r>
        <w:t>외부 네트워크에서 내부 시스템에 접속하는 모든 사용자와 관리자 권한 사용자는 다중인증을 적용해야 한다.</w:t>
      </w:r>
    </w:p>
    <w:p>
      <w:pPr>
        <w:widowControl/>
      </w:pPr>
      <w:r>
        <w:t>비밀번호만을 사용한 외부 접속은 허용하지 않는다.</w:t>
      </w:r>
    </w:p>
    <w:p>
      <w:pPr>
        <w:pStyle w:val="Heading1"/>
        <w:pageBreakBefore w:val="0"/>
      </w:pPr>
      <w:r>
        <w:t>제3조의2(특권계정)</w:t>
      </w:r>
    </w:p>
    <w:p>
      <w:pPr>
        <w:widowControl/>
      </w:pPr>
      <w:r>
        <w:t>특권계정은 개인별로 발급하고 공동 사용을 금지한다. 비밀번호는 60일마다 변경하며 사용 내역은 별도 감사기록으로 남겨야 한다.</w:t>
      </w:r>
    </w:p>
    <w:p>
      <w:pPr>
        <w:pStyle w:val="Heading1"/>
        <w:pageBreakBefore/>
      </w:pPr>
      <w:r>
        <w:t>제4조(암호화)</w:t>
      </w:r>
    </w:p>
    <w:p>
      <w:pPr>
        <w:widowControl/>
      </w:pPr>
      <w:r>
        <w:t>저장되는 개인정보와 중요정보는 AES-256 이상 수준으로 암호화해야 한다.</w:t>
      </w:r>
    </w:p>
    <w:p>
      <w:pPr>
        <w:widowControl/>
      </w:pPr>
      <w:r>
        <w:t>전송 구간은 TLS 1.2 이상을 사용해야 하며 TLS 1.0과 TLS 1.1은 예외 없이 금지한다.</w:t>
      </w:r>
    </w:p>
    <w:p>
      <w:pPr>
        <w:pStyle w:val="Heading1"/>
        <w:pageBreakBefore w:val="0"/>
      </w:pPr>
      <w:r>
        <w:t>제5조(보안사고 대응)</w:t>
      </w:r>
    </w:p>
    <w:p>
      <w:pPr>
        <w:widowControl/>
      </w:pPr>
      <w:r>
        <w:t>개인정보 유출 또는 침해 정황을 발견한 임직원은 즉시 정보보호책임자에게 보고해야 한다.</w:t>
      </w:r>
    </w:p>
    <w:p>
      <w:pPr>
        <w:widowControl/>
      </w:pPr>
      <w:r>
        <w:t>사고대응팀은 최초 보고 후 4시간 이내에 초기 영향평가를 완료하고 관계 법령에서 정한 기한 안에 감독기관과 정보주체 통지 여부를 결정해야 한다.</w:t>
      </w:r>
    </w:p>
    <w:p>
      <w:pPr>
        <w:pStyle w:val="Heading1"/>
        <w:pageBreakBefore w:val="0"/>
      </w:pPr>
      <w:r>
        <w:t>제6조(보존과 파기)</w:t>
      </w:r>
    </w:p>
    <w:p>
      <w:pPr>
        <w:widowControl/>
      </w:pPr>
      <w:r>
        <w:t>개인정보는 수집 목적이 달성되거나 보존기간이 끝난 날부터 30일 이내에 복구할 수 없는 방법으로 파기해야 한다.</w:t>
      </w:r>
    </w:p>
    <w:p>
      <w:pPr>
        <w:widowControl/>
      </w:pPr>
      <w:r>
        <w:t>법령상 보존 의무로 파기를 유예할 때에는 근거, 대상, 책임자와 종료일을 문서로 기록해야 한다.</w:t>
      </w:r>
    </w:p>
    <w:p>
      <w:pPr>
        <w:pStyle w:val="Heading1"/>
        <w:pageBreakBefore w:val="0"/>
      </w:pPr>
      <w:r>
        <w:t>제7조(수탁자 관리)</w:t>
      </w:r>
    </w:p>
    <w:p>
      <w:pPr>
        <w:widowControl/>
      </w:pPr>
      <w:r>
        <w:t>개인정보 처리 업무를 외부 업체에 맡기기 전에 보안수준 평가와 개인정보 처리위탁 계약 체결을 완료해야 한다.</w:t>
      </w:r>
    </w:p>
    <w:p>
      <w:pPr>
        <w:widowControl/>
      </w:pPr>
      <w:r>
        <w:t>수탁자의 통제 이행 여부는 매년 한 차례 이상 점검하고 발견된 미흡사항에 대한 개선 완료를 확인해야 한다.</w:t>
      </w:r>
    </w:p>
    <w:p>
      <w:pPr>
        <w:pStyle w:val="Heading1"/>
        <w:pageBreakBefore/>
      </w:pPr>
      <w:r>
        <w:t>제8조(백업과 복구)</w:t>
      </w:r>
    </w:p>
    <w:p>
      <w:pPr>
        <w:widowControl/>
      </w:pPr>
      <w:r>
        <w:t>중요정보는 매일 한 차례 이상 백업하고 운영 환경과 분리된 위치에 보관해야 한다.</w:t>
      </w:r>
    </w:p>
    <w:p>
      <w:pPr>
        <w:widowControl/>
      </w:pPr>
      <w:r>
        <w:t>복구시험은 분기마다 실시하며 목표복구시간은 4시간, 목표복구시점은 24시간 이내로 유지해야 한다.</w:t>
      </w:r>
    </w:p>
    <w:p>
      <w:pPr>
        <w:pStyle w:val="Heading1"/>
        <w:pageBreakBefore w:val="0"/>
      </w:pPr>
      <w:r>
        <w:t>제9조(감사로그)</w:t>
      </w:r>
    </w:p>
    <w:p>
      <w:pPr>
        <w:widowControl/>
      </w:pPr>
      <w:r>
        <w:t>관리자 활동, 개인정보 조회, 다운로드와 권한 변경 기록은 최소 1년간 보관해야 한다.</w:t>
      </w:r>
    </w:p>
    <w:p>
      <w:pPr>
        <w:widowControl/>
      </w:pPr>
      <w:r>
        <w:t>감사로그는 위변조를 방지하고 담당자가 매월 이상징후를 검토한 뒤 결과를 기록해야 한다.</w:t>
      </w:r>
    </w:p>
    <w:p>
      <w:pPr>
        <w:pStyle w:val="Heading1"/>
        <w:pageBreakBefore w:val="0"/>
      </w:pPr>
      <w:r>
        <w:t>제10조(교육)</w:t>
      </w:r>
    </w:p>
    <w:p>
      <w:pPr>
        <w:widowControl/>
      </w:pPr>
      <w:r>
        <w:t>모든 임직원은 연 1회 이상 개인정보 및 정보보호 교육을 이수해야 한다.</w:t>
      </w:r>
    </w:p>
    <w:p>
      <w:pPr>
        <w:widowControl/>
      </w:pPr>
      <w:r>
        <w:t>신규 입사자와 권한이 확대된 담당자는 시스템 접근권한을 부여받기 전에 직무별 보안교육을 이수해야 한다.</w:t>
      </w:r>
    </w:p>
    <w:p>
      <w:pPr>
        <w:pStyle w:val="Heading1"/>
      </w:pPr>
      <w:r>
        <w:t>별표 1. 핵심 통제 시험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1800"/>
        <w:gridCol w:w="27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통제영역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필수 기준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기대 상태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예상 심각도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접근권한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분기 검토 및 24시간 내 회수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High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전송암호화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TLS 1.2 이상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Critical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보존·파기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목적 달성 후 30일 내 파기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High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백업·복구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매일 백업, 분기 복구시험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충족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 w:val="0"/>
                <w:color w:val="20242A"/>
                <w:sz w:val="17"/>
              </w:rPr>
              <w:t>High</w:t>
            </w:r>
          </w:p>
        </w:tc>
      </w:tr>
    </w:tbl>
    <w:p>
      <w:pPr>
        <w:spacing w:before="160"/>
      </w:pPr>
      <w:r>
        <w:rPr>
          <w:rFonts w:ascii="Malgun Gothic" w:hAnsi="Malgun Gothic" w:eastAsia="Malgun Gothic"/>
          <w:b w:val="0"/>
          <w:color w:val="6B7280"/>
          <w:sz w:val="18"/>
        </w:rPr>
        <w:t>시험 안내: 문서 간 차이는 의도적으로 설계되었으며 실제 조직의 통제 수준을 나타내지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B7280"/>
        <w:sz w:val="18"/>
      </w:rPr>
      <w:t xml:space="preserve">페이지 </w:t>
    </w:r>
    <w:r>
      <w:rPr>
        <w:rFonts w:ascii="Malgun Gothic" w:hAnsi="Malgun Gothic" w:eastAsia="Malgun Gothi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Malgun Gothic" w:hAnsi="Malgun Gothic" w:eastAsia="Malgun Gothic"/>
        <w:b/>
        <w:color w:val="0B2545"/>
        <w:sz w:val="28"/>
      </w:rPr>
      <w:t>개인정보 및 정보보호 통제 기준</w:t>
    </w:r>
  </w:p>
  <w:p>
    <w:pPr>
      <w:spacing w:after="80"/>
      <w:pBdr>
        <w:bottom w:val="single" w:sz="8" w:space="4" w:color="2E74B5"/>
      </w:pBdr>
    </w:pPr>
    <w:r>
      <w:rPr>
        <w:rFonts w:ascii="Malgun Gothic" w:hAnsi="Malgun Gothic" w:eastAsia="Malgun Gothic"/>
        <w:b w:val="0"/>
        <w:color w:val="6B7280"/>
        <w:sz w:val="17"/>
      </w:rPr>
      <w:t>GRC Compliance Reviewer 테스트용 기준 문서  |  시행일 2026-01-01  |  소관 가상 준법감시위원회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및 정보보호 통제 기준</dc:title>
  <dc:subject>GRC Compliance Reviewer parser and review fixture</dc:subject>
  <dc:creator>OpenAI Codex - synthetic test data</dc:creator>
  <cp:keywords/>
  <dc:description>실제 개인정보나 법률 문서가 아닌 합성 테스트 데이터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