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04998" w:rsidP="0B601909" w:rsidRDefault="315D786B" w14:paraId="1FCA3B98" w14:textId="61DF1E3B">
      <w:pPr>
        <w:spacing w:after="0"/>
        <w:rPr>
          <w:b/>
          <w:bCs/>
        </w:rPr>
      </w:pPr>
      <w:r w:rsidRPr="0B601909">
        <w:rPr>
          <w:b/>
          <w:bCs/>
        </w:rPr>
        <w:t>Capitolo 1</w:t>
      </w:r>
    </w:p>
    <w:p w:rsidR="736B7F6C" w:rsidP="0B601909" w:rsidRDefault="315D786B" w14:paraId="5424949E" w14:textId="3C2F4F91">
      <w:pPr>
        <w:spacing w:after="0"/>
      </w:pPr>
      <w:r w:rsidRPr="0B601909">
        <w:rPr>
          <w:b/>
          <w:bCs/>
        </w:rPr>
        <w:t xml:space="preserve"> </w:t>
      </w:r>
    </w:p>
    <w:p w:rsidR="736B7F6C" w:rsidP="0B601909" w:rsidRDefault="315D786B" w14:paraId="1EC5E030" w14:textId="5701A192">
      <w:pPr>
        <w:spacing w:after="0"/>
        <w:rPr>
          <w:b/>
          <w:bCs/>
        </w:rPr>
      </w:pPr>
      <w:r w:rsidRPr="0B601909">
        <w:rPr>
          <w:b/>
          <w:bCs/>
        </w:rPr>
        <w:t xml:space="preserve">La Prova Digitale nel Sistema Processuale Penale </w:t>
      </w:r>
    </w:p>
    <w:p w:rsidR="00D04E5B" w:rsidP="0B601909" w:rsidRDefault="00D04E5B" w14:paraId="5E2F6C3D" w14:textId="77777777">
      <w:pPr>
        <w:spacing w:after="0"/>
        <w:rPr>
          <w:b/>
          <w:bCs/>
        </w:rPr>
      </w:pPr>
    </w:p>
    <w:p w:rsidR="00B04998" w:rsidP="0B601909" w:rsidRDefault="315D786B" w14:paraId="194270E0" w14:textId="265F040C">
      <w:pPr>
        <w:spacing w:after="0"/>
      </w:pPr>
      <w:r w:rsidRPr="0B601909">
        <w:rPr>
          <w:b/>
          <w:bCs/>
        </w:rPr>
        <w:t>1.1 Art. 253 c.p.p.: Dalla Realtà Analogica al Contesto Digitale</w:t>
      </w:r>
    </w:p>
    <w:p w:rsidR="4EE4E30F" w:rsidP="0B601909" w:rsidRDefault="4EE4E30F" w14:paraId="1D05A560" w14:textId="18AE300C">
      <w:pPr>
        <w:spacing w:after="0"/>
        <w:rPr>
          <w:b/>
          <w:bCs/>
        </w:rPr>
      </w:pPr>
    </w:p>
    <w:p w:rsidR="00B04998" w:rsidP="0B601909" w:rsidRDefault="4C5C47CF" w14:paraId="7FA1134A" w14:textId="4EF2F20D">
      <w:pPr>
        <w:spacing w:after="0"/>
      </w:pPr>
      <w:r>
        <w:t xml:space="preserve">Il sequestro probatorio si colloca nell’alveo dei mezzi di ricerca della prova, i quali operano prevalentemente nella fase delle indagini preliminari. </w:t>
      </w:r>
      <w:r w:rsidR="0F7C46DF">
        <w:t xml:space="preserve">Da distinguere rispetto ai mezzi di prova che </w:t>
      </w:r>
      <w:r w:rsidRPr="0B601909" w:rsidR="0F7C46DF">
        <w:rPr>
          <w:rFonts w:eastAsia="Aptos" w:cs="Aptos"/>
        </w:rPr>
        <w:t>sono gli strumenti attraverso cui si forma la prova nel dibattimento, in modo contraddittorio e con partecipazione delle parti, per accertare la verità storica dei fatti. A differenza dei mezzi di ricerca, sono atti costituendi, ripetibili in udienza, soggetti a valutazione discrezionale del giudice sull'attendibilità.</w:t>
      </w:r>
    </w:p>
    <w:p w:rsidR="00B04998" w:rsidP="0B601909" w:rsidRDefault="40F5C08F" w14:paraId="744EC092" w14:textId="2883C332">
      <w:pPr>
        <w:spacing w:after="0"/>
      </w:pPr>
      <w:r w:rsidRPr="5311E283">
        <w:t xml:space="preserve">Trattandosi di atti </w:t>
      </w:r>
      <w:r w:rsidRPr="5311E283" w:rsidR="146022A0">
        <w:t>cosiddetti</w:t>
      </w:r>
      <w:r w:rsidRPr="5311E283" w:rsidR="508769F6">
        <w:t xml:space="preserve"> </w:t>
      </w:r>
      <w:r w:rsidRPr="5311E283">
        <w:t xml:space="preserve">“a sorpresa” e, per loro natura, originariamente irripetibili, </w:t>
      </w:r>
      <w:r w:rsidR="2814F6D8">
        <w:t>i mezzi di ricerca della prova offrono</w:t>
      </w:r>
      <w:r>
        <w:t xml:space="preserve"> risultati </w:t>
      </w:r>
      <w:r w:rsidR="072F2498">
        <w:t xml:space="preserve">che </w:t>
      </w:r>
      <w:r>
        <w:t>confluiscono direttamente nel fascicolo per il dibattimento</w:t>
      </w:r>
      <w:r w:rsidR="7A44A229">
        <w:t>.</w:t>
      </w:r>
      <w:r w:rsidR="16B36FED">
        <w:t xml:space="preserve"> </w:t>
      </w:r>
      <w:r w:rsidRPr="14BE013E">
        <w:rPr>
          <w:rStyle w:val="Rimandonotaapidipagina"/>
        </w:rPr>
        <w:footnoteReference w:id="1"/>
      </w:r>
    </w:p>
    <w:p w:rsidR="00B04998" w:rsidP="0B601909" w:rsidRDefault="315D786B" w14:paraId="51E4560A" w14:textId="31C19D95">
      <w:pPr>
        <w:spacing w:after="0"/>
      </w:pPr>
      <w:r>
        <w:t>Rispetto alle figure del sequestro conservativo e preventivo, che perseguono finalità</w:t>
      </w:r>
      <w:r w:rsidR="09C0102C">
        <w:t xml:space="preserve"> </w:t>
      </w:r>
      <w:r>
        <w:t xml:space="preserve">cautelari, il sequestro probatorio è finalizzato all’acquisizione coattiva del corpus delicti o delle cose pertinenti al reato necessarie per l’accertamento dei fatti. </w:t>
      </w:r>
    </w:p>
    <w:p w:rsidR="00B04998" w:rsidP="0B601909" w:rsidRDefault="315D786B" w14:paraId="05A489CB" w14:textId="3E876E0B">
      <w:pPr>
        <w:spacing w:after="0"/>
      </w:pPr>
      <w:r w:rsidRPr="5311E283">
        <w:t>Tale atto può essere consequenziale a una perquisizione, pur mantenendo una propria autonomia funzionale</w:t>
      </w:r>
      <w:r w:rsidRPr="5311E283" w:rsidR="00844A9D">
        <w:rPr>
          <w:rStyle w:val="Rimandonotaapidipagina"/>
        </w:rPr>
        <w:footnoteReference w:id="2"/>
      </w:r>
      <w:r w:rsidRPr="5311E283">
        <w:t>.</w:t>
      </w:r>
    </w:p>
    <w:p w:rsidR="6112989D" w:rsidP="14BE013E" w:rsidRDefault="6112989D" w14:paraId="30803CF7" w14:textId="131F0E5C">
      <w:pPr>
        <w:spacing w:after="0"/>
      </w:pPr>
      <w:r>
        <w:t xml:space="preserve">Sul punto in realtà si è obiettato che il sequestro operato a seguito di una perquisizione “irrituale” non può non ritenersi illegittimo, in quanto il rapporto di dipendenza funzionale, logica e giuridica, intercorrente tra perquisizione e sequestro comporta che il vizio della prima si trasferisce a quest'ultimo, determinandone inevitabilmente l'invalidità (“derivata”). </w:t>
      </w:r>
      <w:r w:rsidR="3686A837">
        <w:t>In ogni caso quando la perquisizione effettuata, si sia conclusa con il rinvenimento ed il sequestro del corpo del reato o delle cose pertinenti al reato, quest’ultimo rappresenta un atto “dovuto”.</w:t>
      </w:r>
      <w:r w:rsidRPr="14BE013E">
        <w:rPr>
          <w:rStyle w:val="Rimandonotaapidipagina"/>
        </w:rPr>
        <w:footnoteReference w:id="3"/>
      </w:r>
    </w:p>
    <w:p w:rsidR="00B04998" w:rsidP="0B601909" w:rsidRDefault="315D786B" w14:paraId="1C77ADF1" w14:textId="375F8434">
      <w:pPr>
        <w:spacing w:after="0"/>
      </w:pPr>
      <w:r>
        <w:t>Il presupposto del sequestro probatorio è la configurabilità di un’ipotesi di reato, non</w:t>
      </w:r>
      <w:r w:rsidR="0B47CA34">
        <w:t xml:space="preserve"> </w:t>
      </w:r>
      <w:r>
        <w:t>essendo invece richiesti gravi indizi di colpevolezza a carico di un soggetto</w:t>
      </w:r>
      <w:r w:rsidR="0D4E7955">
        <w:t xml:space="preserve"> </w:t>
      </w:r>
      <w:r>
        <w:t>determinato.</w:t>
      </w:r>
    </w:p>
    <w:p w:rsidR="00B04998" w:rsidP="0B601909" w:rsidRDefault="315D786B" w14:paraId="381E4F4C" w14:textId="0AA2141B">
      <w:pPr>
        <w:spacing w:after="0"/>
      </w:pPr>
      <w:r>
        <w:t>L’autorità giudiziaria procedente (Pubblico Ministero o Giudice) dispone il sequestro</w:t>
      </w:r>
      <w:r w:rsidR="70D4D237">
        <w:t xml:space="preserve"> </w:t>
      </w:r>
      <w:r>
        <w:t>con decreto motivato; nei casi di urgenza, l’ufficiale di polizia giudiziaria può procedere</w:t>
      </w:r>
      <w:r w:rsidR="51321954">
        <w:t xml:space="preserve"> </w:t>
      </w:r>
      <w:r>
        <w:t>autonomamente al sequestro, salvo l’obbligo di trasmissione del verbale per la successiva</w:t>
      </w:r>
      <w:r w:rsidR="3E14C1D1">
        <w:t xml:space="preserve"> </w:t>
      </w:r>
      <w:r>
        <w:t>convalida ai sensi dell’art. 355 c.p.p.</w:t>
      </w:r>
    </w:p>
    <w:p w:rsidR="00B04998" w:rsidP="0B601909" w:rsidRDefault="40F5C08F" w14:paraId="2F3D43B7" w14:textId="19E1F270">
      <w:pPr>
        <w:spacing w:after="0"/>
      </w:pPr>
      <w:r>
        <w:t>Il fondamento normativo dell’istituto è rinvenibile nell’art. 253 c.p.p., il cui testo</w:t>
      </w:r>
      <w:r w:rsidR="7A21BA5A">
        <w:t xml:space="preserve"> </w:t>
      </w:r>
      <w:r>
        <w:t>si riporta di seguito:</w:t>
      </w:r>
    </w:p>
    <w:p w:rsidR="48D6DF9E" w:rsidP="0B601909" w:rsidRDefault="48D6DF9E" w14:paraId="5BD3C4BD" w14:textId="290BFF4A">
      <w:pPr>
        <w:spacing w:after="0"/>
      </w:pPr>
    </w:p>
    <w:p w:rsidR="00B04998" w:rsidP="0B601909" w:rsidRDefault="315D786B" w14:paraId="4FB4BA63" w14:textId="52ADF1AF">
      <w:pPr>
        <w:spacing w:after="0"/>
        <w:rPr>
          <w:i/>
          <w:iCs/>
        </w:rPr>
      </w:pPr>
      <w:r w:rsidRPr="0B601909">
        <w:rPr>
          <w:i/>
          <w:iCs/>
        </w:rPr>
        <w:t>Art. 253 - Oggetto e formalità del sequestro</w:t>
      </w:r>
    </w:p>
    <w:p w:rsidR="00B04998" w:rsidP="0B601909" w:rsidRDefault="315D786B" w14:paraId="66AF54F6" w14:textId="4D767F1C">
      <w:pPr>
        <w:spacing w:after="0"/>
        <w:rPr>
          <w:i/>
          <w:iCs/>
        </w:rPr>
      </w:pPr>
      <w:r w:rsidRPr="0B601909">
        <w:rPr>
          <w:i/>
          <w:iCs/>
        </w:rPr>
        <w:t>1. L’autorità giudiziaria dispone con decreto motivato il sequestro del corpo</w:t>
      </w:r>
      <w:r w:rsidRPr="0B601909" w:rsidR="467A00D1">
        <w:rPr>
          <w:i/>
          <w:iCs/>
        </w:rPr>
        <w:t xml:space="preserve"> </w:t>
      </w:r>
      <w:r w:rsidRPr="0B601909">
        <w:rPr>
          <w:i/>
          <w:iCs/>
        </w:rPr>
        <w:t>del reato e delle cose pertinenti al reato necessarie per l’accertamento dei</w:t>
      </w:r>
      <w:r w:rsidRPr="0B601909" w:rsidR="2A585C3A">
        <w:rPr>
          <w:i/>
          <w:iCs/>
        </w:rPr>
        <w:t xml:space="preserve"> </w:t>
      </w:r>
      <w:r w:rsidRPr="0B601909">
        <w:rPr>
          <w:i/>
          <w:iCs/>
        </w:rPr>
        <w:t>fatti.</w:t>
      </w:r>
    </w:p>
    <w:p w:rsidR="00B04998" w:rsidP="0B601909" w:rsidRDefault="315D786B" w14:paraId="5F3051CA" w14:textId="4654D549">
      <w:pPr>
        <w:spacing w:after="0"/>
        <w:rPr>
          <w:i/>
          <w:iCs/>
        </w:rPr>
      </w:pPr>
      <w:r w:rsidRPr="0B601909">
        <w:rPr>
          <w:i/>
          <w:iCs/>
        </w:rPr>
        <w:t>2. Sono corpo del reato le cose sulle quali o mediante le quali il reato è</w:t>
      </w:r>
      <w:r w:rsidRPr="0B601909" w:rsidR="2AA37D64">
        <w:rPr>
          <w:i/>
          <w:iCs/>
        </w:rPr>
        <w:t xml:space="preserve"> </w:t>
      </w:r>
      <w:r w:rsidRPr="0B601909">
        <w:rPr>
          <w:i/>
          <w:iCs/>
        </w:rPr>
        <w:t>stato commesso nonché le cose che ne costituiscono il prodotto, il profitto</w:t>
      </w:r>
      <w:r w:rsidRPr="0B601909" w:rsidR="1275095E">
        <w:rPr>
          <w:i/>
          <w:iCs/>
        </w:rPr>
        <w:t xml:space="preserve"> </w:t>
      </w:r>
      <w:r w:rsidRPr="0B601909">
        <w:rPr>
          <w:i/>
          <w:iCs/>
        </w:rPr>
        <w:t>o il prezzo.</w:t>
      </w:r>
    </w:p>
    <w:p w:rsidR="00B04998" w:rsidP="0B601909" w:rsidRDefault="315D786B" w14:paraId="0A65239E" w14:textId="369071DB">
      <w:pPr>
        <w:spacing w:after="0"/>
        <w:rPr>
          <w:i/>
          <w:iCs/>
        </w:rPr>
      </w:pPr>
      <w:r w:rsidRPr="0B601909">
        <w:rPr>
          <w:i/>
          <w:iCs/>
        </w:rPr>
        <w:t>3. Al sequestro procede personalmente l’autorità giudiziaria ovvero un</w:t>
      </w:r>
      <w:r w:rsidRPr="0B601909" w:rsidR="689D9B53">
        <w:rPr>
          <w:i/>
          <w:iCs/>
        </w:rPr>
        <w:t xml:space="preserve"> </w:t>
      </w:r>
      <w:r w:rsidRPr="0B601909">
        <w:rPr>
          <w:i/>
          <w:iCs/>
        </w:rPr>
        <w:t>ufficiale di polizia giudiziaria delegato con lo stesso decreto.</w:t>
      </w:r>
    </w:p>
    <w:p w:rsidR="00B04998" w:rsidP="0B601909" w:rsidRDefault="4C5C47CF" w14:paraId="3BF90BBA" w14:textId="619A66F7">
      <w:pPr>
        <w:spacing w:after="0"/>
        <w:rPr>
          <w:i/>
          <w:iCs/>
        </w:rPr>
      </w:pPr>
      <w:r w:rsidRPr="0B601909">
        <w:rPr>
          <w:i/>
          <w:iCs/>
        </w:rPr>
        <w:t>4. Copia del decreto di sequestro è consegnata all’interessato, se presente.</w:t>
      </w:r>
    </w:p>
    <w:p w:rsidR="69039367" w:rsidP="6E02D338" w:rsidRDefault="69039367" w14:paraId="5B46AD9B" w14:textId="7661FE26">
      <w:pPr>
        <w:pStyle w:val="Normale"/>
        <w:spacing w:after="0"/>
      </w:pPr>
    </w:p>
    <w:p w:rsidR="69039367" w:rsidP="0B601909" w:rsidRDefault="69039367" w14:paraId="707ECC31" w14:textId="7E749FA1">
      <w:pPr>
        <w:spacing w:after="0"/>
      </w:pPr>
    </w:p>
    <w:p w:rsidR="00B04998" w:rsidP="0B601909" w:rsidRDefault="315D786B" w14:paraId="5D7DA4AF" w14:textId="20EC8E25">
      <w:pPr>
        <w:spacing w:after="0"/>
      </w:pPr>
      <w:r>
        <w:t>L’art. 253 c.p.p. delimita l’oggetto del sequestro al corpo del reato e delle cose</w:t>
      </w:r>
      <w:r w:rsidR="6418D630">
        <w:t xml:space="preserve"> </w:t>
      </w:r>
      <w:r>
        <w:t xml:space="preserve">pertinenti al reato quando ciò è necessario per l’accertamento dei fatti. </w:t>
      </w:r>
    </w:p>
    <w:p w:rsidR="00B04998" w:rsidP="0B601909" w:rsidRDefault="315D786B" w14:paraId="7DF1C96B" w14:textId="30DD41C7">
      <w:pPr>
        <w:spacing w:after="0"/>
      </w:pPr>
      <w:r>
        <w:t>Sono corpo</w:t>
      </w:r>
      <w:r w:rsidR="7527709D">
        <w:t xml:space="preserve"> </w:t>
      </w:r>
      <w:r>
        <w:t>del reato le cose sulle quali o mediante le quali il reato è stato commesso, nonché le</w:t>
      </w:r>
      <w:r w:rsidR="5B30DD85">
        <w:t xml:space="preserve"> </w:t>
      </w:r>
      <w:r>
        <w:t xml:space="preserve">cose che costituiscono il prodotto, il profitto o il prezzo del reato. </w:t>
      </w:r>
    </w:p>
    <w:p w:rsidR="315D786B" w:rsidP="14BE013E" w:rsidRDefault="315D786B" w14:paraId="04CC9DA3" w14:textId="64951FEF">
      <w:pPr>
        <w:spacing w:after="0"/>
      </w:pPr>
      <w:r w:rsidR="315D786B">
        <w:rPr/>
        <w:t>Il profitto del reato</w:t>
      </w:r>
      <w:r w:rsidR="4BAAA7B6">
        <w:rPr/>
        <w:t xml:space="preserve"> </w:t>
      </w:r>
      <w:r w:rsidR="315D786B">
        <w:rPr/>
        <w:t>è il vantaggio economico derivante in via diretta dalla commissione dell’illecito. Per</w:t>
      </w:r>
      <w:r w:rsidR="424CF80A">
        <w:rPr/>
        <w:t xml:space="preserve"> </w:t>
      </w:r>
      <w:r w:rsidR="315D786B">
        <w:rPr/>
        <w:t>quanto riguarda le cose pertinenti al reato, invece, sono quelle che hanno un legame</w:t>
      </w:r>
      <w:r w:rsidR="657F4D70">
        <w:rPr/>
        <w:t xml:space="preserve"> </w:t>
      </w:r>
      <w:r w:rsidR="315D786B">
        <w:rPr/>
        <w:t>con l’accertamento dell’illecito.</w:t>
      </w:r>
      <w:r w:rsidR="4BD93117">
        <w:rPr/>
        <w:t xml:space="preserve"> Secondo un’opinione consolidata in dottrina, stante la natura coercitiva della misura, l’indicazione è da intendersi tassativa. E ciò anche sulla scorta della giurisprudenza costituzionale che ha affermato l’illegittimità del sequestro probatorio avente ad oggetto beni diversi dal corpo del reato o dalle cose pertinenti al reato. </w:t>
      </w:r>
      <w:r w:rsidR="1B4E4FC2">
        <w:rPr/>
        <w:t>Per quanto concerne specificamente, il «prodotto» del reato si è chiarito che esso rappresenta il risultato, ossia il frutto che l’autore ricava direttamente dall’attività illecita, il «profitto» è costituito dal lucro, cioè dal vantaggio economico che deriva dalla commissione del reato, mentre il «prezzo» rappresenta il compenso dato o promesso per indurre, istigare o determinare un soggetto a commettere il reato, ma anche tutte quelle res acquisite direttamente con il reato</w:t>
      </w:r>
      <w:r w:rsidRPr="14BE013E">
        <w:rPr>
          <w:rStyle w:val="Rimandonotaapidipagina"/>
        </w:rPr>
        <w:footnoteReference w:id="4"/>
      </w:r>
      <w:r w:rsidR="1B4E4FC2">
        <w:rPr/>
        <w:t xml:space="preserve">, o da questo create, sia qualsiasi </w:t>
      </w:r>
      <w:r w:rsidR="1B4E4FC2">
        <w:rPr/>
        <w:t>vantaggio,</w:t>
      </w:r>
      <w:r w:rsidR="72F06949">
        <w:rPr/>
        <w:t xml:space="preserve"> </w:t>
      </w:r>
      <w:r w:rsidR="1B4E4FC2">
        <w:rPr/>
        <w:t>patrimoniale</w:t>
      </w:r>
      <w:r w:rsidR="1B4E4FC2">
        <w:rPr/>
        <w:t xml:space="preserve"> e non patrimoniale, tratto dal reato, sia i beni valutabili economicamente dati</w:t>
      </w:r>
      <w:r w:rsidR="4BFA9119">
        <w:rPr/>
        <w:t xml:space="preserve"> </w:t>
      </w:r>
      <w:r w:rsidR="1B4E4FC2">
        <w:rPr/>
        <w:t>o promessi al colpevole per la commissione del reato. Nella nozione di «prodotto del</w:t>
      </w:r>
      <w:r w:rsidR="7B3D2AFC">
        <w:rPr/>
        <w:t xml:space="preserve"> </w:t>
      </w:r>
      <w:r w:rsidR="1B4E4FC2">
        <w:rPr/>
        <w:t>reato» sarebbero da includere anche i beni che siano stati acquistati dall’imputato con il</w:t>
      </w:r>
      <w:r w:rsidR="2D7F20C5">
        <w:rPr/>
        <w:t xml:space="preserve"> </w:t>
      </w:r>
      <w:r w:rsidR="1B4E4FC2">
        <w:rPr/>
        <w:t>denaro ricavato dai reati contestatigli</w:t>
      </w:r>
      <w:r w:rsidRPr="3C65CC7C">
        <w:rPr>
          <w:rStyle w:val="Rimandonotaapidipagina"/>
        </w:rPr>
        <w:footnoteReference w:id="6664"/>
      </w:r>
      <w:r w:rsidR="1B4E4FC2">
        <w:rPr/>
        <w:t>.</w:t>
      </w:r>
      <w:r w:rsidR="3F50B1F2">
        <w:rPr/>
        <w:t xml:space="preserve"> </w:t>
      </w:r>
    </w:p>
    <w:p w:rsidR="315D786B" w:rsidP="14BE013E" w:rsidRDefault="315D786B" w14:paraId="5DBABF8C" w14:textId="3DFD63D3">
      <w:pPr>
        <w:spacing w:after="0"/>
      </w:pPr>
      <w:r w:rsidR="3F50B1F2">
        <w:rPr/>
        <w:t xml:space="preserve">Atteso l’evidente collegamento sistematico tra l’art. 253, comma 2, c.p.p. e l’art. 240 c.p., secondo una tesi avanzata in dottrina la nozione di corpus </w:t>
      </w:r>
      <w:r w:rsidR="3F50B1F2">
        <w:rPr/>
        <w:t>delicti</w:t>
      </w:r>
      <w:r w:rsidR="3F50B1F2">
        <w:rPr/>
        <w:t xml:space="preserve"> dovrebbe comprendere anche le cose il cui uso, porto, fabbricazione, detenzione costituisce reato. Secondo altra impostazione teorica, invece, dette res sarebbero da ricondurre al concetto di «cose pertinenti al reato» in quanto “oggetto” e non “strumento” di prova</w:t>
      </w:r>
      <w:r w:rsidR="0760CB64">
        <w:rPr/>
        <w:t>.</w:t>
      </w:r>
      <w:r w:rsidRPr="3C65CC7C">
        <w:rPr>
          <w:rStyle w:val="Rimandonotaapidipagina"/>
        </w:rPr>
        <w:footnoteReference w:id="31950"/>
      </w:r>
    </w:p>
    <w:p w:rsidR="0B2423DF" w:rsidP="14BE013E" w:rsidRDefault="0B2423DF" w14:paraId="7D12CC3B" w14:textId="27167B31">
      <w:pPr>
        <w:spacing w:after="0"/>
      </w:pPr>
      <w:r w:rsidR="772C5F1E">
        <w:rPr/>
        <w:t xml:space="preserve">Il comma 1 della norma in parola conferisce il potere di disporre detto sequestro alla autorità giudiziaria, da intendersi sia come quella giudicante che requirente, la quale emana un provvedimento di sequestro con decreto motivato (a pena di nullità, ai sensi dell’art. 125, comma 3, c.p.p.), che tenga in debito conto i limiti imposti all’intervento penale sul terreno delle </w:t>
      </w:r>
      <w:r w:rsidR="772C5F1E">
        <w:rPr/>
        <w:t>liberta</w:t>
      </w:r>
      <w:r w:rsidR="772C5F1E">
        <w:rPr/>
        <w:t>̀</w:t>
      </w:r>
      <w:r w:rsidR="0B422BBD">
        <w:rPr/>
        <w:t xml:space="preserve"> </w:t>
      </w:r>
      <w:r w:rsidR="772C5F1E">
        <w:rPr/>
        <w:t>fondamentali, in primis, quella personale di cui all’art. 13 Cost., o comunque degli altri</w:t>
      </w:r>
      <w:r w:rsidR="4580EFEC">
        <w:rPr/>
        <w:t xml:space="preserve"> </w:t>
      </w:r>
      <w:r w:rsidR="772C5F1E">
        <w:rPr/>
        <w:t>diritti costituzionalmente garantiti dell’individuo, tra i quali ricomprendere senz’altro il</w:t>
      </w:r>
      <w:r w:rsidR="29BB7DC7">
        <w:rPr/>
        <w:t xml:space="preserve"> </w:t>
      </w:r>
      <w:r w:rsidR="772C5F1E">
        <w:rPr/>
        <w:t>diritto alla protezione della proprietà riconosciuto dall’art. 42 Cost. e dall’art. 1 del primo</w:t>
      </w:r>
      <w:r w:rsidR="2F9F813C">
        <w:rPr/>
        <w:t xml:space="preserve"> </w:t>
      </w:r>
      <w:r w:rsidR="772C5F1E">
        <w:rPr/>
        <w:t xml:space="preserve">Protocollo addizionale alla Convenzione Europea dei diritti </w:t>
      </w:r>
      <w:r w:rsidR="772C5F1E">
        <w:rPr/>
        <w:t>dell’uomo</w:t>
      </w:r>
      <w:r w:rsidR="79689A7F">
        <w:rPr/>
        <w:t xml:space="preserve"> </w:t>
      </w:r>
      <w:r w:rsidR="772C5F1E">
        <w:rPr/>
        <w:t>,</w:t>
      </w:r>
      <w:r w:rsidR="772C5F1E">
        <w:rPr/>
        <w:t xml:space="preserve"> trattandosi di</w:t>
      </w:r>
      <w:r w:rsidR="3220CB3D">
        <w:rPr/>
        <w:t xml:space="preserve"> </w:t>
      </w:r>
      <w:r w:rsidR="772C5F1E">
        <w:rPr/>
        <w:t>atti che comunque incidono sui diritti di libertà dei soggetti interessati.</w:t>
      </w:r>
      <w:r w:rsidR="013F3F31">
        <w:rPr/>
        <w:t xml:space="preserve"> </w:t>
      </w:r>
      <w:r w:rsidR="0B979BD5">
        <w:rPr/>
        <w:t xml:space="preserve">Per tali ragioni, il dovere generalmente previsto dalla Costituzione, all’art. 111, comma VI, di motivare i provvedimenti giurisdizionali, deve trovare ancor più specifica applicazione quando il sequestro è disposto con finalità probatorie. </w:t>
      </w:r>
      <w:r w:rsidR="0B2423DF">
        <w:rPr/>
        <w:t>Autorevole dottrina sostiene che il decreto che dispone il sequestro probatorio debba essere necessariamente sorretto da idonea motivazione in ordine al presupposto della finalità perseguita, in concreto, per l’accertamento dei fatti. In particolare, secondo la tesi in discorso, dovranno essere sempre esplicitate – tanto per il «corpo del reato» quanto per le «cose pertinenti al reato» – le ragioni che giustificano la necessità dell’acquisizione del</w:t>
      </w:r>
      <w:r w:rsidR="64F503D9">
        <w:rPr/>
        <w:t xml:space="preserve"> </w:t>
      </w:r>
      <w:r w:rsidR="0B2423DF">
        <w:rPr/>
        <w:t xml:space="preserve">bene “per l’accertamento dei fatti” inerenti al </w:t>
      </w:r>
      <w:r w:rsidR="0B2423DF">
        <w:rPr/>
        <w:t>thema</w:t>
      </w:r>
      <w:r w:rsidR="0B2423DF">
        <w:rPr/>
        <w:t xml:space="preserve"> </w:t>
      </w:r>
      <w:r w:rsidR="0B2423DF">
        <w:rPr/>
        <w:t>decidendum</w:t>
      </w:r>
      <w:r w:rsidR="0B2423DF">
        <w:rPr/>
        <w:t xml:space="preserve"> del processo, secondo il catalogo enunciato dall’art. 187 c.p.p., in funzione dell’assicurazione della prova del reato per cui si procede o della responsabilità dell’autore</w:t>
      </w:r>
      <w:r w:rsidR="5DE6CCED">
        <w:rPr/>
        <w:t xml:space="preserve">. </w:t>
      </w:r>
      <w:r w:rsidR="7D1FC9B5">
        <w:rPr/>
        <w:t>Per quanto la prima tesi appaia più convincente e maggiormente conforme all’addentellato testuale dell’art. 253, comma 2, c.p.p. poiché si tratta in ogni caso di res «mediante le quali il reato è stato commesso», si potrebbe sostenere che al di là di una questione meramente definitoria, comunque le si voglia inquadrare, a fini pratici, di certo sono “cose sequestrabili” ai sensi del comma 1 dello stesso articolo.</w:t>
      </w:r>
      <w:r w:rsidR="54FB7A8B">
        <w:rPr/>
        <w:t xml:space="preserve"> Le «cose pertinenti al reato» hanno comunque una sorta di relazione indiretta con il delitto. Esse risultano strumentali all’accertamento dei fatti, alla dimostrazione del reato e delle sue modalità di preparazione ed esecuzione, alla conservazione delle tracce, all’identificazione del colpevole all’accertamento del movente ed alla determinazione dell’ante factum e del post factum comunque ricollegabili al reato, pur se esterne nell’iter </w:t>
      </w:r>
      <w:r w:rsidR="54FB7A8B">
        <w:rPr/>
        <w:t>criminis</w:t>
      </w:r>
      <w:r w:rsidR="54FB7A8B">
        <w:rPr/>
        <w:t xml:space="preserve"> perché funzionali all’accertamento del fatto e all’individuazione dell’autore. </w:t>
      </w:r>
      <w:r w:rsidRPr="3C65CC7C">
        <w:rPr>
          <w:rStyle w:val="Rimandonotaapidipagina"/>
        </w:rPr>
        <w:footnoteReference w:id="16785"/>
      </w:r>
    </w:p>
    <w:p w:rsidR="00B04998" w:rsidP="0B601909" w:rsidRDefault="315D786B" w14:paraId="2A96A000" w14:textId="103D08FC">
      <w:pPr>
        <w:spacing w:after="0"/>
      </w:pPr>
      <w:r>
        <w:t>Anche se il sequestro viene effettuato nella</w:t>
      </w:r>
      <w:r w:rsidR="15318416">
        <w:t xml:space="preserve"> </w:t>
      </w:r>
      <w:r>
        <w:t>fase delle indagini preliminari, la salvaguardia del diritto di difesa viene assicurata dalla</w:t>
      </w:r>
      <w:r w:rsidR="17B5592A">
        <w:t xml:space="preserve"> </w:t>
      </w:r>
      <w:r>
        <w:t>facoltà del difensore di assistere al compimento dell’atto seppur senza preavviso. Le</w:t>
      </w:r>
      <w:r w:rsidR="1CE3F8CC">
        <w:t xml:space="preserve"> </w:t>
      </w:r>
      <w:r>
        <w:t>cose oggetto di sequestro sono custodite dalla segreteria del pubblico ministero, dalla</w:t>
      </w:r>
      <w:r w:rsidR="0110C72E">
        <w:t xml:space="preserve"> </w:t>
      </w:r>
      <w:r>
        <w:t>cancelleria del giudice o, se richiesto dalla natura delle cose, da un custode giudiziale.</w:t>
      </w:r>
    </w:p>
    <w:p w:rsidR="00B04998" w:rsidP="0B601909" w:rsidRDefault="315D786B" w14:paraId="002CCFB7" w14:textId="3E077C27">
      <w:pPr>
        <w:spacing w:after="0"/>
      </w:pPr>
      <w:r>
        <w:t>Il sequestro probatorio cessa e si procede alla restituzione quando vengono meno le</w:t>
      </w:r>
      <w:r w:rsidR="70A475B2">
        <w:t xml:space="preserve"> esigenze</w:t>
      </w:r>
      <w:r>
        <w:t xml:space="preserve"> probatorie, a meno che non sia convertito in sequestro preventivo o conservativo</w:t>
      </w:r>
      <w:r w:rsidR="62E8B4E8">
        <w:t xml:space="preserve"> </w:t>
      </w:r>
      <w:r>
        <w:t>qualora ne ricorrano i presupposti con ordinanza del G.I.P. o del giudice procedente.</w:t>
      </w:r>
    </w:p>
    <w:p w:rsidR="00B04998" w:rsidP="0B601909" w:rsidRDefault="315D786B" w14:paraId="11AC7F38" w14:textId="6E8BC042">
      <w:pPr>
        <w:spacing w:after="0"/>
      </w:pPr>
      <w:r>
        <w:t xml:space="preserve">Da questo breve tratteggio degli elementi costitutivi del sequestro probatorio è evidente che l’impianto normativo è storicamente e strutturalmente legato a un </w:t>
      </w:r>
      <w:r w:rsidR="0F3E869E">
        <w:t>approccio</w:t>
      </w:r>
      <w:r w:rsidR="27D00F79">
        <w:t xml:space="preserve"> </w:t>
      </w:r>
      <w:r>
        <w:t>analogico, che concepisce il corpo del reato come un oggetto fisico: un’arma,</w:t>
      </w:r>
      <w:r w:rsidR="11F6DED6">
        <w:t xml:space="preserve"> </w:t>
      </w:r>
      <w:r>
        <w:t>un documento cartaceo, o qualsiasi altra entità dotata di materialità intrinseca.</w:t>
      </w:r>
    </w:p>
    <w:p w:rsidR="00B04998" w:rsidP="14BE013E" w:rsidRDefault="5E7A32DF" w14:paraId="4FF31F6D" w14:textId="294B2D54">
      <w:pPr>
        <w:spacing w:after="0"/>
      </w:pPr>
      <w:r w:rsidR="315D786B">
        <w:rPr/>
        <w:t>L’avvento dell’era digitale ha immediatamente reso obsoleto il criterio di corpo</w:t>
      </w:r>
      <w:r w:rsidR="00DE7F73">
        <w:rPr/>
        <w:t xml:space="preserve"> </w:t>
      </w:r>
      <w:r w:rsidR="315D786B">
        <w:rPr/>
        <w:t>del reato proposto dal codice perché il dato digitale è una informazione immateriale.</w:t>
      </w:r>
      <w:r w:rsidR="11E270A1">
        <w:rPr/>
        <w:t xml:space="preserve"> </w:t>
      </w:r>
      <w:r w:rsidR="5396CD6C">
        <w:rPr/>
        <w:t xml:space="preserve"> </w:t>
      </w:r>
      <w:r w:rsidR="11E270A1">
        <w:rPr/>
        <w:t xml:space="preserve">La prova digitale </w:t>
      </w:r>
      <w:r w:rsidR="674D0A08">
        <w:rPr/>
        <w:t>è diventata elemento topico del nostro codice di procedura penale, lambendo le coste di</w:t>
      </w:r>
      <w:r w:rsidR="36CD53FB">
        <w:rPr/>
        <w:t xml:space="preserve"> fattispecie di reato che un tempo non erano minimamente interessate da elementi tecnologici. Comunicazioni elettroniche, dati di accesso, contenuti digitali e informazioni di traffico pervadono e accompagnano le nostre esistenze, sicché, di riflesso, costituiscono oggi una componente ordinaria dell’accertamento penale.</w:t>
      </w:r>
      <w:r w:rsidR="5E7A32DF">
        <w:rPr/>
        <w:t xml:space="preserve"> Alla nozione di corpo del reato può essere data una accezione più ampia di quella legata all’esistenza di un’essenza materiale connessa alla commissione del reato, in</w:t>
      </w:r>
      <w:r w:rsidR="1314E67E">
        <w:rPr/>
        <w:t xml:space="preserve"> </w:t>
      </w:r>
      <w:r w:rsidR="5E7A32DF">
        <w:rPr/>
        <w:t>quanto tale tangibile ed apprensibile a fini processuali. Ed infatti, se è vero che la reiterata utilizzazione del termine “cosa” nell’art. 253 c.p.p. potrebbe indurre a ritenere che il legislatore abbia voluto attribuire al corpo del reato una accezione strettamente materiale, si deve considerare che gli artt. 254 e 254 bis c.p.p., dimostrano come ciò che al legislatore preme acquisire sia il contenuto della corrispondenza, del dato informatico, telematico e della telecomunicazione, anche se l’intervento ablativo si materializza sul contenitore (la lettera di carta o il supporto informatico). L’oggetto del sequestro viene così a connaturarsi di profili di immaterialità, identificandosi, ai fini del provvedimento</w:t>
      </w:r>
      <w:r w:rsidR="3AB9F166">
        <w:rPr/>
        <w:t xml:space="preserve"> </w:t>
      </w:r>
      <w:r w:rsidR="5E7A32DF">
        <w:rPr/>
        <w:t>ablativo, il contenuto della comunicazione o del dato informatico, rilevante per il processo, con il supporto materiale che lo contiene o lo ha registrato</w:t>
      </w:r>
      <w:r w:rsidRPr="3C65CC7C">
        <w:rPr>
          <w:rStyle w:val="Rimandonotaapidipagina"/>
        </w:rPr>
        <w:footnoteReference w:id="7240"/>
      </w:r>
      <w:r w:rsidR="5E7A32DF">
        <w:rPr/>
        <w:t>.</w:t>
      </w:r>
      <w:r w:rsidR="14D538F5">
        <w:rPr/>
        <w:t xml:space="preserve"> </w:t>
      </w:r>
      <w:r w:rsidR="48386DD7">
        <w:rPr/>
        <w:t>E’</w:t>
      </w:r>
      <w:r w:rsidR="48386DD7">
        <w:rPr/>
        <w:t xml:space="preserve"> quindi evidente come sia diventato necessario porre un rimedio ed un argine a quelle che sono </w:t>
      </w:r>
      <w:r w:rsidR="48386DD7">
        <w:rPr/>
        <w:t>le fallace</w:t>
      </w:r>
      <w:r w:rsidR="48386DD7">
        <w:rPr/>
        <w:t xml:space="preserve"> di questo vero e proprio patrimonio informativo. Lo </w:t>
      </w:r>
      <w:r w:rsidR="1C29FEC9">
        <w:rPr/>
        <w:t>stesso, infatti,</w:t>
      </w:r>
      <w:r w:rsidR="48386DD7">
        <w:rPr/>
        <w:t xml:space="preserve"> si presta facilmente ad essere modificato</w:t>
      </w:r>
      <w:r w:rsidR="0D6A1084">
        <w:rPr/>
        <w:t>, è di rapida circolazione e soggetto a dispersione. Una gestione consa</w:t>
      </w:r>
      <w:r w:rsidR="5ACBAD83">
        <w:rPr/>
        <w:t>pevole richiede adeguate premure per la raccolta, conservazione e analisi</w:t>
      </w:r>
      <w:r w:rsidR="21CE8897">
        <w:rPr/>
        <w:t>.</w:t>
      </w:r>
      <w:r w:rsidR="5ACBAD83">
        <w:rPr/>
        <w:t xml:space="preserve"> </w:t>
      </w:r>
      <w:r w:rsidRPr="3C65CC7C">
        <w:rPr>
          <w:rStyle w:val="Rimandonotaapidipagina"/>
        </w:rPr>
        <w:footnoteReference w:id="6867"/>
      </w:r>
    </w:p>
    <w:p w:rsidR="525BE805" w:rsidP="0B601909" w:rsidRDefault="525BE805" w14:paraId="030ED833" w14:textId="723200B9">
      <w:pPr>
        <w:spacing w:after="0"/>
      </w:pPr>
      <w:r>
        <w:t xml:space="preserve">Un tale mutamento non poteva non dispiegare delle conseguenze </w:t>
      </w:r>
      <w:r w:rsidR="6E06B2BE">
        <w:t xml:space="preserve">anche nelle metodologie di formazione della prova digitale, </w:t>
      </w:r>
      <w:r w:rsidR="20206313">
        <w:t>e sui tradizionali metodi territoriali di acquisizione colpevoli di essere l</w:t>
      </w:r>
      <w:r w:rsidR="37389F2B">
        <w:t xml:space="preserve">egati ad una concezione del dato inteso </w:t>
      </w:r>
      <w:r w:rsidR="53E02D7C">
        <w:t xml:space="preserve">nella sua collocazione fisica. </w:t>
      </w:r>
      <w:r w:rsidR="5E53CACE">
        <w:t xml:space="preserve">Le trasformazioni descritte non riguardano soltanto il piano tecnico-operativo, ma arrivano ad incidere sul modello stesso di accertamento penale. Il passaggio da fonti probatorie materialmente localizzate a informazioni digitali – la cui esistenza, conservazione e intelligibilità dipendono da infrastrutture tecnologiche – comporta una trasformazione epistemologica della prova penale, destinata a riflettersi tanto sulla dimensione spaziale dell’indagine quanto sugli equilibri interni del processo. </w:t>
      </w:r>
      <w:r w:rsidR="22D7B877">
        <w:t xml:space="preserve">In tale contesto inevitabilmente il dibattimento perde il suo ruolo centrale per la formazione della prova e il giudice suo malgrado deve farsi interpretate e guida </w:t>
      </w:r>
      <w:r w:rsidR="0C968940">
        <w:t>nel confronto con strumenti tecnici e metodologie scientifiche per limitare con illuminante spirito crit</w:t>
      </w:r>
      <w:r w:rsidR="3BFA8EE6">
        <w:t xml:space="preserve">ico </w:t>
      </w:r>
      <w:r w:rsidR="308D0A14">
        <w:t>indebite deleghe cognitive all’esperto.</w:t>
      </w:r>
      <w:r w:rsidRPr="18604928">
        <w:rPr>
          <w:rStyle w:val="Rimandonotaapidipagina"/>
        </w:rPr>
        <w:footnoteReference w:id="10"/>
      </w:r>
    </w:p>
    <w:p w:rsidR="00B04998" w:rsidP="0B601909" w:rsidRDefault="315D786B" w14:paraId="571C2D92" w14:textId="0D721FB8">
      <w:pPr>
        <w:spacing w:after="0"/>
      </w:pPr>
      <w:r>
        <w:t>Quindi il dilemma interpretativo posto innanzi alla dottrina e alla giurisprudenza è</w:t>
      </w:r>
      <w:r w:rsidR="6C577E43">
        <w:t xml:space="preserve"> </w:t>
      </w:r>
      <w:r>
        <w:t>stato come fare ad applicare l’art. 253 c.p.p. ad uno smartphone, un hard disk oppure</w:t>
      </w:r>
      <w:r w:rsidR="247DB9AD">
        <w:t xml:space="preserve"> </w:t>
      </w:r>
      <w:r>
        <w:t xml:space="preserve">un server? </w:t>
      </w:r>
    </w:p>
    <w:p w:rsidR="00B04998" w:rsidP="0B601909" w:rsidRDefault="315D786B" w14:paraId="67C9595C" w14:textId="0A07CE71">
      <w:pPr>
        <w:spacing w:after="0"/>
      </w:pPr>
      <w:r>
        <w:t>Il primo approccio è stato relativamente semplicistico, ovvero si decise</w:t>
      </w:r>
      <w:r w:rsidR="48E8DE8A">
        <w:t xml:space="preserve"> </w:t>
      </w:r>
      <w:r>
        <w:t xml:space="preserve">di considerare oggetto del sequestro il suo </w:t>
      </w:r>
      <w:r w:rsidR="18779452">
        <w:t>“</w:t>
      </w:r>
      <w:r>
        <w:t>contenitore” ovvero il supporto fisico pe</w:t>
      </w:r>
      <w:r w:rsidR="090FCE2D">
        <w:t xml:space="preserve">r </w:t>
      </w:r>
      <w:r>
        <w:t xml:space="preserve">accedere al dato al suo interno. </w:t>
      </w:r>
    </w:p>
    <w:p w:rsidR="00D04E5B" w:rsidP="0B601909" w:rsidRDefault="40F5C08F" w14:paraId="27271D25" w14:textId="539E7F00">
      <w:pPr>
        <w:spacing w:after="0"/>
      </w:pPr>
      <w:r>
        <w:t>Viene utilizzata quindi la tecnica della fictio iuris per</w:t>
      </w:r>
      <w:r w:rsidR="3EB4287B">
        <w:t xml:space="preserve"> </w:t>
      </w:r>
      <w:r>
        <w:t>considerare il supporto fisico come una cosa pertinente al reato.</w:t>
      </w:r>
    </w:p>
    <w:p w:rsidR="00B04998" w:rsidP="0B601909" w:rsidRDefault="315D786B" w14:paraId="60D7FA25" w14:textId="208BEF6B">
      <w:pPr>
        <w:spacing w:after="0"/>
      </w:pPr>
      <w:r>
        <w:t xml:space="preserve">Attraverso questa tecnica diventa prassi il cosiddetto </w:t>
      </w:r>
      <w:r w:rsidR="1D32A5DB">
        <w:t>“</w:t>
      </w:r>
      <w:r>
        <w:t>sequestro di massa” ovvero,</w:t>
      </w:r>
      <w:r w:rsidR="014539EA">
        <w:t xml:space="preserve"> </w:t>
      </w:r>
      <w:r>
        <w:t>anche per singoli file, mail, ecc., si procedeva al sequestro dell’intero supporto con un</w:t>
      </w:r>
      <w:r w:rsidR="35A68913">
        <w:t xml:space="preserve"> </w:t>
      </w:r>
      <w:r>
        <w:t>evidente superamento del limite posto dal principio di proporzionalità e compressione</w:t>
      </w:r>
      <w:r w:rsidR="407672E4">
        <w:t xml:space="preserve"> </w:t>
      </w:r>
      <w:r>
        <w:t>del diritto alla privacy, nonché del segreto d’ufficio/professionale dell’indagato o di</w:t>
      </w:r>
      <w:r w:rsidR="14AA61F6">
        <w:t xml:space="preserve"> t</w:t>
      </w:r>
      <w:r>
        <w:t xml:space="preserve">erzi. </w:t>
      </w:r>
    </w:p>
    <w:p w:rsidR="00B04998" w:rsidP="0B601909" w:rsidRDefault="4C5C47CF" w14:paraId="0372498D" w14:textId="56788B94">
      <w:pPr>
        <w:spacing w:after="0"/>
      </w:pPr>
      <w:r>
        <w:t>In pratica il sequestro diventava una misura invasiva capace di fagocitare indistintamente dati sanitari, familiari, personali senza connessione alcuna con l’ipotesi di</w:t>
      </w:r>
      <w:r w:rsidR="00F4AB41">
        <w:t xml:space="preserve"> </w:t>
      </w:r>
      <w:r>
        <w:t>reato.</w:t>
      </w:r>
    </w:p>
    <w:p w:rsidR="0B62E901" w:rsidP="0B601909" w:rsidRDefault="268404DE" w14:paraId="7D5E8E34" w14:textId="136508FF">
      <w:pPr>
        <w:spacing w:after="0"/>
        <w:rPr>
          <w:rFonts w:ascii="Aptos" w:hAnsi="Aptos" w:eastAsia="Aptos" w:cs="Aptos"/>
        </w:rPr>
      </w:pPr>
      <w:r w:rsidRPr="683619D8">
        <w:rPr>
          <w:rFonts w:eastAsia="Aptos" w:cs="Aptos"/>
        </w:rPr>
        <w:t xml:space="preserve">Con la recente sentenza n. 30496, la </w:t>
      </w:r>
      <w:bookmarkStart w:name="_Int_1UtQbeua" w:id="0"/>
      <w:r w:rsidRPr="683619D8">
        <w:rPr>
          <w:rFonts w:eastAsia="Aptos" w:cs="Aptos"/>
        </w:rPr>
        <w:t>Corte di Cassazione</w:t>
      </w:r>
      <w:bookmarkEnd w:id="0"/>
      <w:r w:rsidRPr="683619D8">
        <w:rPr>
          <w:rFonts w:eastAsia="Aptos" w:cs="Aptos"/>
        </w:rPr>
        <w:t xml:space="preserve"> è tornata a occuparsi dei limiti al sequestro dei dati contenuti negli smartphone</w:t>
      </w:r>
      <w:r w:rsidRPr="683619D8" w:rsidR="0B62E901">
        <w:rPr>
          <w:rStyle w:val="Rimandonotaapidipagina"/>
          <w:rFonts w:eastAsia="Aptos" w:cs="Aptos"/>
        </w:rPr>
        <w:footnoteReference w:id="11"/>
      </w:r>
      <w:r w:rsidRPr="683619D8">
        <w:rPr>
          <w:rFonts w:eastAsia="Aptos" w:cs="Aptos"/>
        </w:rPr>
        <w:t>.</w:t>
      </w:r>
      <w:r w:rsidRPr="69039367">
        <w:rPr>
          <w:rFonts w:eastAsia="Aptos" w:cs="Aptos"/>
        </w:rPr>
        <w:t xml:space="preserve"> </w:t>
      </w:r>
    </w:p>
    <w:p w:rsidR="0B62E901" w:rsidP="0B601909" w:rsidRDefault="0B62E901" w14:paraId="4E2722FF" w14:textId="07B59E66">
      <w:pPr>
        <w:spacing w:after="0"/>
        <w:rPr>
          <w:rFonts w:ascii="Aptos" w:hAnsi="Aptos" w:eastAsia="Aptos" w:cs="Aptos"/>
        </w:rPr>
      </w:pPr>
      <w:r w:rsidRPr="0B601909">
        <w:rPr>
          <w:rFonts w:eastAsia="Aptos" w:cs="Aptos"/>
        </w:rPr>
        <w:t>Il caso nasce dal ricorso contro un’ordinanza del Riesame che aveva ritenuto inammissibile l'impugnazione di un sequestro, poiché il dispositivo era stato restituito all'indagato dopo l'estrazione di una copia forense integrale.</w:t>
      </w:r>
    </w:p>
    <w:p w:rsidR="0B62E901" w:rsidP="0B601909" w:rsidRDefault="0B62E901" w14:paraId="75B52994" w14:textId="46789CE7">
      <w:pPr>
        <w:spacing w:after="0"/>
        <w:rPr>
          <w:rFonts w:ascii="Aptos" w:hAnsi="Aptos" w:eastAsia="Aptos" w:cs="Aptos"/>
        </w:rPr>
      </w:pPr>
      <w:r w:rsidRPr="0B601909">
        <w:rPr>
          <w:rFonts w:eastAsia="Aptos" w:cs="Aptos"/>
        </w:rPr>
        <w:t xml:space="preserve">La Suprema Corte ha ribaltato tale impostazione, sottolineando che l’interesse a ricorrere non riguarda solo l'oggetto fisico, ma la tutela del patrimonio informativo in esso contenuto. </w:t>
      </w:r>
    </w:p>
    <w:p w:rsidR="0B62E901" w:rsidP="0B601909" w:rsidRDefault="0B62E901" w14:paraId="6EBA31CC" w14:textId="0F313750">
      <w:pPr>
        <w:spacing w:after="0"/>
        <w:rPr>
          <w:rFonts w:ascii="Aptos" w:hAnsi="Aptos" w:eastAsia="Aptos" w:cs="Aptos"/>
        </w:rPr>
      </w:pPr>
      <w:r w:rsidRPr="0B601909">
        <w:rPr>
          <w:rFonts w:eastAsia="Aptos" w:cs="Aptos"/>
        </w:rPr>
        <w:t>Secondo i giudici, acquisire l’intera memoria di un telefono senza una specifica selezione viola il diritto alla riservatezza e alla protezione dei dati (tutelati dalla CEDU e dalla Carta dei diritti UE).</w:t>
      </w:r>
    </w:p>
    <w:p w:rsidR="0B62E901" w:rsidP="0B601909" w:rsidRDefault="0B62E901" w14:paraId="4FC3F5F6" w14:textId="62D42EEE">
      <w:pPr>
        <w:spacing w:after="0"/>
      </w:pPr>
      <w:r w:rsidRPr="0B601909">
        <w:rPr>
          <w:rFonts w:eastAsia="Aptos" w:cs="Aptos"/>
        </w:rPr>
        <w:t xml:space="preserve">In conclusione, la Cassazione ha stabilito che </w:t>
      </w:r>
      <w:r w:rsidRPr="0B601909" w:rsidR="0220A36D">
        <w:rPr>
          <w:rFonts w:eastAsia="Aptos" w:cs="Aptos"/>
        </w:rPr>
        <w:t>il decreto del Pubblico Ministero che intenda accedere al vaglio del contenuto e non limitarsi alla mera acquisizione dell'apparecchio quale strumento di comunicazione deve contenere un'adeguata motivazione che consenta la valutazione della proporzionalità della misura rispetto alla natura e alla gravità del reato. Il principio di proporzionalità, che delimita e legittima il potere di acquisizione dei dati riservati conservati nella memoria informatica del telefono cellulare, impone l'obbligo di una motivazione rigorosa che dia contezza delle ragioni per le quali si rende imprescindibile per le indagini in corso l'integrale verifica dell'intera massa dei dati conservati nell'archivio del dispositivo informatico da sequestrare, oppure, ove tale necessità non ricorra, di indicare secondo specifici criteri di selezione i dati rilevanti per le indagini, con riferimento ai soggetti coinvolti, ai tempi, alla tipologia ed al contenuto dei dati da ricercare. Il decreto deve inoltre indicare i criteri che devono presiedere alla selezione del materiale, la giustificazione della perimetrazione temporale dei dati di interesse e i tempi entro cui verrà effettuata tale selezione, con conseguente restituzione anche della copia informatica dei dati non rilevanti. La copia integrale costituisce una copia-mezzo che consente di restituire il contenitore, ma non legittima il trattamento dell'insieme dei dati appresi per un periodo di tempo indefinito.</w:t>
      </w:r>
    </w:p>
    <w:p w:rsidR="061E4F39" w:rsidP="0B601909" w:rsidRDefault="061E4F39" w14:paraId="37D21690" w14:textId="276570FE">
      <w:pPr>
        <w:spacing w:after="0"/>
        <w:rPr>
          <w:rFonts w:ascii="Aptos" w:hAnsi="Aptos" w:eastAsia="Aptos" w:cs="Aptos"/>
        </w:rPr>
      </w:pPr>
      <w:r w:rsidRPr="0B601909">
        <w:rPr>
          <w:rFonts w:eastAsia="Aptos" w:cs="Aptos"/>
        </w:rPr>
        <w:t xml:space="preserve">L'estrazione di una copia forense non è un atto automatico, ma il frutto di una scelta discrezionale del magistrato che deve sempre giustificare la rilevanza probatoria di quanto acquisito rispetto al reato ipotizzato. </w:t>
      </w:r>
    </w:p>
    <w:p w:rsidR="061E4F39" w:rsidP="0B601909" w:rsidRDefault="061E4F39" w14:paraId="21B32FD3" w14:textId="5CB80A47">
      <w:pPr>
        <w:spacing w:after="0"/>
        <w:rPr>
          <w:rFonts w:ascii="Aptos" w:hAnsi="Aptos" w:eastAsia="Aptos" w:cs="Aptos"/>
        </w:rPr>
      </w:pPr>
      <w:r w:rsidRPr="0B601909">
        <w:rPr>
          <w:rFonts w:eastAsia="Aptos" w:cs="Aptos"/>
        </w:rPr>
        <w:t>La giurisprudenza è ormai ferma nel vietare i cosiddetti "sequestri esplorativi": non si può clonare un intero dispositivo solo nella speranza di trovarvi, in un secondo momento, qualcosa di utile. Un’acquisizione massiva di dati senza criteri selettivi è, di norma, illegittima.</w:t>
      </w:r>
    </w:p>
    <w:p w:rsidR="061E4F39" w:rsidP="0B601909" w:rsidRDefault="061E4F39" w14:paraId="7FF36242" w14:textId="664EC943">
      <w:pPr>
        <w:spacing w:after="0"/>
        <w:rPr>
          <w:rFonts w:ascii="Aptos" w:hAnsi="Aptos" w:eastAsia="Aptos" w:cs="Aptos"/>
        </w:rPr>
      </w:pPr>
      <w:r w:rsidRPr="0B601909">
        <w:rPr>
          <w:rFonts w:eastAsia="Aptos" w:cs="Aptos"/>
        </w:rPr>
        <w:t xml:space="preserve">Tuttavia, il sequestro "omnicomprensivo" non è vietato in assoluto, ma diventa un'eccezione che richiede un onere motivazionale rafforzato. </w:t>
      </w:r>
    </w:p>
    <w:p w:rsidR="061E4F39" w:rsidP="0B601909" w:rsidRDefault="061E4F39" w14:paraId="3E336FF4" w14:textId="07CA72EF">
      <w:pPr>
        <w:spacing w:after="0"/>
        <w:rPr>
          <w:rFonts w:ascii="Aptos" w:hAnsi="Aptos" w:eastAsia="Aptos" w:cs="Aptos"/>
        </w:rPr>
      </w:pPr>
      <w:r w:rsidRPr="0B601909">
        <w:rPr>
          <w:rFonts w:eastAsia="Aptos" w:cs="Aptos"/>
        </w:rPr>
        <w:t xml:space="preserve">Il Pubblico Ministero deve spiegare perché non è possibile selezionare i dati </w:t>
      </w:r>
      <w:r w:rsidRPr="0B601909">
        <w:rPr>
          <w:rFonts w:eastAsia="Aptos" w:cs="Aptos"/>
          <w:i/>
          <w:iCs/>
        </w:rPr>
        <w:t>ex ante</w:t>
      </w:r>
      <w:r w:rsidRPr="0B601909">
        <w:rPr>
          <w:rFonts w:eastAsia="Aptos" w:cs="Aptos"/>
        </w:rPr>
        <w:t xml:space="preserve">, tenendo conto della gravità del reato e del ruolo dell'indagato. </w:t>
      </w:r>
    </w:p>
    <w:p w:rsidR="061E4F39" w:rsidP="0B601909" w:rsidRDefault="061E4F39" w14:paraId="4D9E2CBB" w14:textId="5134FCD1">
      <w:pPr>
        <w:spacing w:after="0"/>
        <w:rPr>
          <w:rFonts w:ascii="Aptos" w:hAnsi="Aptos" w:eastAsia="Aptos" w:cs="Aptos"/>
        </w:rPr>
      </w:pPr>
      <w:r w:rsidRPr="0B601909">
        <w:rPr>
          <w:rFonts w:eastAsia="Aptos" w:cs="Aptos"/>
        </w:rPr>
        <w:t>Inoltre, il possesso dell'intera copia non può essere illimitato: la Procura deve organizzarsi per selezionare i file d'interesse nel minor tempo possibile, restituendo poi la copia integrale.</w:t>
      </w:r>
    </w:p>
    <w:p w:rsidR="061E4F39" w:rsidP="0B601909" w:rsidRDefault="061E4F39" w14:paraId="4AF9B949" w14:textId="0BE1512B">
      <w:pPr>
        <w:spacing w:after="0"/>
        <w:rPr>
          <w:rFonts w:ascii="Aptos" w:hAnsi="Aptos" w:eastAsia="Aptos" w:cs="Aptos"/>
        </w:rPr>
      </w:pPr>
      <w:r w:rsidRPr="683619D8">
        <w:rPr>
          <w:rFonts w:eastAsia="Aptos" w:cs="Aptos"/>
        </w:rPr>
        <w:t>In particolare, ogni decreto di sequestro deve ora contenere tre elementi essenziali</w:t>
      </w:r>
      <w:r w:rsidRPr="683619D8" w:rsidR="1300F192">
        <w:rPr>
          <w:rFonts w:eastAsia="Aptos" w:cs="Aptos"/>
        </w:rPr>
        <w:t xml:space="preserve"> </w:t>
      </w:r>
      <w:r w:rsidRPr="683619D8">
        <w:rPr>
          <w:rStyle w:val="Rimandonotaapidipagina"/>
          <w:rFonts w:eastAsia="Aptos" w:cs="Aptos"/>
        </w:rPr>
        <w:footnoteReference w:id="12"/>
      </w:r>
      <w:r w:rsidRPr="683619D8">
        <w:rPr>
          <w:rFonts w:eastAsia="Aptos" w:cs="Aptos"/>
        </w:rPr>
        <w:t>:</w:t>
      </w:r>
    </w:p>
    <w:p w:rsidR="061E4F39" w:rsidP="0B601909" w:rsidRDefault="061E4F39" w14:paraId="34093526" w14:textId="68AA648C">
      <w:pPr>
        <w:pStyle w:val="Paragrafoelenco"/>
        <w:numPr>
          <w:ilvl w:val="0"/>
          <w:numId w:val="2"/>
        </w:numPr>
        <w:spacing w:after="0" w:line="360" w:lineRule="auto"/>
        <w:ind w:left="0"/>
        <w:contextualSpacing w:val="0"/>
        <w:jc w:val="both"/>
        <w:rPr>
          <w:rFonts w:ascii="Aptos" w:hAnsi="Aptos" w:eastAsia="Aptos" w:cs="Aptos"/>
        </w:rPr>
      </w:pPr>
      <w:r w:rsidRPr="0B601909">
        <w:rPr>
          <w:rFonts w:ascii="Times New Roman" w:hAnsi="Times New Roman" w:eastAsia="Aptos" w:cs="Aptos"/>
        </w:rPr>
        <w:t>La giustificazione dell'estensione: perché serve tutto il contenuto o, in alternativa, quali sono i target specifici.</w:t>
      </w:r>
    </w:p>
    <w:p w:rsidR="061E4F39" w:rsidP="0B601909" w:rsidRDefault="061E4F39" w14:paraId="60775B96" w14:textId="150DDE73">
      <w:pPr>
        <w:pStyle w:val="Paragrafoelenco"/>
        <w:numPr>
          <w:ilvl w:val="0"/>
          <w:numId w:val="2"/>
        </w:numPr>
        <w:spacing w:after="0" w:line="360" w:lineRule="auto"/>
        <w:ind w:left="0"/>
        <w:contextualSpacing w:val="0"/>
        <w:jc w:val="both"/>
        <w:rPr>
          <w:rFonts w:ascii="Aptos" w:hAnsi="Aptos" w:eastAsia="Aptos" w:cs="Aptos"/>
        </w:rPr>
      </w:pPr>
      <w:r w:rsidRPr="0B601909">
        <w:rPr>
          <w:rFonts w:ascii="Times New Roman" w:hAnsi="Times New Roman" w:eastAsia="Aptos" w:cs="Aptos"/>
        </w:rPr>
        <w:t>I parametri di selezione: i criteri usati per filtrare i dati e l'eventuale arco temporale considerato (che deve essere coerente con il periodo del reato).</w:t>
      </w:r>
    </w:p>
    <w:p w:rsidR="061E4F39" w:rsidP="0B601909" w:rsidRDefault="061E4F39" w14:paraId="6718ED94" w14:textId="09E950CE">
      <w:pPr>
        <w:pStyle w:val="Paragrafoelenco"/>
        <w:numPr>
          <w:ilvl w:val="0"/>
          <w:numId w:val="2"/>
        </w:numPr>
        <w:spacing w:after="0" w:line="360" w:lineRule="auto"/>
        <w:ind w:left="0"/>
        <w:contextualSpacing w:val="0"/>
        <w:jc w:val="both"/>
        <w:rPr>
          <w:rFonts w:ascii="Aptos" w:hAnsi="Aptos" w:eastAsia="Aptos" w:cs="Aptos"/>
        </w:rPr>
      </w:pPr>
      <w:r w:rsidRPr="0B601909">
        <w:rPr>
          <w:rFonts w:ascii="Times New Roman" w:hAnsi="Times New Roman" w:eastAsia="Aptos" w:cs="Aptos"/>
        </w:rPr>
        <w:t>Il cronoprogramma: il termine entro cui verrà completata la selezione e restituito il materiale non pertinente.</w:t>
      </w:r>
    </w:p>
    <w:p w:rsidR="69039367" w:rsidP="0B601909" w:rsidRDefault="69039367" w14:paraId="762C2F5E" w14:textId="28455B90">
      <w:pPr>
        <w:spacing w:after="0"/>
      </w:pPr>
    </w:p>
    <w:p w:rsidR="00B04998" w:rsidP="0B601909" w:rsidRDefault="315D786B" w14:paraId="4E32FA77" w14:textId="681A4373">
      <w:pPr>
        <w:spacing w:after="0"/>
      </w:pPr>
      <w:r>
        <w:t xml:space="preserve">Una svolta fondamentale nell’ordinamento nazionale è rappresentata dalla </w:t>
      </w:r>
      <w:r w:rsidR="00D04E5B">
        <w:t>L</w:t>
      </w:r>
      <w:r>
        <w:t>. 18</w:t>
      </w:r>
      <w:r w:rsidR="61659BBE">
        <w:t xml:space="preserve"> </w:t>
      </w:r>
      <w:r>
        <w:t>marzo 2008, n. 48, recante la ratifica e l’esecuzione della Convenzione del Consiglio</w:t>
      </w:r>
      <w:r w:rsidR="203EA7E6">
        <w:t xml:space="preserve"> </w:t>
      </w:r>
      <w:r>
        <w:t xml:space="preserve">d’Europa sulla criminalità informatica (fatta a Budapest il 23 novembre 2001). </w:t>
      </w:r>
    </w:p>
    <w:p w:rsidR="00B04998" w:rsidP="0B601909" w:rsidRDefault="40F5C08F" w14:paraId="46F2A8DB" w14:textId="78E7EBC4">
      <w:pPr>
        <w:spacing w:after="0"/>
      </w:pPr>
      <w:r>
        <w:t>Tale</w:t>
      </w:r>
      <w:r w:rsidR="0621CB5B">
        <w:t xml:space="preserve"> </w:t>
      </w:r>
      <w:r>
        <w:t xml:space="preserve">intervento legislativo ha provveduto </w:t>
      </w:r>
      <w:r w:rsidR="68296C61">
        <w:t>a</w:t>
      </w:r>
      <w:r w:rsidR="4EB73AFB">
        <w:t xml:space="preserve"> </w:t>
      </w:r>
      <w:r>
        <w:t>adeguare le norme del codice di procedura</w:t>
      </w:r>
      <w:r w:rsidR="27759B70">
        <w:t xml:space="preserve"> </w:t>
      </w:r>
      <w:r>
        <w:t>penale alla peculiarità della prova informatica, introducendo specifiche garanzie per</w:t>
      </w:r>
      <w:r w:rsidR="394AFD4B">
        <w:t xml:space="preserve"> </w:t>
      </w:r>
      <w:r>
        <w:t>l’acquisizione e la conservazione dei dati digitali.</w:t>
      </w:r>
    </w:p>
    <w:p w:rsidR="5311E283" w:rsidP="0B601909" w:rsidRDefault="5311E283" w14:paraId="6CA63EB9" w14:textId="171AA3DD">
      <w:pPr>
        <w:spacing w:after="0"/>
      </w:pPr>
    </w:p>
    <w:p w:rsidR="00B04998" w:rsidP="0B601909" w:rsidRDefault="315D786B" w14:paraId="6B88BBB8" w14:textId="382A03A3">
      <w:pPr>
        <w:spacing w:after="0"/>
        <w:rPr>
          <w:i/>
          <w:iCs/>
        </w:rPr>
      </w:pPr>
      <w:r w:rsidRPr="0B601909">
        <w:rPr>
          <w:i/>
          <w:iCs/>
        </w:rPr>
        <w:t>Art. 254-bis, comma 1, c.p.p. (Sequestro di dati informatici presso fornitori</w:t>
      </w:r>
      <w:r w:rsidRPr="0B601909" w:rsidR="45012F8E">
        <w:rPr>
          <w:i/>
          <w:iCs/>
        </w:rPr>
        <w:t xml:space="preserve"> </w:t>
      </w:r>
      <w:r w:rsidRPr="0B601909">
        <w:rPr>
          <w:i/>
          <w:iCs/>
        </w:rPr>
        <w:t>di servizi informatici, telematici e di telecomunicazioni)</w:t>
      </w:r>
    </w:p>
    <w:p w:rsidR="00B04998" w:rsidP="0B601909" w:rsidRDefault="315D786B" w14:paraId="5B8E9529" w14:textId="761EBA60">
      <w:pPr>
        <w:spacing w:after="0"/>
        <w:rPr>
          <w:i/>
          <w:iCs/>
        </w:rPr>
      </w:pPr>
      <w:r w:rsidRPr="0B601909">
        <w:rPr>
          <w:i/>
          <w:iCs/>
        </w:rPr>
        <w:t>«In tutti i casi previsti dal presente codice, il pubblico ministero, quando</w:t>
      </w:r>
      <w:r w:rsidRPr="0B601909" w:rsidR="6745C8B4">
        <w:rPr>
          <w:i/>
          <w:iCs/>
        </w:rPr>
        <w:t xml:space="preserve"> </w:t>
      </w:r>
      <w:r w:rsidRPr="0B601909">
        <w:rPr>
          <w:i/>
          <w:iCs/>
        </w:rPr>
        <w:t>procede al sequestro di dati, informazioni o programmi informatici, trasmessi,</w:t>
      </w:r>
      <w:r w:rsidRPr="0B601909" w:rsidR="3E1E8170">
        <w:rPr>
          <w:i/>
          <w:iCs/>
        </w:rPr>
        <w:t xml:space="preserve"> </w:t>
      </w:r>
      <w:r w:rsidRPr="0B601909">
        <w:rPr>
          <w:i/>
          <w:iCs/>
        </w:rPr>
        <w:t>ricevuti o comunque trattati da un fornitore di servizi informatici, telematici o</w:t>
      </w:r>
      <w:r w:rsidRPr="0B601909" w:rsidR="15555212">
        <w:rPr>
          <w:i/>
          <w:iCs/>
        </w:rPr>
        <w:t xml:space="preserve"> </w:t>
      </w:r>
      <w:r w:rsidRPr="0B601909">
        <w:rPr>
          <w:i/>
          <w:iCs/>
        </w:rPr>
        <w:t>di telecomunicazioni, può disporre, con decreto motivato, l’acquisizione di copia</w:t>
      </w:r>
      <w:r w:rsidRPr="0B601909" w:rsidR="73341431">
        <w:rPr>
          <w:i/>
          <w:iCs/>
        </w:rPr>
        <w:t xml:space="preserve"> </w:t>
      </w:r>
      <w:r w:rsidRPr="0B601909">
        <w:rPr>
          <w:i/>
          <w:iCs/>
        </w:rPr>
        <w:t>di tali dati, informazioni o programmi. In questo caso è, comunque, ordinato al</w:t>
      </w:r>
      <w:r w:rsidRPr="0B601909" w:rsidR="142A2D12">
        <w:rPr>
          <w:i/>
          <w:iCs/>
        </w:rPr>
        <w:t xml:space="preserve"> </w:t>
      </w:r>
      <w:r w:rsidRPr="0B601909">
        <w:rPr>
          <w:i/>
          <w:iCs/>
        </w:rPr>
        <w:t>fornitore dei servizi di conservare e proteggere adeguatamente i dati originali».</w:t>
      </w:r>
    </w:p>
    <w:p w:rsidR="736B7F6C" w:rsidP="0B601909" w:rsidRDefault="736B7F6C" w14:paraId="21395361" w14:textId="1E2599FA">
      <w:pPr>
        <w:spacing w:after="0"/>
      </w:pPr>
    </w:p>
    <w:p w:rsidR="00B04998" w:rsidP="0B601909" w:rsidRDefault="4B947CCC" w14:paraId="468E42E5" w14:textId="73724B87">
      <w:pPr>
        <w:spacing w:after="0"/>
      </w:pPr>
      <w:r>
        <w:t>La disposizione prevede specificamente la facoltà di sottoporre a vincolo reale dati e</w:t>
      </w:r>
      <w:r w:rsidR="1B420366">
        <w:t xml:space="preserve"> </w:t>
      </w:r>
      <w:r>
        <w:t>programmi informatici, privilegiando la copia di sicurezza quale modalità di acquisizione per consentire, ove possibile, la restituzione del supporto originale all’avente</w:t>
      </w:r>
      <w:r w:rsidR="5266B2B7">
        <w:t xml:space="preserve"> </w:t>
      </w:r>
      <w:r>
        <w:t>diritto.</w:t>
      </w:r>
    </w:p>
    <w:p w:rsidR="48D6DF9E" w:rsidP="0B601909" w:rsidRDefault="48D6DF9E" w14:paraId="005CDCD5" w14:textId="64B4516A">
      <w:pPr>
        <w:spacing w:after="0"/>
      </w:pPr>
    </w:p>
    <w:p w:rsidR="00B04998" w:rsidP="0B601909" w:rsidRDefault="315D786B" w14:paraId="025FBA2E" w14:textId="168B57F6">
      <w:pPr>
        <w:spacing w:after="0"/>
        <w:rPr>
          <w:i/>
          <w:iCs/>
        </w:rPr>
      </w:pPr>
      <w:r w:rsidRPr="0B601909">
        <w:rPr>
          <w:i/>
          <w:iCs/>
        </w:rPr>
        <w:t>Art. 354, comma 2, c.p.p. (Accertamenti urgenti sui luoghi, sulle cose e</w:t>
      </w:r>
      <w:r w:rsidRPr="0B601909" w:rsidR="63559B27">
        <w:rPr>
          <w:i/>
          <w:iCs/>
        </w:rPr>
        <w:t xml:space="preserve"> </w:t>
      </w:r>
      <w:r w:rsidRPr="0B601909">
        <w:rPr>
          <w:i/>
          <w:iCs/>
        </w:rPr>
        <w:t>sulle persone. Sequestro)</w:t>
      </w:r>
    </w:p>
    <w:p w:rsidR="00B04998" w:rsidP="0B601909" w:rsidRDefault="315D786B" w14:paraId="0363AD89" w14:textId="477FA67E">
      <w:pPr>
        <w:spacing w:after="0"/>
      </w:pPr>
      <w:r w:rsidRPr="0B601909">
        <w:rPr>
          <w:i/>
          <w:iCs/>
        </w:rPr>
        <w:t>«[...] Se si tratta di dati, informazioni o programmi informatici, la polizia</w:t>
      </w:r>
      <w:r w:rsidRPr="0B601909" w:rsidR="7A7326F9">
        <w:rPr>
          <w:i/>
          <w:iCs/>
        </w:rPr>
        <w:t xml:space="preserve"> </w:t>
      </w:r>
      <w:r w:rsidRPr="0B601909">
        <w:rPr>
          <w:i/>
          <w:iCs/>
        </w:rPr>
        <w:t>giudiziaria adotta ogni misura tecnica idonea ad assicurare la conservazione dei</w:t>
      </w:r>
      <w:r w:rsidRPr="0B601909" w:rsidR="11663C97">
        <w:rPr>
          <w:i/>
          <w:iCs/>
        </w:rPr>
        <w:t xml:space="preserve"> </w:t>
      </w:r>
      <w:r w:rsidRPr="0B601909">
        <w:rPr>
          <w:i/>
          <w:iCs/>
        </w:rPr>
        <w:t>dati originali e ad impedirne l’alterazione».</w:t>
      </w:r>
    </w:p>
    <w:p w:rsidR="00B04998" w:rsidP="0B601909" w:rsidRDefault="00B04998" w14:paraId="16D8D226" w14:textId="51E601D1">
      <w:pPr>
        <w:spacing w:after="0"/>
      </w:pPr>
    </w:p>
    <w:p w:rsidR="00B04998" w:rsidP="0B601909" w:rsidRDefault="315D786B" w14:paraId="4AC04EFB" w14:textId="7ECC0460">
      <w:pPr>
        <w:spacing w:after="0"/>
      </w:pPr>
      <w:r w:rsidR="315D786B">
        <w:rPr/>
        <w:t xml:space="preserve">Nei casi di urgenza che legittimano l’intervento della polizia giudiziaria, la norma </w:t>
      </w:r>
      <w:r w:rsidR="25609159">
        <w:rPr/>
        <w:t>impone</w:t>
      </w:r>
      <w:r w:rsidR="3899BDE4">
        <w:rPr/>
        <w:t xml:space="preserve"> </w:t>
      </w:r>
      <w:r w:rsidR="315D786B">
        <w:rPr/>
        <w:t>l’adozione di misure tecniche adeguate a garantire l’integrità del dato digitale,</w:t>
      </w:r>
      <w:r w:rsidR="20D67F70">
        <w:rPr/>
        <w:t xml:space="preserve"> </w:t>
      </w:r>
      <w:r w:rsidR="315D786B">
        <w:rPr/>
        <w:t>assicurandone la conservazione e impedendone qualsiasi forma di</w:t>
      </w:r>
      <w:r w:rsidR="0AEA6398">
        <w:rPr/>
        <w:t xml:space="preserve"> </w:t>
      </w:r>
      <w:r w:rsidR="10BB8ED1">
        <w:rPr/>
        <w:t>alterazione</w:t>
      </w:r>
      <w:r w:rsidR="315D786B">
        <w:rPr/>
        <w:t>.</w:t>
      </w:r>
    </w:p>
    <w:p w:rsidR="00B04998" w:rsidP="0B601909" w:rsidRDefault="40F5C08F" w14:paraId="3A27E04F" w14:textId="6E02EC74">
      <w:pPr>
        <w:spacing w:after="0"/>
      </w:pPr>
      <w:r>
        <w:t>L’intento del legislatore è stato sicuramente lodevole ma non ha risolto il problema;</w:t>
      </w:r>
      <w:r w:rsidR="3EE1DF0F">
        <w:t xml:space="preserve"> </w:t>
      </w:r>
      <w:r>
        <w:t xml:space="preserve">infatti, ha mantenuto il termine </w:t>
      </w:r>
      <w:r w:rsidR="18CBE036">
        <w:t>“</w:t>
      </w:r>
      <w:r>
        <w:t>cose” permettendo il sequestro dell’hardware da parte</w:t>
      </w:r>
      <w:r w:rsidR="3CC51C65">
        <w:t xml:space="preserve"> </w:t>
      </w:r>
      <w:r>
        <w:t>degli operatori che di fatto potevano ritardare la copia e l’analisi forense, comprimendo</w:t>
      </w:r>
      <w:r w:rsidR="471668F5">
        <w:t xml:space="preserve"> </w:t>
      </w:r>
      <w:r>
        <w:t>i diritti dell’indagato.</w:t>
      </w:r>
    </w:p>
    <w:p w:rsidR="00B04998" w:rsidP="0B601909" w:rsidRDefault="4B947CCC" w14:paraId="75A6CFE9" w14:textId="54F01E07">
      <w:pPr>
        <w:spacing w:after="0"/>
      </w:pPr>
      <w:r>
        <w:t>A dirimere la controversia giurisprudenziale è intervenuta la Sentenza delle Sezioni</w:t>
      </w:r>
      <w:r w:rsidR="4E986072">
        <w:t xml:space="preserve"> </w:t>
      </w:r>
      <w:r>
        <w:t xml:space="preserve">Unite </w:t>
      </w:r>
      <w:r w:rsidR="1CB463E3">
        <w:t xml:space="preserve">n. </w:t>
      </w:r>
      <w:r w:rsidRPr="48D6DF9E" w:rsidR="1CB463E3">
        <w:rPr>
          <w:rFonts w:eastAsia="Aptos" w:cs="Aptos"/>
        </w:rPr>
        <w:t>31022/2015</w:t>
      </w:r>
      <w:r>
        <w:t xml:space="preserve"> (</w:t>
      </w:r>
      <w:r w:rsidR="5E4FB691">
        <w:t>“Caso Fazzo”</w:t>
      </w:r>
      <w:r>
        <w:t>)</w:t>
      </w:r>
      <w:r w:rsidRPr="48D6DF9E" w:rsidR="4C5C47CF">
        <w:rPr>
          <w:rStyle w:val="Rimandonotaapidipagina"/>
        </w:rPr>
        <w:footnoteReference w:id="13"/>
      </w:r>
      <w:r>
        <w:t xml:space="preserve">. </w:t>
      </w:r>
    </w:p>
    <w:p w:rsidR="00B04998" w:rsidP="0B601909" w:rsidRDefault="315D786B" w14:paraId="235D09E9" w14:textId="14987879">
      <w:pPr>
        <w:spacing w:after="0"/>
      </w:pPr>
      <w:r>
        <w:t>Il caso è stato innescato dal sequestro proba</w:t>
      </w:r>
      <w:r w:rsidR="4D8AACEC">
        <w:t>t</w:t>
      </w:r>
      <w:r>
        <w:t>orio di un intero sito web e, dunque, verteva sulla sequestrabilità di contenuti digitali</w:t>
      </w:r>
      <w:r w:rsidR="34D01D76">
        <w:t xml:space="preserve"> </w:t>
      </w:r>
      <w:r>
        <w:t>complessi utilizzati per commettere reati quali la diffamazione a mezzo internet o la</w:t>
      </w:r>
      <w:r w:rsidR="0F809C97">
        <w:t xml:space="preserve"> </w:t>
      </w:r>
      <w:r>
        <w:t xml:space="preserve">violazione del diritto d’autore. </w:t>
      </w:r>
    </w:p>
    <w:p w:rsidR="00B04998" w:rsidP="0B601909" w:rsidRDefault="315D786B" w14:paraId="41BBDDD6" w14:textId="0BDEB9CC">
      <w:pPr>
        <w:spacing w:after="0"/>
      </w:pPr>
      <w:r>
        <w:t>Di norma, in questi casi, la polizia giudiziaria procedeva</w:t>
      </w:r>
      <w:r w:rsidR="796F2044">
        <w:t xml:space="preserve"> </w:t>
      </w:r>
      <w:r>
        <w:t>al sequestro dell’intero server, con evidente violazione del principio di proporzionalità</w:t>
      </w:r>
      <w:r w:rsidR="540745B1">
        <w:t xml:space="preserve"> </w:t>
      </w:r>
      <w:r>
        <w:t>e selettività.</w:t>
      </w:r>
    </w:p>
    <w:p w:rsidR="00B04998" w:rsidP="0B601909" w:rsidRDefault="315D786B" w14:paraId="325720D3" w14:textId="66308D67">
      <w:pPr>
        <w:spacing w:after="0"/>
      </w:pPr>
      <w:r>
        <w:t xml:space="preserve"> In via preliminare, le Sezioni Unite hanno risolto la questione ermeneutica relativa alla natura giuridica del dato informatico complesso attraverso un’interpretazione</w:t>
      </w:r>
      <w:r w:rsidR="59A62C3C">
        <w:t xml:space="preserve"> </w:t>
      </w:r>
      <w:r>
        <w:t>estensiva dell’art. 253 c.p.p., considerandolo quale</w:t>
      </w:r>
      <w:r w:rsidR="3E1A55CE">
        <w:t xml:space="preserve"> “</w:t>
      </w:r>
      <w:r>
        <w:t xml:space="preserve">cosa mobile” e, per questo, pienamente assoggettabile allo schema codicistico del sequestro probatorio. </w:t>
      </w:r>
    </w:p>
    <w:p w:rsidR="00B04998" w:rsidP="0B601909" w:rsidRDefault="315D786B" w14:paraId="4C3AA518" w14:textId="6A2D4B5D">
      <w:pPr>
        <w:spacing w:after="0"/>
      </w:pPr>
      <w:r>
        <w:t>Subito dopo, il</w:t>
      </w:r>
      <w:r w:rsidR="6F42AFA5">
        <w:t xml:space="preserve"> </w:t>
      </w:r>
      <w:r>
        <w:t>quesito cui si sono trovati di fronte i giudici di legittimità è stato il seguente: la copia</w:t>
      </w:r>
      <w:r w:rsidR="430EF29A">
        <w:t xml:space="preserve"> </w:t>
      </w:r>
      <w:r>
        <w:t>forense rappresenta una facoltà o un obbligo procedurale?</w:t>
      </w:r>
    </w:p>
    <w:p w:rsidR="00B04998" w:rsidP="0B601909" w:rsidRDefault="315D786B" w14:paraId="07651A45" w14:textId="781F4E7B">
      <w:pPr>
        <w:spacing w:after="0"/>
      </w:pPr>
      <w:r>
        <w:t xml:space="preserve"> Le Sezioni Unite, per fornire una risposta, hanno applicato il principio di propor</w:t>
      </w:r>
      <w:r w:rsidR="40B2BBDF">
        <w:t>zionalità</w:t>
      </w:r>
      <w:r>
        <w:t xml:space="preserve"> e la dicotomia tra supporto informatico (luogo di custodia) e dato informatico</w:t>
      </w:r>
      <w:r w:rsidR="11F6D6E4">
        <w:t xml:space="preserve"> </w:t>
      </w:r>
      <w:r>
        <w:t>(corpo del reato). Nella massima, la Corte ha sancito che:</w:t>
      </w:r>
    </w:p>
    <w:p w:rsidR="00D04E5B" w:rsidP="0B601909" w:rsidRDefault="00D04E5B" w14:paraId="330A93D3" w14:textId="77777777">
      <w:pPr>
        <w:spacing w:after="0"/>
        <w:rPr>
          <w:i/>
          <w:iCs/>
        </w:rPr>
      </w:pPr>
    </w:p>
    <w:p w:rsidR="00B04998" w:rsidP="0B601909" w:rsidRDefault="40F5C08F" w14:paraId="04AB997E" w14:textId="4CEAE509">
      <w:pPr>
        <w:spacing w:after="0"/>
      </w:pPr>
      <w:r w:rsidRPr="0B601909">
        <w:rPr>
          <w:i/>
          <w:iCs/>
        </w:rPr>
        <w:t>«Il sequestro probatorio di sistemi informatici o telematici deve essere li</w:t>
      </w:r>
      <w:r w:rsidRPr="0B601909" w:rsidR="257755F5">
        <w:rPr>
          <w:i/>
          <w:iCs/>
        </w:rPr>
        <w:t>mitato,</w:t>
      </w:r>
      <w:r w:rsidRPr="0B601909">
        <w:rPr>
          <w:i/>
          <w:iCs/>
        </w:rPr>
        <w:t xml:space="preserve"> di regola, all’acquisizione della copia dei dati in essi contenuti,</w:t>
      </w:r>
      <w:r w:rsidRPr="0B601909" w:rsidR="576E77F0">
        <w:rPr>
          <w:i/>
          <w:iCs/>
        </w:rPr>
        <w:t xml:space="preserve"> </w:t>
      </w:r>
      <w:r w:rsidRPr="0B601909">
        <w:rPr>
          <w:i/>
          <w:iCs/>
        </w:rPr>
        <w:t xml:space="preserve">se l’attività di ricerca e la successiva estrazione delle informazioni </w:t>
      </w:r>
      <w:r w:rsidRPr="0B601909" w:rsidR="48E2A907">
        <w:rPr>
          <w:i/>
          <w:iCs/>
        </w:rPr>
        <w:t>pertinenti</w:t>
      </w:r>
      <w:r w:rsidRPr="0B601909" w:rsidR="7F2DDEAE">
        <w:rPr>
          <w:i/>
          <w:iCs/>
        </w:rPr>
        <w:t xml:space="preserve"> </w:t>
      </w:r>
      <w:r w:rsidRPr="0B601909">
        <w:rPr>
          <w:i/>
          <w:iCs/>
        </w:rPr>
        <w:t xml:space="preserve">al reato possono essere compiute senza il supporto materiale </w:t>
      </w:r>
      <w:r w:rsidRPr="0B601909" w:rsidR="774E0132">
        <w:rPr>
          <w:i/>
          <w:iCs/>
        </w:rPr>
        <w:t>originale</w:t>
      </w:r>
      <w:r w:rsidRPr="0B601909">
        <w:rPr>
          <w:i/>
          <w:iCs/>
        </w:rPr>
        <w:t>, che deve essere restituito non appena esaurite le operazioni tecniche indispensabili».</w:t>
      </w:r>
    </w:p>
    <w:p w:rsidR="0B22B8E1" w:rsidP="0B601909" w:rsidRDefault="0B22B8E1" w14:paraId="525B7F2E" w14:textId="69F63948">
      <w:pPr>
        <w:spacing w:after="0"/>
      </w:pPr>
      <w:r w:rsidRPr="0B601909">
        <w:rPr>
          <w:i/>
          <w:iCs/>
        </w:rPr>
        <w:t>« Ove ricorrano i presupposti del fumus commissi delicti e del periculum in mora, è ammissibile, nel rispetto del principio di proporzionalità, il sequestro preventivo ex art. 321 c.p.p. di un sito web o di una singola pagina telematica, anche imponendo al fornitore dei relativi servizi di attivarsi per rendere inaccessibile il sito o la specifica risorsa telematica incriminata »</w:t>
      </w:r>
    </w:p>
    <w:p w:rsidR="736B7F6C" w:rsidP="0B601909" w:rsidRDefault="736B7F6C" w14:paraId="71A99DD7" w14:textId="4D22A1F8">
      <w:pPr>
        <w:spacing w:after="0"/>
        <w:rPr>
          <w:i/>
          <w:iCs/>
        </w:rPr>
      </w:pPr>
    </w:p>
    <w:p w:rsidR="00B04998" w:rsidP="0B601909" w:rsidRDefault="315D786B" w14:paraId="566A5ECB" w14:textId="16DBE3B0">
      <w:pPr>
        <w:spacing w:after="0"/>
      </w:pPr>
      <w:r>
        <w:t>Viene dunque stabilito che la regola ordinaria è l’acquisizione della copia dei dati con</w:t>
      </w:r>
      <w:r w:rsidR="31FD033D">
        <w:t xml:space="preserve"> </w:t>
      </w:r>
      <w:r>
        <w:t xml:space="preserve">la conseguente restituzione del supporto fisico. </w:t>
      </w:r>
    </w:p>
    <w:p w:rsidR="00B04998" w:rsidP="0B601909" w:rsidRDefault="315D786B" w14:paraId="6DBEC984" w14:textId="0966DABB">
      <w:pPr>
        <w:spacing w:after="0"/>
      </w:pPr>
      <w:r>
        <w:t>Tale regola prevede deroghe solo qualora</w:t>
      </w:r>
      <w:r w:rsidR="350A2A58">
        <w:t xml:space="preserve"> </w:t>
      </w:r>
      <w:r>
        <w:t>il sequestro dell’hardware sia necessario e specificamente motivato: ad esempio, per</w:t>
      </w:r>
      <w:r w:rsidR="446D4B40">
        <w:t xml:space="preserve"> </w:t>
      </w:r>
      <w:r>
        <w:t>il</w:t>
      </w:r>
      <w:r w:rsidR="153F00C2">
        <w:t xml:space="preserve"> </w:t>
      </w:r>
      <w:r>
        <w:t>pericolo di alterazione remota o quando il supporto stesso sia da considerare corpo del</w:t>
      </w:r>
      <w:r w:rsidR="6EF5E9B5">
        <w:t xml:space="preserve"> </w:t>
      </w:r>
      <w:r>
        <w:t xml:space="preserve">reato (come nel caso di un dispositivo contenente un malware). </w:t>
      </w:r>
    </w:p>
    <w:p w:rsidR="00B04998" w:rsidP="0B601909" w:rsidRDefault="315D786B" w14:paraId="0FC12B4A" w14:textId="6C6C01A0">
      <w:pPr>
        <w:spacing w:after="0"/>
      </w:pPr>
      <w:r>
        <w:t>La sentenza suggerisce</w:t>
      </w:r>
      <w:r w:rsidR="43829E15">
        <w:t xml:space="preserve"> </w:t>
      </w:r>
      <w:r>
        <w:t>che la tecnica di acquisizione debba essere una copia settore per settore (bit-stream</w:t>
      </w:r>
      <w:r w:rsidR="11512F7C">
        <w:t xml:space="preserve"> </w:t>
      </w:r>
      <w:r>
        <w:t>copy</w:t>
      </w:r>
      <w:r w:rsidR="77840113">
        <w:t xml:space="preserve">), ovvero </w:t>
      </w:r>
      <w:r w:rsidRPr="0B601909" w:rsidR="77840113">
        <w:rPr>
          <w:rFonts w:eastAsia="Aptos" w:cs="Aptos"/>
        </w:rPr>
        <w:t>una copia esatta e completa di un supporto di memorizzazione o di un flusso di dati, in cui ogni singolo bit viene replicato identicamente all'originale, inclusi dati, spazio vuoto, settore non allocati, sistema di file e metadati, la</w:t>
      </w:r>
      <w:r>
        <w:t xml:space="preserve"> cui integrità sia garantita dalla funzione di Hash.</w:t>
      </w:r>
      <w:r w:rsidR="579706EA">
        <w:t xml:space="preserve"> </w:t>
      </w:r>
    </w:p>
    <w:p w:rsidRPr="009B59C7" w:rsidR="009B59C7" w:rsidP="0B601909" w:rsidRDefault="009B59C7" w14:paraId="578E2233" w14:textId="77777777">
      <w:pPr>
        <w:spacing w:after="0"/>
      </w:pPr>
      <w:r>
        <w:t xml:space="preserve">L’autorità giudiziaria può disporre un sequestro probatorio molto “esteso” in ragione della difficoltà di individuare con precisione "ex ante" l’oggetto del sequestro, purché disponga l’immediata restituzione delle cose sottoposte a vincolo, una volta decorso il tempo ragionevolmente necessario. </w:t>
      </w:r>
    </w:p>
    <w:p w:rsidRPr="009B59C7" w:rsidR="009B59C7" w:rsidP="0B601909" w:rsidRDefault="009B59C7" w14:paraId="02C2E735" w14:textId="77777777">
      <w:pPr>
        <w:spacing w:after="0"/>
      </w:pPr>
      <w:r>
        <w:t xml:space="preserve">In caso di mancata tempestiva restituzione, l’interessato può presentare la relativa istanza allo scopo di far valere le proprie ragioni. </w:t>
      </w:r>
    </w:p>
    <w:p w:rsidRPr="009B59C7" w:rsidR="009B59C7" w:rsidP="0B601909" w:rsidRDefault="009B59C7" w14:paraId="0A2C8638" w14:textId="77777777">
      <w:pPr>
        <w:spacing w:after="0"/>
      </w:pPr>
      <w:r>
        <w:t xml:space="preserve">Infatti, la c.d. copia integrale contiene l’insieme dei dati presenti nel contenitore ma costituisce solo una copia-mezzo, che consente di restituire il supporto, ma non legittima il trattenimento dell’insieme dei dati appresi. </w:t>
      </w:r>
    </w:p>
    <w:p w:rsidRPr="009B59C7" w:rsidR="009B59C7" w:rsidP="0B601909" w:rsidRDefault="009B59C7" w14:paraId="6925BB08" w14:textId="77777777">
      <w:pPr>
        <w:spacing w:after="0"/>
      </w:pPr>
      <w:r>
        <w:t xml:space="preserve">Il pubblico ministero non può trattenere tale copia integrale oltre il tempo necessario alla loro selezione. </w:t>
      </w:r>
    </w:p>
    <w:p w:rsidRPr="009B59C7" w:rsidR="009B59C7" w:rsidP="0B601909" w:rsidRDefault="009B59C7" w14:paraId="67850493" w14:textId="77777777">
      <w:pPr>
        <w:spacing w:after="0"/>
      </w:pPr>
      <w:r>
        <w:t xml:space="preserve">È tenuto a compiere la selezione in questione nel tempo più breve possibile, soprattutto nel caso in cui i dati siano stati sequestrati a persone estranee ai reati per cui si procede. </w:t>
      </w:r>
    </w:p>
    <w:p w:rsidR="009B59C7" w:rsidP="0B601909" w:rsidRDefault="6898F46D" w14:paraId="750D74C9" w14:textId="3E496499">
      <w:pPr>
        <w:spacing w:after="0"/>
      </w:pPr>
      <w:r w:rsidRPr="683619D8">
        <w:t>Infine, compiute le operazioni di selezione, la c.d. copia integrale deve essere restituita agli aventi diritto.</w:t>
      </w:r>
      <w:r w:rsidRPr="683619D8" w:rsidR="009B59C7">
        <w:rPr>
          <w:rStyle w:val="Rimandonotaapidipagina"/>
        </w:rPr>
        <w:footnoteReference w:id="14"/>
      </w:r>
    </w:p>
    <w:p w:rsidR="00B04998" w:rsidP="0B601909" w:rsidRDefault="315D786B" w14:paraId="5C145109" w14:textId="52CBCF81">
      <w:pPr>
        <w:spacing w:after="0"/>
      </w:pPr>
      <w:r>
        <w:t xml:space="preserve">Il merito della Sentenza Fazzo è quello di aver tracciato la strada verso la </w:t>
      </w:r>
      <w:r w:rsidR="549CF2FA">
        <w:t>dematerializzazione</w:t>
      </w:r>
      <w:r>
        <w:t xml:space="preserve"> della prova, distinguendo nettamente tra il sequestro del dato e quello del</w:t>
      </w:r>
      <w:r w:rsidR="12E17A19">
        <w:t xml:space="preserve"> </w:t>
      </w:r>
      <w:r>
        <w:t xml:space="preserve">supporto. </w:t>
      </w:r>
    </w:p>
    <w:p w:rsidR="00B04998" w:rsidP="0B601909" w:rsidRDefault="4C5C47CF" w14:paraId="5187B64B" w14:textId="26296B9B">
      <w:pPr>
        <w:spacing w:after="0"/>
      </w:pPr>
      <w:r w:rsidRPr="736B7F6C">
        <w:t>Tuttavia, il problema è risolto solo parzialmente: sebbene il Pubblico Mi</w:t>
      </w:r>
      <w:r w:rsidRPr="736B7F6C" w:rsidR="5F5CB683">
        <w:t>nistero</w:t>
      </w:r>
      <w:r w:rsidRPr="736B7F6C">
        <w:t xml:space="preserve"> sia ora vincolato al principio di proporzionalità</w:t>
      </w:r>
      <w:r w:rsidRPr="736B7F6C" w:rsidR="00844A9D">
        <w:rPr>
          <w:rStyle w:val="Rimandonotaapidipagina"/>
        </w:rPr>
        <w:footnoteReference w:id="15"/>
      </w:r>
      <w:r w:rsidRPr="736B7F6C">
        <w:t>, la garanzia rimane successiva</w:t>
      </w:r>
      <w:r w:rsidRPr="736B7F6C" w:rsidR="097E83CD">
        <w:t xml:space="preserve"> </w:t>
      </w:r>
      <w:r w:rsidRPr="736B7F6C">
        <w:t xml:space="preserve">all’atto e si attiva solo con l’obbligo di restituzione. </w:t>
      </w:r>
    </w:p>
    <w:p w:rsidR="00B04998" w:rsidP="0B601909" w:rsidRDefault="315D786B" w14:paraId="4AB0CE7E" w14:textId="372C089F">
      <w:pPr>
        <w:spacing w:after="0"/>
      </w:pPr>
      <w:r>
        <w:t xml:space="preserve">Per l’integrità della catena di </w:t>
      </w:r>
      <w:r w:rsidR="6BC77131">
        <w:t>custodia</w:t>
      </w:r>
      <w:r>
        <w:t xml:space="preserve">, l’indagato deve ancora affidarsi alla corretta stesura dei verbali. </w:t>
      </w:r>
    </w:p>
    <w:p w:rsidR="00B04998" w:rsidP="0B601909" w:rsidRDefault="315D786B" w14:paraId="10745AF2" w14:textId="2F36F2D0">
      <w:pPr>
        <w:spacing w:after="0"/>
      </w:pPr>
      <w:r>
        <w:t>La procedura</w:t>
      </w:r>
      <w:r w:rsidR="1DAD8CC1">
        <w:t xml:space="preserve"> </w:t>
      </w:r>
      <w:r>
        <w:t xml:space="preserve">di hashing garantisce la conformità della copia, ma non l’immutabilità </w:t>
      </w:r>
      <w:bookmarkStart w:name="_Int_px0PY7av" w:id="1"/>
      <w:r>
        <w:t>della chain</w:t>
      </w:r>
      <w:bookmarkEnd w:id="1"/>
      <w:r>
        <w:t xml:space="preserve"> of</w:t>
      </w:r>
      <w:r w:rsidR="20277620">
        <w:t xml:space="preserve"> </w:t>
      </w:r>
      <w:r>
        <w:t>custody nei passaggi successivi, che restano affidati a procedure documentali fallibili.</w:t>
      </w:r>
    </w:p>
    <w:p w:rsidR="736B7F6C" w:rsidP="0B601909" w:rsidRDefault="736B7F6C" w14:paraId="6EFE25C0" w14:textId="3A869AF0">
      <w:pPr>
        <w:spacing w:after="0"/>
      </w:pPr>
    </w:p>
    <w:p w:rsidR="48D6DF9E" w:rsidP="0B601909" w:rsidRDefault="48D6DF9E" w14:paraId="5FD5453F" w14:textId="37FEDB94">
      <w:pPr>
        <w:spacing w:after="0"/>
      </w:pPr>
    </w:p>
    <w:p w:rsidR="6E02D338" w:rsidP="6E02D338" w:rsidRDefault="6E02D338" w14:paraId="77EFD783" w14:textId="5A5E42B0">
      <w:pPr>
        <w:spacing w:after="0"/>
        <w:rPr>
          <w:b w:val="1"/>
          <w:bCs w:val="1"/>
        </w:rPr>
      </w:pPr>
    </w:p>
    <w:p w:rsidR="00B04998" w:rsidP="0B601909" w:rsidRDefault="40F5C08F" w14:paraId="39C476E3" w14:textId="2A46E2CD">
      <w:pPr>
        <w:spacing w:after="0"/>
        <w:rPr>
          <w:b/>
          <w:bCs/>
        </w:rPr>
      </w:pPr>
      <w:r w:rsidRPr="0B601909">
        <w:rPr>
          <w:b/>
          <w:bCs/>
        </w:rPr>
        <w:t>1.2 Garanzie Preventive Indebolite Sotto la Lente</w:t>
      </w:r>
      <w:r w:rsidRPr="0B601909" w:rsidR="79069E0A">
        <w:rPr>
          <w:b/>
          <w:bCs/>
        </w:rPr>
        <w:t xml:space="preserve"> </w:t>
      </w:r>
      <w:r w:rsidRPr="0B601909">
        <w:rPr>
          <w:b/>
          <w:bCs/>
        </w:rPr>
        <w:t>della CGEU</w:t>
      </w:r>
    </w:p>
    <w:p w:rsidR="48D6DF9E" w:rsidP="0B601909" w:rsidRDefault="48D6DF9E" w14:paraId="6DB83131" w14:textId="74271655">
      <w:pPr>
        <w:spacing w:after="0"/>
      </w:pPr>
    </w:p>
    <w:p w:rsidR="00B04998" w:rsidP="0B601909" w:rsidRDefault="4C5C47CF" w14:paraId="5FA95A3C" w14:textId="0ACD04B5">
      <w:pPr>
        <w:spacing w:after="0"/>
      </w:pPr>
      <w:r>
        <w:t>Anche l’analisi del sequestro probatorio, come ormai ogni aspetto del nostro ordinamento giuridico, senza una riflessione sul rapporto con la disciplina comunitaria sarebbe</w:t>
      </w:r>
      <w:r w:rsidR="0BB31D34">
        <w:t xml:space="preserve"> </w:t>
      </w:r>
      <w:r>
        <w:t xml:space="preserve">claudicante. </w:t>
      </w:r>
    </w:p>
    <w:p w:rsidR="00B04998" w:rsidP="0B601909" w:rsidRDefault="315D786B" w14:paraId="2D3C1C6F" w14:textId="468340EB">
      <w:pPr>
        <w:spacing w:after="0"/>
      </w:pPr>
      <w:r>
        <w:t>Per quanto concerne il caso di specie, il quadro normativo</w:t>
      </w:r>
      <w:r w:rsidR="47F21FBD">
        <w:t xml:space="preserve"> sovranazionale, in </w:t>
      </w:r>
      <w:r>
        <w:t xml:space="preserve">materia di trattamento dei dati personali e riservatezza delle comunicazioni, impone limiti molto più stringenti rispetto a quelli tradizionalmente accettati dal diritto interno. </w:t>
      </w:r>
    </w:p>
    <w:p w:rsidR="00B04998" w:rsidP="0B601909" w:rsidRDefault="315D786B" w14:paraId="52FAAF91" w14:textId="017ACA45">
      <w:pPr>
        <w:spacing w:after="0"/>
      </w:pPr>
      <w:r>
        <w:t xml:space="preserve">Inevitabilmente, il diritto di accesso delle autorità investigative si scontra con i diritti sanciti dalla Carta dei Diritti Fondamentali dell’Unione Europea (Carta di </w:t>
      </w:r>
      <w:r w:rsidR="62C650B8">
        <w:t>Nizz</w:t>
      </w:r>
      <w:r>
        <w:t xml:space="preserve">a), in particolare gli Articoli 7 (Rispetto della vita privata e familiare) e 8 (Protezione dei dati di carattere personale). </w:t>
      </w:r>
    </w:p>
    <w:p w:rsidR="00B04998" w:rsidP="14BE013E" w:rsidRDefault="4EB4542C" w14:paraId="0FC59235" w14:textId="13A9B036">
      <w:pPr>
        <w:spacing w:after="0"/>
      </w:pPr>
      <w:r w:rsidR="315D786B">
        <w:rPr/>
        <w:t>Ad esempio, la CGEU ha sancito il divieto di conservazione generalizzata e indifferenziata dei dati di traffico e di ubicazione, considerandola</w:t>
      </w:r>
      <w:r w:rsidR="205F5F05">
        <w:rPr/>
        <w:t xml:space="preserve"> </w:t>
      </w:r>
      <w:r w:rsidR="315D786B">
        <w:rPr/>
        <w:t>una violazione sproporzionata dei diritti fondamentali, ammettendo solo rare eccezioni</w:t>
      </w:r>
      <w:r w:rsidR="3E6B5EAC">
        <w:rPr/>
        <w:t xml:space="preserve"> </w:t>
      </w:r>
      <w:r w:rsidR="315D786B">
        <w:rPr/>
        <w:t>relative alla conservazione mirata di specifici target.</w:t>
      </w:r>
      <w:r w:rsidR="752E6EF5">
        <w:rPr/>
        <w:t xml:space="preserve"> In altri termini, la normativa UE in tema di abusi non autorizza la previsione da</w:t>
      </w:r>
      <w:r w:rsidR="0AD86C0A">
        <w:rPr/>
        <w:t xml:space="preserve"> </w:t>
      </w:r>
      <w:r w:rsidR="752E6EF5">
        <w:rPr/>
        <w:t xml:space="preserve">parte degli Stati membri di obblighi di conservazione di dati relativi al traffico, intendendo disciplinare soltanto i poteri che gli ordinamenti nazionali dovrebbero riconoscere in capo alle autorità competenti per garantire l’integrità dei mercati e l’efficacia delle rispettive attività di vigilanza. </w:t>
      </w:r>
      <w:r w:rsidR="4EB4542C">
        <w:rPr/>
        <w:t>Sebbene non si possa farsi discendere un obbligo di</w:t>
      </w:r>
      <w:r w:rsidR="59A82982">
        <w:rPr/>
        <w:t xml:space="preserve"> </w:t>
      </w:r>
      <w:r w:rsidR="4EB4542C">
        <w:rPr/>
        <w:t>conservazione in capo agli operatori dei servizi di comunicazione elettronica quanto al contenuto delle comunicazioni elettroniche, dalle stesse deriva tuttavia un obbligo di conservazione, senza distinzioni fra gli utenti e senza eccezioni, per un anno dalla registrazione, di altre informazioni rilevanti concernenti gli utenti (quali, in particolare,</w:t>
      </w:r>
      <w:r w:rsidR="66F1F529">
        <w:rPr/>
        <w:t xml:space="preserve"> </w:t>
      </w:r>
      <w:r w:rsidR="4EB4542C">
        <w:rPr/>
        <w:t>le persone con le quali gli utenti hanno comunicato, il mezzo di comunicazione utilizzato, la data, l’ora e la durata della comunicazione e il luogo dal quale è partita la comunicazione, nonché l’ubicazione delle apparecchiature terminali senza che sia stata necessariamente effettuata la comunicazione); dati che complessivamente considerati risultano, secondo i giudici dell’Unione, “idonei a consentire di trarre conclusioni molto</w:t>
      </w:r>
      <w:r w:rsidR="0F8E9BE8">
        <w:rPr/>
        <w:t xml:space="preserve"> </w:t>
      </w:r>
      <w:r w:rsidR="4EB4542C">
        <w:rPr/>
        <w:t>precise riguardo alla vita privata delle persone i cui dati sono stati conservati, come le abitudini</w:t>
      </w:r>
      <w:r w:rsidR="6254D297">
        <w:rPr/>
        <w:t xml:space="preserve"> </w:t>
      </w:r>
      <w:r w:rsidR="4EB4542C">
        <w:rPr/>
        <w:t>della vita quotidiana, i luoghi di soggiorno permanenti o temporanei, gli spostamenti giornalieri</w:t>
      </w:r>
      <w:r w:rsidR="4E6EF905">
        <w:rPr/>
        <w:t xml:space="preserve"> </w:t>
      </w:r>
      <w:r w:rsidR="4EB4542C">
        <w:rPr/>
        <w:t>o di altro tipo, le attività esercitate, le relazioni sociali di dette persone e gli ambienti sociali da</w:t>
      </w:r>
      <w:r w:rsidR="424AADCA">
        <w:rPr/>
        <w:t xml:space="preserve"> </w:t>
      </w:r>
      <w:r w:rsidR="4EB4542C">
        <w:rPr/>
        <w:t>essi frequentati”.</w:t>
      </w:r>
      <w:r w:rsidRPr="3C65CC7C">
        <w:rPr>
          <w:rStyle w:val="Rimandonotaapidipagina"/>
        </w:rPr>
        <w:footnoteReference w:id="14145"/>
      </w:r>
    </w:p>
    <w:p w:rsidR="00B04998" w:rsidP="14BE013E" w:rsidRDefault="4EB4542C" w14:paraId="33DF1992" w14:textId="73F6F3F6">
      <w:pPr>
        <w:spacing w:after="0"/>
      </w:pPr>
      <w:r w:rsidR="4EB4542C">
        <w:rPr/>
        <w:t>Trattasi di dati, in particolare, dai quali è possibile ricostruire il profilo degli</w:t>
      </w:r>
      <w:r w:rsidR="69C43A55">
        <w:rPr/>
        <w:t xml:space="preserve"> </w:t>
      </w:r>
      <w:r w:rsidR="4EB4542C">
        <w:rPr/>
        <w:t>utenti, ovvero un’informazione che, con riferimento al diritto al</w:t>
      </w:r>
      <w:r w:rsidR="6963EB6C">
        <w:rPr/>
        <w:t xml:space="preserve"> </w:t>
      </w:r>
      <w:r w:rsidR="4EB4542C">
        <w:rPr/>
        <w:t>rispetto alla vita privata, è altrettanto delicata quanto il contenuto stesso delle</w:t>
      </w:r>
      <w:r w:rsidR="727B7839">
        <w:rPr/>
        <w:t xml:space="preserve"> </w:t>
      </w:r>
      <w:r w:rsidR="4EB4542C">
        <w:rPr/>
        <w:t>comunicazioni.</w:t>
      </w:r>
    </w:p>
    <w:p w:rsidR="00B04998" w:rsidP="14BE013E" w:rsidRDefault="4EB4542C" w14:paraId="7590342E" w14:textId="440ED426">
      <w:pPr>
        <w:spacing w:after="0"/>
      </w:pPr>
      <w:r w:rsidR="13B9C61C">
        <w:rPr/>
        <w:t>U</w:t>
      </w:r>
      <w:r w:rsidR="4EB4542C">
        <w:rPr/>
        <w:t>n tale obbligo di conservazione (previsto</w:t>
      </w:r>
      <w:r w:rsidR="2460398A">
        <w:rPr/>
        <w:t xml:space="preserve"> </w:t>
      </w:r>
      <w:r w:rsidR="4EB4542C">
        <w:rPr/>
        <w:t>dalla normativa francese), anche se per finalità connesse all’accertamento e al</w:t>
      </w:r>
      <w:r w:rsidR="40BF174E">
        <w:rPr/>
        <w:t xml:space="preserve"> </w:t>
      </w:r>
      <w:r w:rsidR="4EB4542C">
        <w:rPr/>
        <w:t>perseguimento dei reati, senza che sia dimostrato il rapporto tra i dati da conservare e</w:t>
      </w:r>
      <w:r w:rsidR="7FCF1DBA">
        <w:rPr/>
        <w:t xml:space="preserve"> </w:t>
      </w:r>
      <w:r w:rsidR="4EB4542C">
        <w:rPr/>
        <w:t>l’obiettivo perseguito, non può ritenersi giustificato in quanto eccedente il limite dello</w:t>
      </w:r>
      <w:r w:rsidR="2F7DBDD5">
        <w:rPr/>
        <w:t xml:space="preserve"> </w:t>
      </w:r>
      <w:r w:rsidR="4EB4542C">
        <w:rPr/>
        <w:t>“stretto necessario”, come richiede l’articolo 15, paragrafo 1, della direttiva 2002/58, letto</w:t>
      </w:r>
      <w:r w:rsidR="22629502">
        <w:rPr/>
        <w:t xml:space="preserve"> </w:t>
      </w:r>
      <w:r w:rsidR="4EB4542C">
        <w:rPr/>
        <w:t>alla luce degli articoli 7, 8 e</w:t>
      </w:r>
      <w:r w:rsidR="1DE720A6">
        <w:rPr/>
        <w:t xml:space="preserve"> </w:t>
      </w:r>
      <w:r w:rsidR="4EB4542C">
        <w:rPr/>
        <w:t>11 nonché dell’articolo 52, paragrafo 1, della Carta</w:t>
      </w:r>
      <w:r w:rsidR="714DFC3D">
        <w:rPr/>
        <w:t>.</w:t>
      </w:r>
      <w:r w:rsidRPr="3C65CC7C">
        <w:rPr>
          <w:rStyle w:val="Rimandonotaapidipagina"/>
        </w:rPr>
        <w:footnoteReference w:id="15292"/>
      </w:r>
    </w:p>
    <w:p w:rsidR="00B04998" w:rsidP="0B601909" w:rsidRDefault="315D786B" w14:paraId="004990D6" w14:textId="662CA8E3">
      <w:pPr>
        <w:spacing w:after="0"/>
      </w:pPr>
      <w:r>
        <w:t>Per quanto concerne la procedura del sequestro probatorio italiano, il punto di</w:t>
      </w:r>
      <w:r w:rsidR="4BB8D1F5">
        <w:t xml:space="preserve"> </w:t>
      </w:r>
      <w:r>
        <w:t>rottura con la normativa europea è la qualità dell’autorità che permette l’accesso ai</w:t>
      </w:r>
      <w:r w:rsidR="11AB872A">
        <w:t xml:space="preserve"> </w:t>
      </w:r>
      <w:r>
        <w:t>dati (Sentenza del 2 marzo 2021, Causa C-746/18, H.K. contro Prokuratuur).</w:t>
      </w:r>
    </w:p>
    <w:p w:rsidR="00B04998" w:rsidP="0B601909" w:rsidRDefault="315D786B" w14:paraId="12DB04A6" w14:textId="49C520EC">
      <w:pPr>
        <w:spacing w:after="0"/>
      </w:pPr>
      <w:r>
        <w:t>Con questa sentenza la Corte di Giustizia ha espresso dei principi validi quando</w:t>
      </w:r>
      <w:r w:rsidR="0670BBCF">
        <w:t xml:space="preserve"> </w:t>
      </w:r>
      <w:r>
        <w:t>l’accesso ai dati digitali permette di trarre conclusioni sulla vita privata dell’individuo</w:t>
      </w:r>
      <w:r w:rsidR="36A15974">
        <w:t xml:space="preserve">. </w:t>
      </w:r>
    </w:p>
    <w:p w:rsidR="00B04998" w:rsidP="14BE013E" w:rsidRDefault="36A15974" w14:paraId="68CC7E82" w14:textId="6E48782A">
      <w:pPr>
        <w:spacing w:after="240"/>
      </w:pPr>
      <w:r w:rsidRPr="7C76CC8B">
        <w:rPr>
          <w:rFonts w:eastAsia="Aptos" w:cs="Aptos"/>
        </w:rPr>
        <w:t xml:space="preserve">In primis ripercorrendo i principi delineati nella propria giurisprudenza in tema di </w:t>
      </w:r>
      <w:r w:rsidRPr="7C76CC8B">
        <w:rPr>
          <w:rFonts w:eastAsia="Aptos" w:cs="Aptos"/>
          <w:i/>
          <w:iCs/>
        </w:rPr>
        <w:t xml:space="preserve">data retention </w:t>
      </w:r>
      <w:r w:rsidRPr="7C76CC8B">
        <w:rPr>
          <w:rFonts w:eastAsia="Aptos" w:cs="Aptos"/>
        </w:rPr>
        <w:t xml:space="preserve">e richiamando soprattutto le più recenti decisioni del 6 ottobre 2020, i giudici di Lussemburgo chiariscono preliminarmente che le operazioni di accesso possono essere consentite solo qualora la conservazione dei metadati stessi sia conforme all’art. 15 Direttiva </w:t>
      </w:r>
      <w:r w:rsidRPr="7C76CC8B">
        <w:rPr>
          <w:rFonts w:eastAsia="Aptos" w:cs="Aptos"/>
          <w:i/>
          <w:iCs/>
        </w:rPr>
        <w:t>e-Privacy</w:t>
      </w:r>
      <w:r w:rsidRPr="7C76CC8B">
        <w:rPr>
          <w:rFonts w:eastAsia="Aptos" w:cs="Aptos"/>
        </w:rPr>
        <w:t xml:space="preserve">; viene così colta l’occasione per ribadire la significativa conferma fornita dalle attese pronunce </w:t>
      </w:r>
      <w:r w:rsidRPr="7C76CC8B">
        <w:rPr>
          <w:rFonts w:eastAsia="Aptos" w:cs="Aptos"/>
          <w:i/>
          <w:iCs/>
        </w:rPr>
        <w:t xml:space="preserve">La Quadrature du Net </w:t>
      </w:r>
      <w:r w:rsidRPr="7C76CC8B">
        <w:rPr>
          <w:rFonts w:eastAsia="Aptos" w:cs="Aptos"/>
        </w:rPr>
        <w:t xml:space="preserve">e </w:t>
      </w:r>
      <w:r w:rsidRPr="7C76CC8B">
        <w:rPr>
          <w:rFonts w:eastAsia="Aptos" w:cs="Aptos"/>
          <w:i/>
          <w:iCs/>
        </w:rPr>
        <w:t>Privacy International</w:t>
      </w:r>
      <w:r w:rsidRPr="7C76CC8B">
        <w:rPr>
          <w:rFonts w:eastAsia="Aptos" w:cs="Aptos"/>
        </w:rPr>
        <w:t xml:space="preserve">, ovvero la chiara e ormai incontrovertibile incompatibilità con il diritto dell’UE di una forma di conservazione generalizzata e indiscriminata dei dati di traffico e di ubicazione. Come a dire, nuovamente, che è lo strumento prodromico e funzionale all’accesso, quello cioè della </w:t>
      </w:r>
      <w:r w:rsidRPr="7C76CC8B">
        <w:rPr>
          <w:rFonts w:eastAsia="Aptos" w:cs="Aptos"/>
          <w:i/>
          <w:iCs/>
        </w:rPr>
        <w:t>retention</w:t>
      </w:r>
      <w:r w:rsidRPr="7C76CC8B">
        <w:rPr>
          <w:rFonts w:eastAsia="Aptos" w:cs="Aptos"/>
        </w:rPr>
        <w:t>, a dover essere in primo luogo legittimo</w:t>
      </w:r>
      <w:r w:rsidRPr="7C76CC8B" w:rsidR="4C5C47CF">
        <w:rPr>
          <w:rStyle w:val="Rimandonotaapidipagina"/>
          <w:rFonts w:eastAsia="Aptos" w:cs="Aptos"/>
        </w:rPr>
        <w:footnoteReference w:id="18"/>
      </w:r>
      <w:r w:rsidRPr="7C76CC8B">
        <w:rPr>
          <w:rFonts w:eastAsia="Aptos" w:cs="Aptos"/>
        </w:rPr>
        <w:t>.</w:t>
      </w:r>
      <w:r w:rsidRPr="7C76CC8B" w:rsidR="0E505F95">
        <w:rPr>
          <w:rFonts w:eastAsia="Aptos" w:cs="Aptos"/>
        </w:rPr>
        <w:t xml:space="preserve"> Passando poi più specificamente all’impiego dei metadati da parte della autorità pubbliche, i giudici riaffermano il necessario parallelismo tra gravità dell’ingerenza nella sfera privata e importanza dell’obiettivo di interesse generale che, tramite l’accesso ai dati, si vuole perseguire. Ne deriva pertanto che, nel caso in cui si vogliano trattare dati relativi al traffico e all’ubicazione, solo la lotta alla criminalità grave o la presenza di gravi minacce alla sicurezza pubblica possono giustificare l’accesso da parte di autorità pubbliche: questo perché, come del resto già emerso nella previa giurisprudenza in materia, tale particolare categoria di dati consente di conoscere la vita privata dell’utente e di dedurne abitudini, relazioni sociali o frequentazione di luoghi, costituendo quindi una ingerenza grave. A nulla devono rilevare, in questa analisi, la durata del periodo per il quale viene chiesto l’accesso o la quantità di dati interessati, considerando che anche l’accesso a un quantitativo limitato di dati relativi al traffico o di dati relativi all’ubicazione, oppure l’accesso a dati per un breve periodo, risultano comunque idonei a fornire precise informazioni sulla vita privata dell’utente. L’ingerenza nei diritti fondamentali derivante dall’accesso a dati di traffico e ubicazione, in conclusione, è tale da assumere in ogni caso quel carattere di gravità che richiede necessariamente un obiettivo ‘rafforzato’, da indentificarsi appunto nei soli reati o minacce gravi.</w:t>
      </w:r>
      <w:r w:rsidRPr="7C76CC8B" w:rsidR="50EACE30">
        <w:rPr>
          <w:rFonts w:eastAsia="Aptos" w:cs="Aptos"/>
        </w:rPr>
        <w:t xml:space="preserve"> Alla luce di questi principi, la normativa estone risulta particolarmente problematica: secondo tale legislazione, infatti, l’accesso ai dati può essere richiesto per qualsiasi tipo di reato, senza specificazione circa la gravità dell’obiettivo perseguito. Ciò apre inevitabilmente, nello specifico caso da cui il rinvio origina, a questioni riguardanti l’ammissibilità dei processi verbali redatti in base ai metadati raccolti e trattati sulla base di una disposizione nazionale in contrasto con l’art. 15 Direttiva </w:t>
      </w:r>
      <w:r w:rsidRPr="7C76CC8B" w:rsidR="50EACE30">
        <w:rPr>
          <w:rFonts w:eastAsia="Aptos" w:cs="Aptos"/>
          <w:i/>
          <w:iCs/>
        </w:rPr>
        <w:t>e-Privacy</w:t>
      </w:r>
      <w:r w:rsidRPr="7C76CC8B" w:rsidR="50EACE30">
        <w:rPr>
          <w:rFonts w:eastAsia="Aptos" w:cs="Aptos"/>
        </w:rPr>
        <w:t xml:space="preserve">. Su questo fronte, la CGUE ribadisce quanto già emerso nella pronuncia </w:t>
      </w:r>
      <w:r w:rsidRPr="7C76CC8B" w:rsidR="50EACE30">
        <w:rPr>
          <w:rFonts w:eastAsia="Aptos" w:cs="Aptos"/>
          <w:i/>
          <w:iCs/>
        </w:rPr>
        <w:t>La Quadrature du Net</w:t>
      </w:r>
      <w:r w:rsidRPr="7C76CC8B" w:rsidR="50EACE30">
        <w:rPr>
          <w:rFonts w:eastAsia="Aptos" w:cs="Aptos"/>
        </w:rPr>
        <w:t>: spetta al solo diritto nazionale il compito di stabilire regole relative all’ammissibilità di informazioni ed elementi di prova ottenuti, nell’ambito di un procedimento penale, mediante forme di conservazione o accesso non conformi al diritto dell’UE. Ciò a condizione che tali regole rispettino però il principio di effettività, il principio del contraddittorio e il diritto all’equo processo.</w:t>
      </w:r>
    </w:p>
    <w:p w:rsidR="00B04998" w:rsidP="14BE013E" w:rsidRDefault="705C8D7F" w14:paraId="3427D9A4" w14:textId="09603BFF">
      <w:pPr>
        <w:spacing w:after="240"/>
      </w:pPr>
      <w:r w:rsidRPr="14BE013E">
        <w:rPr>
          <w:rFonts w:eastAsia="Aptos" w:cs="Aptos"/>
        </w:rPr>
        <w:t>Definita questa prima questione di fondo, la Corte di giustizia dell’Unione europea passa ad affrontare un ulteriore profilo sollevato dal giudice estone, relativo alla qualificazione dell’“indipendenza” dell’autorità chiamata a svolgere il controllo preventivo di legittimità sull’accesso ai dati. Sebbene tale verifica costituisca ormai un requisito consolidato nella giurisprudenza della CGUE, i giudici di Lussemburgo non avevano ancora chiarito in modo puntuale i tratti distintivi della nozione di indipendenza. Il rinvio in esame offre quindi l’occasione per precisare ulteriormente questo parametro e approfondire la disciplina dell’accesso.</w:t>
      </w:r>
    </w:p>
    <w:p w:rsidR="00B04998" w:rsidP="7C76CC8B" w:rsidRDefault="705C8D7F" w14:paraId="0386CD54" w14:textId="08F27590">
      <w:pPr>
        <w:spacing w:before="240" w:after="240"/>
        <w:rPr>
          <w:rFonts w:ascii="Aptos" w:hAnsi="Aptos" w:eastAsia="Aptos" w:cs="Aptos"/>
        </w:rPr>
      </w:pPr>
      <w:r w:rsidRPr="7C76CC8B">
        <w:rPr>
          <w:rFonts w:eastAsia="Aptos" w:cs="Aptos"/>
        </w:rPr>
        <w:t>Nel caso specifico, la normativa estone — in modo analogo a quella italiana — individua nel pubblico ministero il soggetto competente per il controllo preventivo. Quest’ultimo, pur essendo vincolato esclusivamente alla legge e tenuto a valutare sia gli elementi a carico sia quelli a favore dell’indagato durante la fase istruttoria, è al contempo incaricato di raccogliere prove in vista di un eventuale processo penale. Proprio tali caratteristiche hanno sollevato dubbi circa la sua effettiva indipendenza, in particolare riguardo alla possibilità di operare in modo obiettivo e imparziale, senza condizionamenti esterni.</w:t>
      </w:r>
      <w:r w:rsidRPr="7C76CC8B" w:rsidR="4C5C47CF">
        <w:rPr>
          <w:rStyle w:val="Rimandonotaapidipagina"/>
          <w:rFonts w:eastAsia="Aptos" w:cs="Aptos"/>
        </w:rPr>
        <w:footnoteReference w:id="19"/>
      </w:r>
    </w:p>
    <w:p w:rsidR="00B04998" w:rsidP="14BE013E" w:rsidRDefault="705C8D7F" w14:paraId="6856E662" w14:textId="5AA2A909">
      <w:pPr>
        <w:spacing w:before="240" w:after="240"/>
      </w:pPr>
      <w:r w:rsidRPr="14BE013E">
        <w:rPr>
          <w:rFonts w:eastAsia="Aptos" w:cs="Aptos"/>
        </w:rPr>
        <w:t>Secondo la CGUE, il requisito dell’indipendenza implica che l’autorità incaricata del controllo preventivo sia capace di assicurare un equo bilanciamento tra le esigenze investigative connesse alla repressione dei reati e la tutela dei diritti fondamentali, quali la vita privata e la protezione dei dati personali dei soggetti interessati dall’accesso. Da questa impostazione deriva che tale autorità deve essere distinta e separata rispetto a quella che richiede l’accesso ai dati, così da garantire un controllo effettivamente imparziale e oggettivo.</w:t>
      </w:r>
    </w:p>
    <w:p w:rsidR="00B04998" w:rsidP="7C76CC8B" w:rsidRDefault="705C8D7F" w14:paraId="0E091D40" w14:textId="41C07C26">
      <w:pPr>
        <w:spacing w:before="240" w:after="240"/>
        <w:rPr>
          <w:rFonts w:ascii="Aptos" w:hAnsi="Aptos" w:eastAsia="Aptos" w:cs="Aptos"/>
        </w:rPr>
      </w:pPr>
      <w:r w:rsidRPr="7C76CC8B">
        <w:rPr>
          <w:rFonts w:eastAsia="Aptos" w:cs="Aptos"/>
        </w:rPr>
        <w:t>La necessaria terzietà comporta, in particolare, che l’autorità di controllo non partecipi alla conduzione dell’indagine penale e mantenga una posizione neutrale rispetto alle parti del procedimento. Alla luce di tali criteri, la figura del pubblico ministero non appare idonea a soddisfare il requisito di indipendenza: la sua funzione, infatti, consiste nel valutare se promuovere l’azione penale sulla base degli elementi raccolti, collocandolo quindi non come soggetto terzo, ma come parte del procedimento.</w:t>
      </w:r>
      <w:r w:rsidRPr="7C76CC8B" w:rsidR="4C5C47CF">
        <w:rPr>
          <w:rStyle w:val="Rimandonotaapidipagina"/>
          <w:rFonts w:eastAsia="Aptos" w:cs="Aptos"/>
        </w:rPr>
        <w:footnoteReference w:id="20"/>
      </w:r>
    </w:p>
    <w:p w:rsidR="00B04998" w:rsidP="7C76CC8B" w:rsidRDefault="705C8D7F" w14:paraId="7D0466B4" w14:textId="2030A97C">
      <w:pPr>
        <w:spacing w:before="240" w:after="240"/>
        <w:rPr>
          <w:rFonts w:ascii="Aptos" w:hAnsi="Aptos" w:eastAsia="Aptos" w:cs="Aptos"/>
        </w:rPr>
      </w:pPr>
      <w:r w:rsidRPr="7C76CC8B">
        <w:rPr>
          <w:rFonts w:eastAsia="Aptos" w:cs="Aptos"/>
        </w:rPr>
        <w:t>Muovendo da queste considerazioni, la Corte esclude che il requisito del controllo indipendente possa ritenersi soddisfatto nei casi in cui tale funzione sia cumulata in capo al pubblico ministero. Inoltre, viene chiarito un ulteriore aspetto di rilievo: l’eventuale mancanza di un controllo preventivo non può essere compensata da un controllo giurisdizionale successivo. Un intervento ex post, infatti, non è idoneo a garantire l’obiettivo proprio del controllo preventivo, ossia evitare che l’accesso ai dati — e quindi la compressione dei diritti fondamentali — ecceda quanto strettamente necessario.</w:t>
      </w:r>
      <w:r w:rsidRPr="7C76CC8B" w:rsidR="4C5C47CF">
        <w:rPr>
          <w:rStyle w:val="Rimandonotaapidipagina"/>
          <w:rFonts w:eastAsia="Aptos" w:cs="Aptos"/>
        </w:rPr>
        <w:footnoteReference w:id="21"/>
      </w:r>
    </w:p>
    <w:p w:rsidR="00B04998" w:rsidP="14BE013E" w:rsidRDefault="705C8D7F" w14:paraId="4E1266D2" w14:textId="31039265">
      <w:pPr>
        <w:spacing w:before="240" w:after="240"/>
      </w:pPr>
      <w:r w:rsidRPr="14BE013E">
        <w:rPr>
          <w:rFonts w:eastAsia="Aptos" w:cs="Aptos"/>
        </w:rPr>
        <w:t>Con tale affermazione, la CGUE prende le distanze dall’orientamento della Corte EDU espresso nella sentenza Szabo, relativa alla sorveglianza delle comunicazioni, in cui si ammette, a determinate condizioni, la legittimità dell’assenza di un controllo preventivo qualora sia previsto un controllo giurisdizionale successivo. Viene così respinta una visione “compensativa” delle garanzie, secondo cui eventuali carenze possano essere bilanciate dalla presenza di altri strumenti di tutela. Una posizione analoga era già stata sostenuta dall’Avvocato generale Campos Sánchez-Bordona nei casi La Quadrature du Net e Privacy International, con riferimento all’illegittimità della conservazione generalizzata dei dati anche se accompagnata da maggiori garanzie nella fase di accesso.</w:t>
      </w:r>
    </w:p>
    <w:p w:rsidR="00B04998" w:rsidP="14BE013E" w:rsidRDefault="705C8D7F" w14:paraId="50D1A257" w14:textId="78D03342">
      <w:pPr>
        <w:spacing w:before="240" w:after="240"/>
      </w:pPr>
      <w:r w:rsidRPr="14BE013E">
        <w:rPr>
          <w:rFonts w:eastAsia="Aptos" w:cs="Aptos"/>
        </w:rPr>
        <w:t>Infine, la Corte ribadisce che le normative nazionali devono comunque rispettare il principio di proporzionalità. Ciò implica, tra l’altro, la previsione di criteri oggettivi che consentano di stabilire un collegamento — anche indiretto — tra l’accesso ai dati e la finalità perseguita, limitando l’ingerenza ai soli dati riferibili a soggetti sospettati di aver commesso, progettato o partecipato a reati gravi. Viene così ulteriormente precisato il divieto di accessi generalizzati o di natura esplorativa.</w:t>
      </w:r>
    </w:p>
    <w:p w:rsidR="00B04998" w:rsidP="14BE013E" w:rsidRDefault="705C8D7F" w14:paraId="21E185D5" w14:textId="4BB0A85A">
      <w:pPr>
        <w:spacing w:before="240" w:after="240"/>
      </w:pPr>
      <w:r w:rsidRPr="14BE013E">
        <w:rPr>
          <w:rFonts w:eastAsia="Aptos" w:cs="Aptos"/>
        </w:rPr>
        <w:t>Un’eccezione è ammessa soltanto in presenza di minacce gravi alla sicurezza nazionale, alla difesa o alla sicurezza pubblica, come nel caso del terrorismo. In tali circostanze eccezionali, l’accesso può essere autorizzato anche in assenza di un sospetto individualizzato, purché sussistano elementi oggettivi che ne dimostrino l’utilità concreta. Si conferma quindi un parziale allentamento — comunque condizionato — dei rigorosi requisiti fissati dalla CGUE quando entrano in gioco esigenze di sicurezza nazionale, in linea con quanto già affermato nelle pronunce dell’ottobre 2020 in materia di conservazione dei dati.</w:t>
      </w:r>
    </w:p>
    <w:p w:rsidR="00B04998" w:rsidP="14BE013E" w:rsidRDefault="4C5C47CF" w14:paraId="3CAE1598" w14:textId="76087541">
      <w:pPr>
        <w:spacing w:before="240" w:after="240"/>
      </w:pPr>
      <w:r>
        <w:t>Nel nostro ordinamento il Pubblico Ministero è parte del procedimento e titolare dell’azione penale; pertanto, non può esercitare un controllo preventivo effettivo, imparziale e oggettivo sull’invasività della misura. In virtù dei principi sanciti dalla CGUE, solo un giudice, invece, o un organo amministrativo indipendente sarebbe in</w:t>
      </w:r>
      <w:r w:rsidR="5C5A3405">
        <w:t xml:space="preserve"> </w:t>
      </w:r>
      <w:r>
        <w:t>grado di bilanciare gli interessi in gioco.</w:t>
      </w:r>
    </w:p>
    <w:p w:rsidR="00B04998" w:rsidP="0B601909" w:rsidRDefault="4C5C47CF" w14:paraId="1F55ABD9" w14:textId="184D3DB8">
      <w:pPr>
        <w:spacing w:after="0"/>
      </w:pPr>
      <w:r>
        <w:t>Per quanto concerne il periodo di conservazione dei dati personali (”data retention”), il legislatore italiano ha risolto con il D.L. 132/2021, sottraendo il potere al PM</w:t>
      </w:r>
      <w:r w:rsidR="3724ED6A">
        <w:t xml:space="preserve"> </w:t>
      </w:r>
      <w:r>
        <w:t xml:space="preserve">in favore del G.I.P. o del Tribunale in fase di indagine. </w:t>
      </w:r>
    </w:p>
    <w:p w:rsidR="00B04998" w:rsidP="0B601909" w:rsidRDefault="4C5C47CF" w14:paraId="221442CD" w14:textId="3CB781EC">
      <w:pPr>
        <w:spacing w:after="0"/>
      </w:pPr>
      <w:r>
        <w:t>Rimane però il problema per</w:t>
      </w:r>
      <w:r w:rsidR="09059894">
        <w:t xml:space="preserve"> </w:t>
      </w:r>
      <w:r>
        <w:t>il sequestro probatorio di materiale informatico durante la fase di indagine e nel caso</w:t>
      </w:r>
      <w:r w:rsidR="1F8933C0">
        <w:t xml:space="preserve"> </w:t>
      </w:r>
      <w:r>
        <w:t>del sequestro d’urgenza.</w:t>
      </w:r>
    </w:p>
    <w:p w:rsidR="00B04998" w:rsidP="0B601909" w:rsidRDefault="315D786B" w14:paraId="7882D91B" w14:textId="2DB7E1B8">
      <w:pPr>
        <w:spacing w:after="0"/>
      </w:pPr>
      <w:r>
        <w:t>L’Art. 354 comma 2 c.p.p. prevede la possibilità di eseguire un sequestro d’urgenza</w:t>
      </w:r>
      <w:r w:rsidR="16681A2D">
        <w:t xml:space="preserve"> </w:t>
      </w:r>
      <w:r>
        <w:t>ad opera della polizia giudiziaria (senza controllo preventivo), cui segue la convalida</w:t>
      </w:r>
      <w:r w:rsidR="63D26BF9">
        <w:t xml:space="preserve"> </w:t>
      </w:r>
      <w:r>
        <w:t>del PM e solo dopo quest’ultima sarà possibile il Riesame del Tribunale della libertà</w:t>
      </w:r>
      <w:r w:rsidR="7158E9B5">
        <w:t xml:space="preserve"> </w:t>
      </w:r>
      <w:r>
        <w:t xml:space="preserve">(controllo successivo). </w:t>
      </w:r>
    </w:p>
    <w:p w:rsidR="00B04998" w:rsidP="0B601909" w:rsidRDefault="4C5C47CF" w14:paraId="11033CC9" w14:textId="76DB423C">
      <w:pPr>
        <w:spacing w:after="0"/>
      </w:pPr>
      <w:r w:rsidRPr="736B7F6C">
        <w:t>La giurisprudenza della Corte di Giustizia dell’Unione Europea</w:t>
      </w:r>
      <w:r w:rsidRPr="736B7F6C" w:rsidR="00844A9D">
        <w:rPr>
          <w:rStyle w:val="Rimandonotaapidipagina"/>
        </w:rPr>
        <w:footnoteReference w:id="22"/>
      </w:r>
      <w:r w:rsidRPr="736B7F6C" w:rsidR="62517CDA">
        <w:t xml:space="preserve"> </w:t>
      </w:r>
      <w:r w:rsidRPr="736B7F6C">
        <w:t>ci dice però che la convalida del PM non soddisfa la necessità di un controllo preventivo</w:t>
      </w:r>
      <w:r w:rsidRPr="736B7F6C" w:rsidR="03AB3548">
        <w:t xml:space="preserve"> </w:t>
      </w:r>
      <w:r w:rsidRPr="736B7F6C">
        <w:t xml:space="preserve">indipendente. </w:t>
      </w:r>
    </w:p>
    <w:p w:rsidR="00B04998" w:rsidP="0B601909" w:rsidRDefault="4C5C47CF" w14:paraId="24CC1C67" w14:textId="65820769">
      <w:pPr>
        <w:spacing w:after="0"/>
      </w:pPr>
      <w:r>
        <w:t>In pratica, la Pubblica Accusa ha un interesse a procedere e, allo stesso</w:t>
      </w:r>
      <w:r w:rsidR="656ACEE4">
        <w:t xml:space="preserve"> </w:t>
      </w:r>
      <w:r>
        <w:t>tempo, è chiamata ad un controllo preventivo di legalità e proporzionalità, erodendo</w:t>
      </w:r>
      <w:r w:rsidR="6C49FE1F">
        <w:t xml:space="preserve"> </w:t>
      </w:r>
      <w:r>
        <w:t>in modo significativo la necessaria garanzia preventiva.</w:t>
      </w:r>
    </w:p>
    <w:p w:rsidR="69039367" w:rsidP="0B601909" w:rsidRDefault="69039367" w14:paraId="76147409" w14:textId="72AF39EF">
      <w:pPr>
        <w:spacing w:after="0"/>
      </w:pPr>
    </w:p>
    <w:p w:rsidR="579CD06E" w:rsidP="0B601909" w:rsidRDefault="579CD06E" w14:paraId="49A1BC08" w14:textId="080E6425">
      <w:pPr>
        <w:spacing w:after="0"/>
      </w:pPr>
      <w:r w:rsidRPr="0B601909">
        <w:rPr>
          <w:rFonts w:eastAsia="Aptos" w:cs="Aptos"/>
        </w:rPr>
        <w:t>L'attuale quadro normativo italiano in materia di sequestro probatorio digitale appare pertanto in tensione con le direttive europee, in particolare con la Direttiva n. 680 del 2016</w:t>
      </w:r>
      <w:r w:rsidRPr="0B601909" w:rsidR="46EBE087">
        <w:rPr>
          <w:rFonts w:eastAsia="Aptos" w:cs="Aptos"/>
        </w:rPr>
        <w:t xml:space="preserve"> che per l’appunto disciplina il trattamento di dati personali da parte delle autorità giudiziarie e di polizia in materia penale e pone limiti e garanzie che incidono direttamente sul sequestro probatorio di dati e dispositivi informatici. </w:t>
      </w:r>
      <w:r w:rsidRPr="0B601909" w:rsidR="7B7D911E">
        <w:rPr>
          <w:rFonts w:eastAsia="Aptos" w:cs="Aptos"/>
        </w:rPr>
        <w:t xml:space="preserve">Tale direttiva contiene tre principi fondamentali: </w:t>
      </w:r>
    </w:p>
    <w:p w:rsidR="7B7D911E" w:rsidP="0B601909" w:rsidRDefault="7B7D911E" w14:paraId="6614508E" w14:textId="38DA44BF">
      <w:pPr>
        <w:pStyle w:val="Paragrafoelenco"/>
        <w:numPr>
          <w:ilvl w:val="0"/>
          <w:numId w:val="1"/>
        </w:numPr>
        <w:spacing w:after="0" w:line="360" w:lineRule="auto"/>
        <w:ind w:left="0"/>
        <w:contextualSpacing w:val="0"/>
        <w:jc w:val="both"/>
      </w:pPr>
      <w:r w:rsidRPr="0B601909">
        <w:rPr>
          <w:rFonts w:ascii="Times New Roman" w:hAnsi="Times New Roman"/>
        </w:rPr>
        <w:t>il trattamento è ammesso solo per finalità connesse alla prevenzione, accertamento o repressione dei reati; richiede una base giuridica chiara nello Stato membro.</w:t>
      </w:r>
    </w:p>
    <w:p w:rsidR="7B7D911E" w:rsidP="0B601909" w:rsidRDefault="7B7D911E" w14:paraId="60B71B8A" w14:textId="4C4B2E19">
      <w:pPr>
        <w:pStyle w:val="Paragrafoelenco"/>
        <w:numPr>
          <w:ilvl w:val="0"/>
          <w:numId w:val="1"/>
        </w:numPr>
        <w:spacing w:after="0" w:line="360" w:lineRule="auto"/>
        <w:ind w:left="0"/>
        <w:contextualSpacing w:val="0"/>
        <w:jc w:val="both"/>
      </w:pPr>
      <w:r w:rsidRPr="0B601909">
        <w:rPr>
          <w:rFonts w:ascii="Times New Roman" w:hAnsi="Times New Roman"/>
        </w:rPr>
        <w:t>Le misure che limitano i diritti dei soggetti (es. accesso ai dati contenuti in uno smartphone) devono essere necessarie e proporzionali rispetto allo scopo investigativo</w:t>
      </w:r>
    </w:p>
    <w:p w:rsidR="7B7D911E" w:rsidP="0B601909" w:rsidRDefault="7B7D911E" w14:paraId="2B95ECEA" w14:textId="7EB6584D">
      <w:pPr>
        <w:pStyle w:val="Paragrafoelenco"/>
        <w:numPr>
          <w:ilvl w:val="0"/>
          <w:numId w:val="1"/>
        </w:numPr>
        <w:spacing w:after="0" w:line="360" w:lineRule="auto"/>
        <w:ind w:left="0"/>
        <w:contextualSpacing w:val="0"/>
        <w:jc w:val="both"/>
      </w:pPr>
      <w:r w:rsidRPr="0B601909">
        <w:rPr>
          <w:rFonts w:ascii="Times New Roman" w:hAnsi="Times New Roman"/>
        </w:rPr>
        <w:t>La direttiva richiede regole chiare su quando e come i dati possono essere trattati, nonché garanzie procedurali contro abusi.</w:t>
      </w:r>
    </w:p>
    <w:p w:rsidR="579CD06E" w:rsidP="0B601909" w:rsidRDefault="579CD06E" w14:paraId="5B4B8060" w14:textId="32D3B6CD">
      <w:pPr>
        <w:spacing w:after="0"/>
      </w:pPr>
      <w:r w:rsidRPr="683619D8">
        <w:rPr>
          <w:rFonts w:eastAsia="Aptos" w:cs="Aptos"/>
        </w:rPr>
        <w:t>Secondo la Corte di Giustizia UE</w:t>
      </w:r>
      <w:r w:rsidRPr="683619D8">
        <w:rPr>
          <w:rStyle w:val="Rimandonotaapidipagina"/>
          <w:rFonts w:eastAsia="Aptos" w:cs="Aptos"/>
        </w:rPr>
        <w:footnoteReference w:id="23"/>
      </w:r>
      <w:r w:rsidRPr="683619D8">
        <w:rPr>
          <w:rFonts w:eastAsia="Aptos" w:cs="Aptos"/>
        </w:rPr>
        <w:t xml:space="preserve">, l'accesso ai dati personali per fini investigativi, data la sua natura invasiva, richiede un controllo preventivo da parte di un giudice o di un ente terzo indipendente. </w:t>
      </w:r>
    </w:p>
    <w:p w:rsidR="579CD06E" w:rsidP="0B601909" w:rsidRDefault="579CD06E" w14:paraId="3CAEF6F8" w14:textId="1374B217">
      <w:pPr>
        <w:spacing w:after="0"/>
      </w:pPr>
      <w:r w:rsidRPr="0B601909">
        <w:rPr>
          <w:rFonts w:eastAsia="Aptos" w:cs="Aptos"/>
        </w:rPr>
        <w:t xml:space="preserve">Questo serve a garantire che il principio di proporzionalità sia rispettato </w:t>
      </w:r>
      <w:r w:rsidRPr="0B601909">
        <w:rPr>
          <w:rFonts w:eastAsia="Aptos" w:cs="Aptos"/>
          <w:i/>
          <w:iCs/>
        </w:rPr>
        <w:t>prima</w:t>
      </w:r>
      <w:r w:rsidRPr="0B601909">
        <w:rPr>
          <w:rFonts w:eastAsia="Aptos" w:cs="Aptos"/>
        </w:rPr>
        <w:t xml:space="preserve"> che l’ingerenza avvenga, e non solo in una fase successiva.</w:t>
      </w:r>
    </w:p>
    <w:p w:rsidR="579CD06E" w:rsidP="0B601909" w:rsidRDefault="579CD06E" w14:paraId="54EEBE50" w14:textId="36F73DE0">
      <w:pPr>
        <w:spacing w:after="0"/>
        <w:rPr>
          <w:rFonts w:ascii="Aptos" w:hAnsi="Aptos" w:eastAsia="Aptos" w:cs="Aptos"/>
        </w:rPr>
      </w:pPr>
      <w:r w:rsidRPr="0B601909">
        <w:rPr>
          <w:rFonts w:eastAsia="Aptos" w:cs="Aptos"/>
        </w:rPr>
        <w:t xml:space="preserve">In Italia, tuttavia, l’art. 253 c.p.p. attribuisce ancora al Pubblico Ministero il potere di disporre il sequestro in autonomia. </w:t>
      </w:r>
    </w:p>
    <w:p w:rsidR="579CD06E" w:rsidP="0B601909" w:rsidRDefault="579CD06E" w14:paraId="4425E8D9" w14:textId="3CD6EC24">
      <w:pPr>
        <w:spacing w:after="0"/>
        <w:rPr>
          <w:rFonts w:ascii="Aptos" w:hAnsi="Aptos" w:eastAsia="Aptos" w:cs="Aptos"/>
        </w:rPr>
      </w:pPr>
      <w:r w:rsidRPr="0B601909">
        <w:rPr>
          <w:rFonts w:eastAsia="Aptos" w:cs="Aptos"/>
        </w:rPr>
        <w:t>La giurisprudenza della Cassazione del 2025 ha mostrato posizioni oscillanti:</w:t>
      </w:r>
    </w:p>
    <w:p w:rsidR="579CD06E" w:rsidP="0B601909" w:rsidRDefault="579CD06E" w14:paraId="4164A22C" w14:textId="07AEFA23">
      <w:pPr>
        <w:pStyle w:val="Paragrafoelenco"/>
        <w:numPr>
          <w:ilvl w:val="0"/>
          <w:numId w:val="3"/>
        </w:numPr>
        <w:spacing w:after="0" w:line="360" w:lineRule="auto"/>
        <w:ind w:left="0"/>
        <w:contextualSpacing w:val="0"/>
        <w:jc w:val="both"/>
      </w:pPr>
      <w:r w:rsidRPr="683619D8">
        <w:rPr>
          <w:rFonts w:ascii="Times New Roman" w:hAnsi="Times New Roman" w:eastAsia="Aptos" w:cs="Aptos"/>
        </w:rPr>
        <w:t>Da un lato, la sentenza n. 8376</w:t>
      </w:r>
      <w:r w:rsidRPr="683619D8" w:rsidR="0664422C">
        <w:rPr>
          <w:rFonts w:ascii="Times New Roman" w:hAnsi="Times New Roman" w:eastAsia="Aptos" w:cs="Aptos"/>
        </w:rPr>
        <w:t xml:space="preserve"> </w:t>
      </w:r>
      <w:r w:rsidRPr="683619D8">
        <w:rPr>
          <w:rStyle w:val="Rimandonotaapidipagina"/>
          <w:rFonts w:ascii="Times New Roman" w:hAnsi="Times New Roman" w:eastAsia="Aptos" w:cs="Aptos"/>
        </w:rPr>
        <w:footnoteReference w:id="24"/>
      </w:r>
      <w:r w:rsidRPr="683619D8">
        <w:rPr>
          <w:rFonts w:ascii="Times New Roman" w:hAnsi="Times New Roman" w:eastAsia="Aptos" w:cs="Aptos"/>
        </w:rPr>
        <w:t xml:space="preserve"> ha difeso la legittimità del ruolo del PM, ritenendolo un organo sufficientemente autonomo.</w:t>
      </w:r>
      <w:r w:rsidRPr="724BBCB0" w:rsidR="19F1D794">
        <w:rPr>
          <w:rFonts w:ascii="Times New Roman" w:hAnsi="Times New Roman" w:eastAsia="Aptos" w:cs="Aptos"/>
        </w:rPr>
        <w:t xml:space="preserve"> </w:t>
      </w:r>
      <w:r w:rsidRPr="724BBCB0" w:rsidR="19F1D794">
        <w:rPr>
          <w:rFonts w:ascii="Times New Roman" w:hAnsi="Times New Roman"/>
        </w:rPr>
        <w:t>In questa sentenza l'imputato Longo Luigi ricorre contro il rigetto del Tribunale del Riesame di Ancona sul sequestro di un dispositivo informatico disposto dal PM nell'ambito di indagini preliminari. La difesa contesta la legittimità del decreto PM, invocando la Direttiva 2016/680 e la giurisprudenza UE che richiederebbe un controllo preventivo indipendente per l'accesso ai dati personali.</w:t>
      </w:r>
      <w:r w:rsidRPr="724BBCB0" w:rsidR="4DBDFCD1">
        <w:rPr>
          <w:rFonts w:ascii="Times New Roman" w:hAnsi="Times New Roman"/>
        </w:rPr>
        <w:t xml:space="preserve"> D</w:t>
      </w:r>
      <w:r w:rsidRPr="724BBCB0" w:rsidR="11E35279">
        <w:rPr>
          <w:rFonts w:ascii="Times New Roman" w:hAnsi="Times New Roman"/>
        </w:rPr>
        <w:t>a questa pronuncia si ricava che il decreto del PM è sufficiente per il sequestro probatorio di computer/smartphone: basta una motivazione che spieghi tipo di reato, condotta dell'indagato, ruolo e difficoltà di delimitare ex ante l'oggetto del sequestro (i dati sono assimilabili a "corrispondenza" ma non richiedono GIP). Non emerge contrasto con diritto UE (Direttiva 2016/680 e art. 52 Carta diritti fondamentali): il PM è un'autorità giudiziaria autonoma, capace di garantire i diritti della difesa.</w:t>
      </w:r>
      <w:r w:rsidRPr="724BBCB0" w:rsidR="73F5A782">
        <w:rPr>
          <w:rFonts w:ascii="Times New Roman" w:hAnsi="Times New Roman"/>
        </w:rPr>
        <w:t xml:space="preserve"> </w:t>
      </w:r>
    </w:p>
    <w:p w:rsidR="579CD06E" w:rsidP="0B601909" w:rsidRDefault="579CD06E" w14:paraId="2DD36ECC" w14:textId="1685568A">
      <w:pPr>
        <w:pStyle w:val="Paragrafoelenco"/>
        <w:numPr>
          <w:ilvl w:val="0"/>
          <w:numId w:val="3"/>
        </w:numPr>
        <w:spacing w:after="0" w:line="360" w:lineRule="auto"/>
        <w:ind w:left="0"/>
        <w:contextualSpacing w:val="0"/>
        <w:jc w:val="both"/>
      </w:pPr>
      <w:r w:rsidRPr="683619D8">
        <w:rPr>
          <w:rFonts w:ascii="Times New Roman" w:hAnsi="Times New Roman" w:eastAsia="Aptos" w:cs="Aptos"/>
        </w:rPr>
        <w:t>Dall'altro, la sentenza n. 13585</w:t>
      </w:r>
      <w:r w:rsidRPr="683619D8" w:rsidR="3FDF8578">
        <w:rPr>
          <w:rFonts w:ascii="Times New Roman" w:hAnsi="Times New Roman" w:eastAsia="Aptos" w:cs="Aptos"/>
        </w:rPr>
        <w:t xml:space="preserve"> </w:t>
      </w:r>
      <w:r w:rsidRPr="683619D8">
        <w:rPr>
          <w:rStyle w:val="Rimandonotaapidipagina"/>
          <w:rFonts w:ascii="Times New Roman" w:hAnsi="Times New Roman" w:eastAsia="Aptos" w:cs="Aptos"/>
        </w:rPr>
        <w:footnoteReference w:id="25"/>
      </w:r>
      <w:r w:rsidRPr="683619D8">
        <w:rPr>
          <w:rFonts w:ascii="Times New Roman" w:hAnsi="Times New Roman" w:eastAsia="Aptos" w:cs="Aptos"/>
        </w:rPr>
        <w:t xml:space="preserve"> ha ammesso il disallineamento con il diritto dell'Unione, pur "salvando" la procedura grazie al controllo </w:t>
      </w:r>
      <w:r w:rsidRPr="7C76CC8B">
        <w:rPr>
          <w:rFonts w:ascii="Times New Roman" w:hAnsi="Times New Roman" w:eastAsia="Aptos" w:cs="Aptos"/>
          <w:i/>
          <w:iCs/>
        </w:rPr>
        <w:t>ex post</w:t>
      </w:r>
      <w:r w:rsidRPr="683619D8">
        <w:rPr>
          <w:rFonts w:ascii="Times New Roman" w:hAnsi="Times New Roman" w:eastAsia="Aptos" w:cs="Aptos"/>
        </w:rPr>
        <w:t xml:space="preserve"> del Tribunale del Riesame.</w:t>
      </w:r>
      <w:r w:rsidRPr="724BBCB0" w:rsidR="7861F8E8">
        <w:rPr>
          <w:rFonts w:ascii="Times New Roman" w:hAnsi="Times New Roman" w:eastAsia="Aptos" w:cs="Aptos"/>
        </w:rPr>
        <w:t xml:space="preserve"> In questa sentenza abbiamo un i</w:t>
      </w:r>
      <w:r w:rsidRPr="724BBCB0" w:rsidR="7861F8E8">
        <w:rPr>
          <w:rFonts w:ascii="Times New Roman" w:hAnsi="Times New Roman"/>
        </w:rPr>
        <w:t xml:space="preserve">ndagato per reati contro la PA: il PM dispone sequestro probatorio di smartphone/computer per acquisire dati personali (comunicazioni, file). l Tribunale del Riesame conferma, ma la difesa ricorre in Cassazione invocando violazione Direttiva 2016/680 e CGUE (C-548/21, La Quadrature du Net II). </w:t>
      </w:r>
      <w:r w:rsidRPr="724BBCB0" w:rsidR="5D2C8509">
        <w:rPr>
          <w:rFonts w:ascii="Times New Roman" w:hAnsi="Times New Roman"/>
        </w:rPr>
        <w:t xml:space="preserve">Il sequestro del dispositivo è possibile con decreto PM motivato (art. 355 cpp), ma l'estrazione/acquisizione dei dati sensibili deve avere autorizzazione GIP o equivalente per una conformità alla legislazione UE (art. 52 Carta diritti fondamentali UE). </w:t>
      </w:r>
      <w:r w:rsidRPr="724BBCB0" w:rsidR="513C90CC">
        <w:rPr>
          <w:rFonts w:ascii="Times New Roman" w:hAnsi="Times New Roman"/>
        </w:rPr>
        <w:t>Viceversa,</w:t>
      </w:r>
      <w:r w:rsidRPr="724BBCB0" w:rsidR="5D2C8509">
        <w:rPr>
          <w:rFonts w:ascii="Times New Roman" w:hAnsi="Times New Roman"/>
        </w:rPr>
        <w:t xml:space="preserve"> </w:t>
      </w:r>
      <w:r w:rsidRPr="724BBCB0" w:rsidR="5DE1F738">
        <w:rPr>
          <w:rFonts w:ascii="Times New Roman" w:hAnsi="Times New Roman"/>
        </w:rPr>
        <w:t>i</w:t>
      </w:r>
      <w:r w:rsidRPr="724BBCB0" w:rsidR="5D2C8509">
        <w:rPr>
          <w:rFonts w:ascii="Times New Roman" w:hAnsi="Times New Roman"/>
        </w:rPr>
        <w:t>n assenza di tale controllo, i dati sono inutilizzabili (nullità a quo); il riesame ex post non sana il vizio.</w:t>
      </w:r>
    </w:p>
    <w:p w:rsidR="579CD06E" w:rsidP="0B601909" w:rsidRDefault="579CD06E" w14:paraId="2FFC5FB0" w14:textId="1E64CB8D">
      <w:pPr>
        <w:spacing w:after="0"/>
        <w:rPr>
          <w:rFonts w:ascii="Aptos" w:hAnsi="Aptos" w:eastAsia="Aptos" w:cs="Aptos"/>
        </w:rPr>
      </w:pPr>
      <w:r w:rsidRPr="0B601909">
        <w:rPr>
          <w:rFonts w:eastAsia="Aptos" w:cs="Aptos"/>
        </w:rPr>
        <w:t xml:space="preserve">Quest'ultima tesi resta però problematica: la Corte di Giustizia ha già chiarito che un controllo successivo non è sufficiente a riparare una violazione della privacy già avvenuta. </w:t>
      </w:r>
    </w:p>
    <w:p w:rsidR="579CD06E" w:rsidP="0B601909" w:rsidRDefault="579CD06E" w14:paraId="19AEDD0A" w14:textId="00C58867">
      <w:pPr>
        <w:spacing w:after="0"/>
        <w:rPr>
          <w:rFonts w:ascii="Aptos" w:hAnsi="Aptos" w:eastAsia="Aptos" w:cs="Aptos"/>
        </w:rPr>
      </w:pPr>
      <w:r w:rsidRPr="0B601909">
        <w:rPr>
          <w:rFonts w:eastAsia="Aptos" w:cs="Aptos"/>
        </w:rPr>
        <w:t>Appare quindi necessario un intervento del legislatore o un cambio di rotta interpretativo che imponga l'autorizzazione del GIP per il sequestro dei dispositivi digitali.</w:t>
      </w:r>
    </w:p>
    <w:p w:rsidR="69039367" w:rsidP="0B601909" w:rsidRDefault="69039367" w14:paraId="1A15030A" w14:textId="3220D97B">
      <w:pPr>
        <w:spacing w:after="0"/>
      </w:pPr>
    </w:p>
    <w:p w:rsidR="00B04998" w:rsidP="0B601909" w:rsidRDefault="315D786B" w14:paraId="1E8D882B" w14:textId="2DC9FC08">
      <w:pPr>
        <w:spacing w:after="0"/>
      </w:pPr>
      <w:r>
        <w:t>Il fatto che nel nostro ordinamento sia presente esclusivamente la possibilità di un</w:t>
      </w:r>
      <w:r w:rsidR="1D9BCB0D">
        <w:t xml:space="preserve"> </w:t>
      </w:r>
      <w:r>
        <w:t>controllo successivo attraverso il Riesame provoca due effetti distorsivi:</w:t>
      </w:r>
    </w:p>
    <w:p w:rsidR="00B04998" w:rsidP="0B601909" w:rsidRDefault="315D786B" w14:paraId="741BE473" w14:textId="6CB62309">
      <w:pPr>
        <w:spacing w:after="0"/>
      </w:pPr>
      <w:r>
        <w:t>- in primo luogo, il sequestro probatorio può avvenire anche senza preventivo</w:t>
      </w:r>
      <w:r w:rsidR="16EDED8F">
        <w:t xml:space="preserve"> </w:t>
      </w:r>
      <w:r>
        <w:t>controllo ad opera di un’autorità terza che vagli legittimità e proporzionalità.</w:t>
      </w:r>
    </w:p>
    <w:p w:rsidR="00B04998" w:rsidP="0B601909" w:rsidRDefault="315D786B" w14:paraId="665A0B97" w14:textId="6C2D8A4A">
      <w:pPr>
        <w:spacing w:after="0"/>
      </w:pPr>
      <w:r>
        <w:t>- in seconda battuta, il controllo successivo del Tribunale del Riesame potrebbe</w:t>
      </w:r>
      <w:r w:rsidR="791D1BA6">
        <w:t xml:space="preserve"> </w:t>
      </w:r>
      <w:r>
        <w:t>essere inutile perché comunque l’accusa potrebbe aver avuto modo di consultare i dati,</w:t>
      </w:r>
      <w:r w:rsidR="52051B96">
        <w:t xml:space="preserve"> </w:t>
      </w:r>
      <w:r>
        <w:t>vanificando ogni velleità di garanzia di riservatezza.</w:t>
      </w:r>
    </w:p>
    <w:p w:rsidR="00B04998" w:rsidP="0B601909" w:rsidRDefault="315D786B" w14:paraId="6FE3F450" w14:textId="399115A1">
      <w:pPr>
        <w:spacing w:after="0"/>
      </w:pPr>
      <w:r>
        <w:t>In pratica, il nostro sistema si basa esclusivamente sulla fiducia nel PM che deve</w:t>
      </w:r>
      <w:r w:rsidR="103B1E00">
        <w:t xml:space="preserve"> </w:t>
      </w:r>
      <w:r>
        <w:t>agire sempre in modo obiettivo e, come gli impone l’Art. 358 c.p.p., deve ricercare</w:t>
      </w:r>
      <w:r w:rsidR="42506147">
        <w:t xml:space="preserve"> </w:t>
      </w:r>
      <w:r>
        <w:t xml:space="preserve">anche gli elementi a favore dell’indagato. </w:t>
      </w:r>
    </w:p>
    <w:p w:rsidR="00B04998" w:rsidP="0B601909" w:rsidRDefault="315D786B" w14:paraId="58F65BA3" w14:textId="215172BB">
      <w:pPr>
        <w:spacing w:after="0"/>
      </w:pPr>
      <w:r>
        <w:t>Di certo non viene soddisfatta la famelica</w:t>
      </w:r>
      <w:r w:rsidR="0A2BA4C8">
        <w:t xml:space="preserve"> </w:t>
      </w:r>
      <w:r>
        <w:t>brama garantista del diritto sovranazionale che esige terzietà formale prima dell’atto</w:t>
      </w:r>
      <w:r w:rsidR="21DDA752">
        <w:t xml:space="preserve"> </w:t>
      </w:r>
      <w:r>
        <w:t>lesivo.</w:t>
      </w:r>
    </w:p>
    <w:p w:rsidR="00B04998" w:rsidP="0B601909" w:rsidRDefault="4B947CCC" w14:paraId="37E707D8" w14:textId="2A75F963">
      <w:pPr>
        <w:spacing w:after="0"/>
      </w:pPr>
      <w:r w:rsidRPr="736B7F6C">
        <w:t>Quindi, da un lato la sentenza Fazzo</w:t>
      </w:r>
      <w:r w:rsidRPr="736B7F6C" w:rsidR="00844A9D">
        <w:rPr>
          <w:rStyle w:val="Rimandonotaapidipagina"/>
        </w:rPr>
        <w:footnoteReference w:id="26"/>
      </w:r>
      <w:r w:rsidRPr="736B7F6C">
        <w:t xml:space="preserve"> ha gettato le basi verso la dematerializzazione</w:t>
      </w:r>
      <w:r w:rsidRPr="736B7F6C" w:rsidR="63740AB7">
        <w:t xml:space="preserve"> </w:t>
      </w:r>
      <w:r w:rsidRPr="736B7F6C">
        <w:t>della prova e dall’altro la giurisprudenza CGEU ha gettato un’ombra strutturale sulla</w:t>
      </w:r>
      <w:r w:rsidRPr="736B7F6C" w:rsidR="6BBEBF59">
        <w:t xml:space="preserve"> </w:t>
      </w:r>
      <w:r w:rsidRPr="736B7F6C">
        <w:t>illegittimità della catena di custodia ancor prima che questa venga avviata.</w:t>
      </w:r>
    </w:p>
    <w:sectPr w:rsidR="00B04998">
      <w:headerReference w:type="default" r:id="rId8"/>
      <w:footerReference w:type="default" r:id="rId9"/>
      <w:pgSz w:w="11906" w:h="16838" w:orient="portrait"/>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348F7" w:rsidRDefault="003348F7" w14:paraId="7D4CFAA5" w14:textId="77777777">
      <w:pPr>
        <w:spacing w:after="0" w:line="240" w:lineRule="auto"/>
      </w:pPr>
      <w:r>
        <w:separator/>
      </w:r>
    </w:p>
  </w:endnote>
  <w:endnote w:type="continuationSeparator" w:id="0">
    <w:p w:rsidR="003348F7" w:rsidRDefault="003348F7" w14:paraId="4E31501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5"/>
      <w:gridCol w:w="2646"/>
      <w:gridCol w:w="2646"/>
    </w:tblGrid>
    <w:tr w:rsidR="475E51C4" w:rsidTr="475E51C4" w14:paraId="7D34C269" w14:textId="77777777">
      <w:trPr>
        <w:trHeight w:val="300"/>
      </w:trPr>
      <w:tc>
        <w:tcPr>
          <w:tcW w:w="3005" w:type="dxa"/>
        </w:tcPr>
        <w:p w:rsidR="475E51C4" w:rsidP="475E51C4" w:rsidRDefault="475E51C4" w14:paraId="5F0D733F" w14:textId="4712EECA">
          <w:pPr>
            <w:pStyle w:val="Intestazione"/>
            <w:ind w:left="-115"/>
          </w:pPr>
        </w:p>
      </w:tc>
      <w:tc>
        <w:tcPr>
          <w:tcW w:w="3005" w:type="dxa"/>
        </w:tcPr>
        <w:p w:rsidR="475E51C4" w:rsidP="475E51C4" w:rsidRDefault="475E51C4" w14:paraId="569A0377" w14:textId="5182FE5A">
          <w:pPr>
            <w:pStyle w:val="Intestazione"/>
            <w:jc w:val="center"/>
          </w:pPr>
        </w:p>
      </w:tc>
      <w:tc>
        <w:tcPr>
          <w:tcW w:w="3005" w:type="dxa"/>
        </w:tcPr>
        <w:p w:rsidR="475E51C4" w:rsidP="475E51C4" w:rsidRDefault="475E51C4" w14:paraId="1F1BD4EA" w14:textId="727027AE">
          <w:pPr>
            <w:pStyle w:val="Intestazione"/>
            <w:ind w:right="-115"/>
            <w:jc w:val="right"/>
          </w:pPr>
        </w:p>
      </w:tc>
    </w:tr>
  </w:tbl>
  <w:p w:rsidR="475E51C4" w:rsidP="475E51C4" w:rsidRDefault="475E51C4" w14:paraId="1E769C0F" w14:textId="2A5363BF">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348F7" w:rsidRDefault="003348F7" w14:paraId="757F3356" w14:textId="77777777">
      <w:pPr>
        <w:spacing w:after="0" w:line="240" w:lineRule="auto"/>
      </w:pPr>
      <w:r>
        <w:separator/>
      </w:r>
    </w:p>
  </w:footnote>
  <w:footnote w:type="continuationSeparator" w:id="0">
    <w:p w:rsidR="003348F7" w:rsidRDefault="003348F7" w14:paraId="7EC96B18" w14:textId="77777777">
      <w:pPr>
        <w:spacing w:after="0" w:line="240" w:lineRule="auto"/>
      </w:pPr>
      <w:r>
        <w:continuationSeparator/>
      </w:r>
    </w:p>
  </w:footnote>
  <w:footnote w:id="1">
    <w:p w:rsidR="475E51C4" w:rsidP="48D6DF9E" w:rsidRDefault="475E51C4" w14:paraId="10E8F96E" w14:textId="2482D499">
      <w:pPr>
        <w:pStyle w:val="Testonotaapidipagina"/>
        <w:rPr>
          <w:rFonts w:ascii="Aptos" w:hAnsi="Aptos" w:eastAsia="Aptos" w:cs="Aptos"/>
          <w:highlight w:val="yellow"/>
        </w:rPr>
      </w:pPr>
      <w:r w:rsidRPr="475E51C4">
        <w:rPr>
          <w:rStyle w:val="Rimandonotaapidipagina"/>
          <w:rFonts w:ascii="Aptos" w:hAnsi="Aptos" w:eastAsia="Aptos" w:cs="Aptos"/>
        </w:rPr>
        <w:footnoteRef/>
      </w:r>
      <w:r w:rsidRPr="475E51C4" w:rsidR="48D6DF9E">
        <w:rPr>
          <w:rFonts w:ascii="Aptos" w:hAnsi="Aptos" w:eastAsia="Aptos" w:cs="Aptos"/>
        </w:rPr>
        <w:t xml:space="preserve"> Carlo FIORIO, Riccardo FONTI e Mariangela MONTAGNA. Corso di procedura penale. Seconda edizione. Firenze: Le Monnier Università, 2021</w:t>
      </w:r>
      <w:r w:rsidR="48D6DF9E">
        <w:rPr>
          <w:rFonts w:ascii="Aptos" w:hAnsi="Aptos" w:eastAsia="Aptos" w:cs="Aptos"/>
        </w:rPr>
        <w:t xml:space="preserve"> pp. </w:t>
      </w:r>
      <w:r w:rsidRPr="48D6DF9E" w:rsidR="48D6DF9E">
        <w:rPr>
          <w:rFonts w:ascii="Aptos" w:hAnsi="Aptos" w:eastAsia="Aptos" w:cs="Aptos"/>
        </w:rPr>
        <w:t>69-74</w:t>
      </w:r>
    </w:p>
  </w:footnote>
  <w:footnote w:id="2">
    <w:p w:rsidR="475E51C4" w:rsidP="475E51C4" w:rsidRDefault="475E51C4" w14:paraId="2332A777" w14:textId="0AC5C875">
      <w:pPr>
        <w:pStyle w:val="Testonotaapidipagina"/>
      </w:pPr>
      <w:r w:rsidRPr="475E51C4">
        <w:rPr>
          <w:rStyle w:val="Rimandonotaapidipagina"/>
          <w:rFonts w:ascii="Aptos" w:hAnsi="Aptos" w:eastAsia="Aptos" w:cs="Aptos"/>
        </w:rPr>
        <w:footnoteRef/>
      </w:r>
      <w:r w:rsidRPr="475E51C4">
        <w:rPr>
          <w:rFonts w:ascii="Aptos" w:hAnsi="Aptos" w:eastAsia="Aptos" w:cs="Aptos"/>
        </w:rPr>
        <w:t xml:space="preserve"> </w:t>
      </w:r>
      <w:r w:rsidRPr="00104293" w:rsidR="00104293">
        <w:rPr>
          <w:rFonts w:ascii="Aptos" w:hAnsi="Aptos" w:eastAsia="Aptos" w:cs="Aptos"/>
        </w:rPr>
        <w:t>Cass., S</w:t>
      </w:r>
      <w:r w:rsidR="00214296">
        <w:rPr>
          <w:rFonts w:ascii="Aptos" w:hAnsi="Aptos" w:eastAsia="Aptos" w:cs="Aptos"/>
        </w:rPr>
        <w:t>S</w:t>
      </w:r>
      <w:r w:rsidRPr="00104293" w:rsidR="00104293">
        <w:rPr>
          <w:rFonts w:ascii="Aptos" w:hAnsi="Aptos" w:eastAsia="Aptos" w:cs="Aptos"/>
        </w:rPr>
        <w:t xml:space="preserve">. </w:t>
      </w:r>
      <w:r w:rsidR="00104293">
        <w:rPr>
          <w:rFonts w:ascii="Aptos" w:hAnsi="Aptos" w:eastAsia="Aptos" w:cs="Aptos"/>
        </w:rPr>
        <w:t>U</w:t>
      </w:r>
      <w:r w:rsidR="00214296">
        <w:rPr>
          <w:rFonts w:ascii="Aptos" w:hAnsi="Aptos" w:eastAsia="Aptos" w:cs="Aptos"/>
        </w:rPr>
        <w:t>U</w:t>
      </w:r>
      <w:r w:rsidRPr="00104293" w:rsidR="00104293">
        <w:rPr>
          <w:rFonts w:ascii="Aptos" w:hAnsi="Aptos" w:eastAsia="Aptos" w:cs="Aptos"/>
        </w:rPr>
        <w:t xml:space="preserve">., </w:t>
      </w:r>
      <w:r w:rsidR="00214296">
        <w:rPr>
          <w:rFonts w:ascii="Aptos" w:hAnsi="Aptos" w:eastAsia="Aptos" w:cs="Aptos"/>
        </w:rPr>
        <w:t xml:space="preserve">sentenza Sala </w:t>
      </w:r>
      <w:r w:rsidRPr="00104293" w:rsidR="00214296">
        <w:rPr>
          <w:rFonts w:ascii="Aptos" w:hAnsi="Aptos" w:eastAsia="Aptos" w:cs="Aptos"/>
        </w:rPr>
        <w:t>n. 5021</w:t>
      </w:r>
      <w:r w:rsidR="00214296">
        <w:rPr>
          <w:rFonts w:ascii="Aptos" w:hAnsi="Aptos" w:eastAsia="Aptos" w:cs="Aptos"/>
        </w:rPr>
        <w:t xml:space="preserve"> del </w:t>
      </w:r>
      <w:r w:rsidRPr="00104293" w:rsidR="00104293">
        <w:rPr>
          <w:rFonts w:ascii="Aptos" w:hAnsi="Aptos" w:eastAsia="Aptos" w:cs="Aptos"/>
        </w:rPr>
        <w:t>27 marzo-6 maggio 1996</w:t>
      </w:r>
    </w:p>
  </w:footnote>
  <w:footnote w:id="3">
    <w:p w:rsidR="14BE013E" w:rsidP="14BE013E" w:rsidRDefault="14BE013E" w14:paraId="0D8155BC" w14:textId="19B36782">
      <w:pPr>
        <w:pStyle w:val="Testonotaapidipagina"/>
      </w:pPr>
      <w:r w:rsidRPr="14BE013E">
        <w:rPr>
          <w:rStyle w:val="Rimandonotaapidipagina"/>
        </w:rPr>
        <w:footnoteRef/>
      </w:r>
      <w:r>
        <w:t xml:space="preserve"> Cass., Sez. VI, 23 giugno 2010, n. 37800, M’Nasri, in Arch. nuova</w:t>
      </w:r>
    </w:p>
    <w:p w:rsidR="14BE013E" w:rsidP="14BE013E" w:rsidRDefault="14BE013E" w14:paraId="6CEF19B7" w14:textId="70CE09FC">
      <w:pPr>
        <w:pStyle w:val="Testonotaapidipagina"/>
      </w:pPr>
      <w:r>
        <w:t>proc. pen., 2012, p. 102.</w:t>
      </w:r>
    </w:p>
  </w:footnote>
  <w:footnote w:id="4">
    <w:p w:rsidR="14BE013E" w:rsidP="14BE013E" w:rsidRDefault="14BE013E" w14:paraId="19C13FB3" w14:textId="0545518C">
      <w:pPr>
        <w:pStyle w:val="Testonotaapidipagina"/>
      </w:pPr>
      <w:r w:rsidRPr="14BE013E">
        <w:rPr>
          <w:rStyle w:val="Rimandonotaapidipagina"/>
        </w:rPr>
        <w:footnoteRef/>
      </w:r>
      <w:r>
        <w:t xml:space="preserve"> C. U. DEL POZZO, Corpo del reato, in Enc. dir., X, Milano, 1962, 650</w:t>
      </w:r>
    </w:p>
  </w:footnote>
  <w:footnote w:id="6664">
    <w:p w:rsidR="14BE013E" w:rsidP="14BE013E" w:rsidRDefault="14BE013E" w14:paraId="470B991A" w14:textId="650E867B">
      <w:pPr>
        <w:pStyle w:val="Testonotaapidipagina"/>
      </w:pPr>
      <w:r w:rsidRPr="14BE013E">
        <w:rPr>
          <w:rStyle w:val="Rimandonotaapidipagina"/>
        </w:rPr>
        <w:footnoteRef/>
      </w:r>
      <w:r>
        <w:t xml:space="preserve"> A. BEVERE, Coercizione reale. Limiti e garanzie, Milano, 1999, 61</w:t>
      </w:r>
    </w:p>
  </w:footnote>
  <w:footnote w:id="31950">
    <w:p w:rsidR="14BE013E" w:rsidP="14BE013E" w:rsidRDefault="14BE013E" w14:paraId="15FE8146" w14:textId="215336D0">
      <w:pPr>
        <w:pStyle w:val="Testonotaapidipagina"/>
      </w:pPr>
      <w:r w:rsidRPr="14BE013E">
        <w:rPr>
          <w:rStyle w:val="Rimandonotaapidipagina"/>
        </w:rPr>
        <w:footnoteRef/>
      </w:r>
      <w:r w:rsidR="47C163AF">
        <w:rPr/>
        <w:t xml:space="preserve"> Cass., Sez. VI, 19 dicembre 1997, in C.E.D. Cass., Rv. n. 210676; nonché Cass., Sez. I, 27 maggio 1994, in</w:t>
      </w:r>
      <w:r w:rsidR="47C163AF">
        <w:rPr/>
        <w:t xml:space="preserve"> </w:t>
      </w:r>
      <w:r w:rsidR="47C163AF">
        <w:rPr/>
        <w:t xml:space="preserve">Arch. nuova proc. </w:t>
      </w:r>
      <w:r w:rsidR="47C163AF">
        <w:rPr/>
        <w:t>pen</w:t>
      </w:r>
      <w:r w:rsidR="47C163AF">
        <w:rPr/>
        <w:t>., 1995, 155</w:t>
      </w:r>
    </w:p>
  </w:footnote>
  <w:footnote w:id="16785">
    <w:p w:rsidR="14BE013E" w:rsidP="14BE013E" w:rsidRDefault="14BE013E" w14:paraId="7D40EBAC" w14:textId="1F5B67CE">
      <w:pPr>
        <w:pStyle w:val="Testonotaapidipagina"/>
      </w:pPr>
      <w:r w:rsidRPr="14BE013E">
        <w:rPr>
          <w:rStyle w:val="Rimandonotaapidipagina"/>
        </w:rPr>
        <w:footnoteRef/>
      </w:r>
      <w:r>
        <w:t xml:space="preserve"> S. MONTONE, Sequestro penale cit., 160.</w:t>
      </w:r>
    </w:p>
  </w:footnote>
  <w:footnote w:id="7240">
    <w:p w:rsidR="14BE013E" w:rsidP="14BE013E" w:rsidRDefault="14BE013E" w14:paraId="3B984350" w14:textId="3F2E323C">
      <w:pPr>
        <w:pStyle w:val="Testonotaapidipagina"/>
      </w:pPr>
      <w:r w:rsidRPr="14BE013E">
        <w:rPr>
          <w:rStyle w:val="Rimandonotaapidipagina"/>
        </w:rPr>
        <w:footnoteRef/>
      </w:r>
      <w:r>
        <w:t xml:space="preserve"> Così, Cass., Sez. Un., 23 luglio 2014</w:t>
      </w:r>
    </w:p>
  </w:footnote>
  <w:footnote w:id="6867">
    <w:p w:rsidR="18604928" w:rsidP="18604928" w:rsidRDefault="18604928" w14:paraId="11B870E3" w14:textId="6C5D3475">
      <w:pPr>
        <w:pStyle w:val="Testonotaapidipagina"/>
      </w:pPr>
      <w:r w:rsidRPr="18604928">
        <w:rPr>
          <w:rStyle w:val="Rimandonotaapidipagina"/>
        </w:rPr>
        <w:footnoteRef/>
      </w:r>
      <w:r>
        <w:t xml:space="preserve"> S. CUTRIGNELLI, La prova informatica nella pratica investigativa, in Discrimen, 3 luglio 2023.</w:t>
      </w:r>
    </w:p>
  </w:footnote>
  <w:footnote w:id="10">
    <w:p w:rsidR="18604928" w:rsidP="18604928" w:rsidRDefault="18604928" w14:paraId="0C7AD8D4" w14:textId="20FD5ADC">
      <w:pPr>
        <w:pStyle w:val="Testonotaapidipagina"/>
      </w:pPr>
      <w:r w:rsidRPr="18604928">
        <w:rPr>
          <w:rStyle w:val="Rimandonotaapidipagina"/>
        </w:rPr>
        <w:footnoteRef/>
      </w:r>
      <w:r w:rsidR="7C76CC8B">
        <w:t xml:space="preserve"> G. CANZIO-L. DONATI LUPARIA (a cura di), Prova scientifica e processo penale, Milano, 2022</w:t>
      </w:r>
    </w:p>
  </w:footnote>
  <w:footnote w:id="11">
    <w:p w:rsidR="69039367" w:rsidP="69039367" w:rsidRDefault="69039367" w14:paraId="5EDAAD64" w14:textId="024BE684">
      <w:pPr>
        <w:pStyle w:val="Testonotaapidipagina"/>
      </w:pPr>
      <w:r w:rsidRPr="69039367">
        <w:rPr>
          <w:rStyle w:val="Rimandonotaapidipagina"/>
        </w:rPr>
        <w:footnoteRef/>
      </w:r>
      <w:r>
        <w:t xml:space="preserve"> Cass. Penale, Sez. VI, sentenza n. 30496 del 10 settembre 2025</w:t>
      </w:r>
    </w:p>
  </w:footnote>
  <w:footnote w:id="12">
    <w:p w:rsidR="69039367" w:rsidP="69039367" w:rsidRDefault="69039367" w14:paraId="2507D3F5" w14:textId="4C8349AE">
      <w:pPr>
        <w:pStyle w:val="Testonotaapidipagina"/>
      </w:pPr>
      <w:r w:rsidRPr="69039367">
        <w:rPr>
          <w:rStyle w:val="Rimandonotaapidipagina"/>
        </w:rPr>
        <w:footnoteRef/>
      </w:r>
      <w:r>
        <w:t xml:space="preserve"> </w:t>
      </w:r>
      <w:r w:rsidRPr="69039367">
        <w:t xml:space="preserve">Cass. Penale, Sez. VI, sentenza n. 17479 del 8 maggio 2025 </w:t>
      </w:r>
    </w:p>
  </w:footnote>
  <w:footnote w:id="13">
    <w:p w:rsidR="5311E283" w:rsidP="5311E283" w:rsidRDefault="5311E283" w14:paraId="2E625AC3" w14:textId="3CCB79F5">
      <w:pPr>
        <w:pStyle w:val="Testonotaapidipagina"/>
        <w:spacing w:after="160" w:line="279" w:lineRule="auto"/>
        <w:jc w:val="both"/>
      </w:pPr>
      <w:r w:rsidRPr="5311E283">
        <w:rPr>
          <w:rStyle w:val="Rimandonotaapidipagina"/>
        </w:rPr>
        <w:footnoteRef/>
      </w:r>
      <w:r w:rsidR="7C76CC8B">
        <w:t>Corte di Cassazione, Sezioni Unite penali, sentenza 17 luglio 2015, n. 31022 (ud. 29 gennaio 2015), Pres. Santacroce, Rel. Milo</w:t>
      </w:r>
    </w:p>
  </w:footnote>
  <w:footnote w:id="14">
    <w:p w:rsidR="009B59C7" w:rsidP="009B59C7" w:rsidRDefault="009B59C7" w14:paraId="204626C0" w14:textId="77777777">
      <w:pPr>
        <w:pStyle w:val="Testonotaapidipagina"/>
      </w:pPr>
      <w:r>
        <w:rPr>
          <w:rStyle w:val="Rimandonotaapidipagina"/>
        </w:rPr>
        <w:footnoteRef/>
      </w:r>
      <w:r>
        <w:t xml:space="preserve"> Carolina FONTANI, Il sequestro probatorio di un documento informatico: bilanciamento tra esigenze investigative e baluardi difensivi in Diritto penale e processo, 2/2022, pp. 236-244</w:t>
      </w:r>
    </w:p>
  </w:footnote>
  <w:footnote w:id="15">
    <w:p w:rsidR="736B7F6C" w:rsidP="736B7F6C" w:rsidRDefault="736B7F6C" w14:paraId="1288F89B" w14:textId="3AB3A95D">
      <w:pPr>
        <w:pStyle w:val="Testonotaapidipagina"/>
        <w:spacing w:after="160" w:line="279" w:lineRule="auto"/>
        <w:jc w:val="both"/>
      </w:pPr>
      <w:r w:rsidRPr="736B7F6C">
        <w:rPr>
          <w:rStyle w:val="Rimandonotaapidipagina"/>
        </w:rPr>
        <w:footnoteRef/>
      </w:r>
      <w:r w:rsidR="7C76CC8B">
        <w:t xml:space="preserve"> Cass. Pen., Sez. V., sentenza n. 30891 del 19 Lug. 2016.</w:t>
      </w:r>
    </w:p>
  </w:footnote>
  <w:footnote w:id="14145">
    <w:p w:rsidR="14BE013E" w:rsidP="14BE013E" w:rsidRDefault="14BE013E" w14:paraId="58E911BF" w14:textId="501D2186">
      <w:pPr>
        <w:pStyle w:val="Testonotaapidipagina"/>
      </w:pPr>
      <w:r w:rsidRPr="14BE013E">
        <w:rPr>
          <w:rStyle w:val="Rimandonotaapidipagina"/>
        </w:rPr>
        <w:footnoteRef/>
      </w:r>
      <w:r>
        <w:t xml:space="preserve"> Corte di Giustizia UE del 6 ottobre 2020, La Quadrature du Net e a. (C-511/18, C-512/18 e C-520/18,</w:t>
      </w:r>
    </w:p>
    <w:p w:rsidR="14BE013E" w:rsidP="14BE013E" w:rsidRDefault="14BE013E" w14:paraId="08CEB6D3" w14:textId="0DF6D76D">
      <w:pPr>
        <w:pStyle w:val="Testonotaapidipagina"/>
      </w:pPr>
      <w:r>
        <w:t>EU:C:2020:791)</w:t>
      </w:r>
    </w:p>
  </w:footnote>
  <w:footnote w:id="15292">
    <w:p w:rsidR="14BE013E" w:rsidP="14BE013E" w:rsidRDefault="14BE013E" w14:paraId="193EDB37" w14:textId="2B40716F">
      <w:pPr>
        <w:pStyle w:val="Testonotaapidipagina"/>
      </w:pPr>
      <w:r w:rsidRPr="14BE013E">
        <w:rPr>
          <w:rStyle w:val="Rimandonotaapidipagina"/>
        </w:rPr>
        <w:footnoteRef/>
      </w:r>
      <w:r>
        <w:t xml:space="preserve"> Corte di Giustizia UE, 6 ottobre 2020, Privacy International, C-623/17, U:C:2020:790</w:t>
      </w:r>
    </w:p>
  </w:footnote>
  <w:footnote w:id="18">
    <w:p w:rsidR="7C76CC8B" w:rsidP="7C76CC8B" w:rsidRDefault="7C76CC8B" w14:paraId="2D3F8089" w14:textId="76DD19F5">
      <w:pPr>
        <w:pStyle w:val="Testonotaapidipagina"/>
      </w:pPr>
      <w:r w:rsidRPr="7C76CC8B">
        <w:rPr>
          <w:rStyle w:val="Rimandonotaapidipagina"/>
        </w:rPr>
        <w:footnoteRef/>
      </w:r>
      <w:r>
        <w:t xml:space="preserve"> Mattia Giangreco </w:t>
      </w:r>
      <w:r w:rsidRPr="7C76CC8B">
        <w:t xml:space="preserve"> </w:t>
      </w:r>
      <w:r w:rsidRPr="7C76CC8B">
        <w:rPr>
          <w:i/>
          <w:iCs/>
        </w:rPr>
        <w:t xml:space="preserve">"Data retention", acquisizione e utilizzabilità dei tabulati telefonici e telematici: una riflessione incrociata </w:t>
      </w:r>
      <w:r w:rsidRPr="7C76CC8B">
        <w:t xml:space="preserve">in </w:t>
      </w:r>
      <w:hyperlink r:id="rId1">
        <w:r w:rsidRPr="7C76CC8B">
          <w:rPr>
            <w:rStyle w:val="Collegamentoipertestuale"/>
          </w:rPr>
          <w:t>Cassazione penale</w:t>
        </w:r>
      </w:hyperlink>
      <w:r w:rsidRPr="7C76CC8B">
        <w:t xml:space="preserve"> </w:t>
      </w:r>
      <w:hyperlink r:id="rId2">
        <w:r w:rsidRPr="7C76CC8B">
          <w:rPr>
            <w:rStyle w:val="Collegamentoipertestuale"/>
          </w:rPr>
          <w:t>4/2022</w:t>
        </w:r>
      </w:hyperlink>
      <w:r w:rsidRPr="7C76CC8B">
        <w:t xml:space="preserve">, pp. 1672-1688 </w:t>
      </w:r>
      <w:r>
        <w:tab/>
      </w:r>
      <w:r>
        <w:tab/>
      </w:r>
      <w:r>
        <w:tab/>
      </w:r>
      <w:r>
        <w:tab/>
      </w:r>
      <w:r>
        <w:tab/>
      </w:r>
      <w:r w:rsidRPr="7C76CC8B">
        <w:t xml:space="preserve"> </w:t>
      </w:r>
    </w:p>
  </w:footnote>
  <w:footnote w:id="19">
    <w:p w:rsidR="7C76CC8B" w:rsidP="7C76CC8B" w:rsidRDefault="7C76CC8B" w14:paraId="5D1A8154" w14:textId="5E1A2D44">
      <w:pPr>
        <w:pStyle w:val="Testonotaapidipagina"/>
      </w:pPr>
      <w:r w:rsidRPr="7C76CC8B">
        <w:rPr>
          <w:rStyle w:val="Rimandonotaapidipagina"/>
        </w:rPr>
        <w:footnoteRef/>
      </w:r>
      <w:r>
        <w:t xml:space="preserve"> Michele Nino La normalizzazione della sorveglianza di massa nella prassi giurisprudenziale delle Corti di Strasburgo e Lussemburgo: verso il cambio di paradigma del rapporto "privacy v. security" in Freedom, Security &amp; Justice: European Legal Studies 3/2022, pp. 105-133</w:t>
      </w:r>
    </w:p>
  </w:footnote>
  <w:footnote w:id="20">
    <w:p w:rsidR="7C76CC8B" w:rsidP="7C76CC8B" w:rsidRDefault="7C76CC8B" w14:paraId="79DD95D6" w14:textId="758D2458">
      <w:pPr>
        <w:pStyle w:val="Testonotaapidipagina"/>
      </w:pPr>
      <w:r w:rsidRPr="7C76CC8B">
        <w:rPr>
          <w:rStyle w:val="Rimandonotaapidipagina"/>
        </w:rPr>
        <w:footnoteRef/>
      </w:r>
      <w:r>
        <w:t xml:space="preserve"> Elena Andolina La sentenza della Corte di giustizia UE nel caso "H.K. c. Prokuratuur": un punto di non ritorno nella lunga "querelle" in materia di "data retention"? in Processo penale e Giustizia 5/2021, pp. 1204-1217</w:t>
      </w:r>
    </w:p>
  </w:footnote>
  <w:footnote w:id="21">
    <w:p w:rsidR="7C76CC8B" w:rsidP="7C76CC8B" w:rsidRDefault="7C76CC8B" w14:paraId="2B38A2B4" w14:textId="5A527DF0">
      <w:pPr>
        <w:pStyle w:val="Testonotaapidipagina"/>
      </w:pPr>
      <w:r w:rsidRPr="7C76CC8B">
        <w:rPr>
          <w:rStyle w:val="Rimandonotaapidipagina"/>
        </w:rPr>
        <w:footnoteRef/>
      </w:r>
      <w:r>
        <w:t xml:space="preserve"> Chiara Greco Quest'acquisizione non s'ha da fare: ennesimo "no" della Corte di Giustizia alla "data retention" indiscriminata in campo penale in Il Diritto dell'informazione e dell'informatica 2/2021, pp. 235-256</w:t>
      </w:r>
    </w:p>
  </w:footnote>
  <w:footnote w:id="22">
    <w:p w:rsidR="736B7F6C" w:rsidP="736B7F6C" w:rsidRDefault="736B7F6C" w14:paraId="063EF4E0" w14:textId="54175E56">
      <w:pPr>
        <w:pStyle w:val="Testonotaapidipagina"/>
        <w:spacing w:after="160" w:line="279" w:lineRule="auto"/>
        <w:jc w:val="both"/>
      </w:pPr>
      <w:r w:rsidRPr="736B7F6C">
        <w:rPr>
          <w:rStyle w:val="Rimandonotaapidipagina"/>
        </w:rPr>
        <w:footnoteRef/>
      </w:r>
      <w:r>
        <w:t xml:space="preserve"> Grande Sezione Corte </w:t>
      </w:r>
      <w:proofErr w:type="spellStart"/>
      <w:r>
        <w:t>Giust</w:t>
      </w:r>
      <w:proofErr w:type="spellEnd"/>
      <w:r>
        <w:t>. UE. H.K. c. Prokuratuur. 2 Mar. 2021.</w:t>
      </w:r>
    </w:p>
  </w:footnote>
  <w:footnote w:id="23">
    <w:p w:rsidR="69039367" w:rsidP="69039367" w:rsidRDefault="69039367" w14:paraId="1F63F90B" w14:textId="39229D6E">
      <w:pPr>
        <w:pStyle w:val="Testonotaapidipagina"/>
      </w:pPr>
      <w:r w:rsidRPr="69039367">
        <w:rPr>
          <w:rStyle w:val="Rimandonotaapidipagina"/>
        </w:rPr>
        <w:footnoteRef/>
      </w:r>
      <w:r>
        <w:t xml:space="preserve"> Corte di Giustizia UE, causa C-548/21 XUEREB del 4 ottobre 2024</w:t>
      </w:r>
    </w:p>
  </w:footnote>
  <w:footnote w:id="24">
    <w:p w:rsidR="69039367" w:rsidP="69039367" w:rsidRDefault="69039367" w14:paraId="4C53B303" w14:textId="7964BCDC">
      <w:pPr>
        <w:pStyle w:val="Testonotaapidipagina"/>
      </w:pPr>
      <w:r w:rsidRPr="69039367">
        <w:rPr>
          <w:rStyle w:val="Rimandonotaapidipagina"/>
        </w:rPr>
        <w:footnoteRef/>
      </w:r>
      <w:r>
        <w:t xml:space="preserve"> </w:t>
      </w:r>
      <w:r w:rsidRPr="69039367">
        <w:t>Cass. penale, Sez. V, n. 8376 del 28 gennaio 2025</w:t>
      </w:r>
    </w:p>
  </w:footnote>
  <w:footnote w:id="25">
    <w:p w:rsidR="69039367" w:rsidP="69039367" w:rsidRDefault="69039367" w14:paraId="001A4DE7" w14:textId="004F9A64">
      <w:pPr>
        <w:pStyle w:val="Testonotaapidipagina"/>
      </w:pPr>
      <w:r w:rsidRPr="69039367">
        <w:rPr>
          <w:rStyle w:val="Rimandonotaapidipagina"/>
        </w:rPr>
        <w:footnoteRef/>
      </w:r>
      <w:r>
        <w:t xml:space="preserve"> </w:t>
      </w:r>
      <w:r w:rsidRPr="69039367">
        <w:t>Cass. penale, Sez. VI, n. 13585 del 1° aprile 2025</w:t>
      </w:r>
    </w:p>
  </w:footnote>
  <w:footnote w:id="26">
    <w:p w:rsidR="736B7F6C" w:rsidP="736B7F6C" w:rsidRDefault="736B7F6C" w14:paraId="34F04E74" w14:textId="5326FA9E">
      <w:pPr>
        <w:pStyle w:val="Testonotaapidipagina"/>
        <w:spacing w:after="160" w:line="279" w:lineRule="auto"/>
        <w:jc w:val="both"/>
      </w:pPr>
      <w:r w:rsidRPr="48D6DF9E">
        <w:rPr>
          <w:rStyle w:val="Rimandonotaapidipagina"/>
        </w:rPr>
        <w:footnoteRef/>
      </w:r>
      <w:r w:rsidR="48D6DF9E">
        <w:t xml:space="preserve"> Cass., Sez. Un. pen., 17 luglio 2015 (ud. 29 gennaio 2015), n. 31022, Pres. Santacroce, Rel. Milo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645"/>
      <w:gridCol w:w="2646"/>
      <w:gridCol w:w="2646"/>
    </w:tblGrid>
    <w:tr w:rsidR="475E51C4" w:rsidTr="69039367" w14:paraId="717BAA38" w14:textId="77777777">
      <w:trPr>
        <w:trHeight w:val="300"/>
      </w:trPr>
      <w:tc>
        <w:tcPr>
          <w:tcW w:w="3005" w:type="dxa"/>
        </w:tcPr>
        <w:p w:rsidR="475E51C4" w:rsidP="69039367" w:rsidRDefault="475E51C4" w14:paraId="7CC2719C" w14:textId="3EDFB04D">
          <w:pPr>
            <w:pStyle w:val="Intestazione"/>
            <w:ind w:left="-115"/>
            <w:rPr>
              <w:rStyle w:val="Rimandonotaapidipagina"/>
            </w:rPr>
          </w:pPr>
        </w:p>
      </w:tc>
      <w:tc>
        <w:tcPr>
          <w:tcW w:w="3005" w:type="dxa"/>
        </w:tcPr>
        <w:p w:rsidR="475E51C4" w:rsidP="475E51C4" w:rsidRDefault="475E51C4" w14:paraId="7B61BBD8" w14:textId="79DF8DAD">
          <w:pPr>
            <w:pStyle w:val="Intestazione"/>
            <w:jc w:val="center"/>
          </w:pPr>
        </w:p>
      </w:tc>
      <w:tc>
        <w:tcPr>
          <w:tcW w:w="3005" w:type="dxa"/>
        </w:tcPr>
        <w:p w:rsidR="475E51C4" w:rsidP="475E51C4" w:rsidRDefault="475E51C4" w14:paraId="6CA3AF91" w14:textId="3CCA201C">
          <w:pPr>
            <w:pStyle w:val="Intestazione"/>
            <w:ind w:right="-115"/>
            <w:jc w:val="right"/>
          </w:pPr>
        </w:p>
      </w:tc>
    </w:tr>
  </w:tbl>
  <w:p w:rsidR="475E51C4" w:rsidP="475E51C4" w:rsidRDefault="475E51C4" w14:paraId="4592E896" w14:textId="743C4007">
    <w:pPr>
      <w:pStyle w:val="Intestazione"/>
    </w:pPr>
  </w:p>
</w:hdr>
</file>

<file path=word/intelligence2.xml><?xml version="1.0" encoding="utf-8"?>
<int2:intelligence xmlns:int2="http://schemas.microsoft.com/office/intelligence/2020/intelligence" xmlns:oel="http://schemas.microsoft.com/office/2019/extlst">
  <int2:observations>
    <int2:bookmark int2:bookmarkName="_Int_px0PY7av" int2:invalidationBookmarkName="" int2:hashCode="TM+Jx8l+SgHeg6" int2:id="oMHjorzU">
      <int2:state int2:value="Rejected" int2:type="gram"/>
    </int2:bookmark>
    <int2:bookmark int2:bookmarkName="_Int_1UtQbeua" int2:invalidationBookmarkName="" int2:hashCode="5m0TXU4s9Ufh4x" int2:id="DYgrxvbG">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F8AC1"/>
    <w:multiLevelType w:val="hybridMultilevel"/>
    <w:tmpl w:val="FFFFFFFF"/>
    <w:lvl w:ilvl="0" w:tplc="0C52E96A">
      <w:start w:val="1"/>
      <w:numFmt w:val="bullet"/>
      <w:lvlText w:val="-"/>
      <w:lvlJc w:val="left"/>
      <w:pPr>
        <w:ind w:left="720" w:hanging="360"/>
      </w:pPr>
      <w:rPr>
        <w:rFonts w:hint="default" w:ascii="Aptos" w:hAnsi="Aptos"/>
      </w:rPr>
    </w:lvl>
    <w:lvl w:ilvl="1" w:tplc="092ACD48">
      <w:start w:val="1"/>
      <w:numFmt w:val="bullet"/>
      <w:lvlText w:val="o"/>
      <w:lvlJc w:val="left"/>
      <w:pPr>
        <w:ind w:left="1440" w:hanging="360"/>
      </w:pPr>
      <w:rPr>
        <w:rFonts w:hint="default" w:ascii="Courier New" w:hAnsi="Courier New"/>
      </w:rPr>
    </w:lvl>
    <w:lvl w:ilvl="2" w:tplc="E154FFBE">
      <w:start w:val="1"/>
      <w:numFmt w:val="bullet"/>
      <w:lvlText w:val=""/>
      <w:lvlJc w:val="left"/>
      <w:pPr>
        <w:ind w:left="2160" w:hanging="360"/>
      </w:pPr>
      <w:rPr>
        <w:rFonts w:hint="default" w:ascii="Wingdings" w:hAnsi="Wingdings"/>
      </w:rPr>
    </w:lvl>
    <w:lvl w:ilvl="3" w:tplc="A646482E">
      <w:start w:val="1"/>
      <w:numFmt w:val="bullet"/>
      <w:lvlText w:val=""/>
      <w:lvlJc w:val="left"/>
      <w:pPr>
        <w:ind w:left="2880" w:hanging="360"/>
      </w:pPr>
      <w:rPr>
        <w:rFonts w:hint="default" w:ascii="Symbol" w:hAnsi="Symbol"/>
      </w:rPr>
    </w:lvl>
    <w:lvl w:ilvl="4" w:tplc="9588F7E6">
      <w:start w:val="1"/>
      <w:numFmt w:val="bullet"/>
      <w:lvlText w:val="o"/>
      <w:lvlJc w:val="left"/>
      <w:pPr>
        <w:ind w:left="3600" w:hanging="360"/>
      </w:pPr>
      <w:rPr>
        <w:rFonts w:hint="default" w:ascii="Courier New" w:hAnsi="Courier New"/>
      </w:rPr>
    </w:lvl>
    <w:lvl w:ilvl="5" w:tplc="C682DAD2">
      <w:start w:val="1"/>
      <w:numFmt w:val="bullet"/>
      <w:lvlText w:val=""/>
      <w:lvlJc w:val="left"/>
      <w:pPr>
        <w:ind w:left="4320" w:hanging="360"/>
      </w:pPr>
      <w:rPr>
        <w:rFonts w:hint="default" w:ascii="Wingdings" w:hAnsi="Wingdings"/>
      </w:rPr>
    </w:lvl>
    <w:lvl w:ilvl="6" w:tplc="54DE4E66">
      <w:start w:val="1"/>
      <w:numFmt w:val="bullet"/>
      <w:lvlText w:val=""/>
      <w:lvlJc w:val="left"/>
      <w:pPr>
        <w:ind w:left="5040" w:hanging="360"/>
      </w:pPr>
      <w:rPr>
        <w:rFonts w:hint="default" w:ascii="Symbol" w:hAnsi="Symbol"/>
      </w:rPr>
    </w:lvl>
    <w:lvl w:ilvl="7" w:tplc="28349A0C">
      <w:start w:val="1"/>
      <w:numFmt w:val="bullet"/>
      <w:lvlText w:val="o"/>
      <w:lvlJc w:val="left"/>
      <w:pPr>
        <w:ind w:left="5760" w:hanging="360"/>
      </w:pPr>
      <w:rPr>
        <w:rFonts w:hint="default" w:ascii="Courier New" w:hAnsi="Courier New"/>
      </w:rPr>
    </w:lvl>
    <w:lvl w:ilvl="8" w:tplc="695EB526">
      <w:start w:val="1"/>
      <w:numFmt w:val="bullet"/>
      <w:lvlText w:val=""/>
      <w:lvlJc w:val="left"/>
      <w:pPr>
        <w:ind w:left="6480" w:hanging="360"/>
      </w:pPr>
      <w:rPr>
        <w:rFonts w:hint="default" w:ascii="Wingdings" w:hAnsi="Wingdings"/>
      </w:rPr>
    </w:lvl>
  </w:abstractNum>
  <w:abstractNum w:abstractNumId="1" w15:restartNumberingAfterBreak="0">
    <w:nsid w:val="1D186CA0"/>
    <w:multiLevelType w:val="hybridMultilevel"/>
    <w:tmpl w:val="FFFFFFFF"/>
    <w:lvl w:ilvl="0" w:tplc="CDD2B1BC">
      <w:start w:val="1"/>
      <w:numFmt w:val="bullet"/>
      <w:lvlText w:val=""/>
      <w:lvlJc w:val="left"/>
      <w:pPr>
        <w:ind w:left="720" w:hanging="360"/>
      </w:pPr>
      <w:rPr>
        <w:rFonts w:hint="default" w:ascii="Symbol" w:hAnsi="Symbol"/>
      </w:rPr>
    </w:lvl>
    <w:lvl w:ilvl="1" w:tplc="1C08E142">
      <w:start w:val="1"/>
      <w:numFmt w:val="bullet"/>
      <w:lvlText w:val="o"/>
      <w:lvlJc w:val="left"/>
      <w:pPr>
        <w:ind w:left="1440" w:hanging="360"/>
      </w:pPr>
      <w:rPr>
        <w:rFonts w:hint="default" w:ascii="Courier New" w:hAnsi="Courier New"/>
      </w:rPr>
    </w:lvl>
    <w:lvl w:ilvl="2" w:tplc="3B64F908">
      <w:start w:val="1"/>
      <w:numFmt w:val="bullet"/>
      <w:lvlText w:val=""/>
      <w:lvlJc w:val="left"/>
      <w:pPr>
        <w:ind w:left="2160" w:hanging="360"/>
      </w:pPr>
      <w:rPr>
        <w:rFonts w:hint="default" w:ascii="Wingdings" w:hAnsi="Wingdings"/>
      </w:rPr>
    </w:lvl>
    <w:lvl w:ilvl="3" w:tplc="29CCC5F2">
      <w:start w:val="1"/>
      <w:numFmt w:val="bullet"/>
      <w:lvlText w:val=""/>
      <w:lvlJc w:val="left"/>
      <w:pPr>
        <w:ind w:left="2880" w:hanging="360"/>
      </w:pPr>
      <w:rPr>
        <w:rFonts w:hint="default" w:ascii="Symbol" w:hAnsi="Symbol"/>
      </w:rPr>
    </w:lvl>
    <w:lvl w:ilvl="4" w:tplc="487E9E22">
      <w:start w:val="1"/>
      <w:numFmt w:val="bullet"/>
      <w:lvlText w:val="o"/>
      <w:lvlJc w:val="left"/>
      <w:pPr>
        <w:ind w:left="3600" w:hanging="360"/>
      </w:pPr>
      <w:rPr>
        <w:rFonts w:hint="default" w:ascii="Courier New" w:hAnsi="Courier New"/>
      </w:rPr>
    </w:lvl>
    <w:lvl w:ilvl="5" w:tplc="EEC6C4C2">
      <w:start w:val="1"/>
      <w:numFmt w:val="bullet"/>
      <w:lvlText w:val=""/>
      <w:lvlJc w:val="left"/>
      <w:pPr>
        <w:ind w:left="4320" w:hanging="360"/>
      </w:pPr>
      <w:rPr>
        <w:rFonts w:hint="default" w:ascii="Wingdings" w:hAnsi="Wingdings"/>
      </w:rPr>
    </w:lvl>
    <w:lvl w:ilvl="6" w:tplc="EEA4A8CE">
      <w:start w:val="1"/>
      <w:numFmt w:val="bullet"/>
      <w:lvlText w:val=""/>
      <w:lvlJc w:val="left"/>
      <w:pPr>
        <w:ind w:left="5040" w:hanging="360"/>
      </w:pPr>
      <w:rPr>
        <w:rFonts w:hint="default" w:ascii="Symbol" w:hAnsi="Symbol"/>
      </w:rPr>
    </w:lvl>
    <w:lvl w:ilvl="7" w:tplc="7A4050EE">
      <w:start w:val="1"/>
      <w:numFmt w:val="bullet"/>
      <w:lvlText w:val="o"/>
      <w:lvlJc w:val="left"/>
      <w:pPr>
        <w:ind w:left="5760" w:hanging="360"/>
      </w:pPr>
      <w:rPr>
        <w:rFonts w:hint="default" w:ascii="Courier New" w:hAnsi="Courier New"/>
      </w:rPr>
    </w:lvl>
    <w:lvl w:ilvl="8" w:tplc="4D58AA96">
      <w:start w:val="1"/>
      <w:numFmt w:val="bullet"/>
      <w:lvlText w:val=""/>
      <w:lvlJc w:val="left"/>
      <w:pPr>
        <w:ind w:left="6480" w:hanging="360"/>
      </w:pPr>
      <w:rPr>
        <w:rFonts w:hint="default" w:ascii="Wingdings" w:hAnsi="Wingdings"/>
      </w:rPr>
    </w:lvl>
  </w:abstractNum>
  <w:abstractNum w:abstractNumId="2" w15:restartNumberingAfterBreak="0">
    <w:nsid w:val="4E39F05A"/>
    <w:multiLevelType w:val="hybridMultilevel"/>
    <w:tmpl w:val="FFFFFFFF"/>
    <w:lvl w:ilvl="0" w:tplc="0B447798">
      <w:start w:val="1"/>
      <w:numFmt w:val="decimal"/>
      <w:lvlText w:val="%1."/>
      <w:lvlJc w:val="left"/>
      <w:pPr>
        <w:ind w:left="720" w:hanging="360"/>
      </w:pPr>
    </w:lvl>
    <w:lvl w:ilvl="1" w:tplc="885228DC">
      <w:start w:val="1"/>
      <w:numFmt w:val="lowerLetter"/>
      <w:lvlText w:val="%2."/>
      <w:lvlJc w:val="left"/>
      <w:pPr>
        <w:ind w:left="1440" w:hanging="360"/>
      </w:pPr>
    </w:lvl>
    <w:lvl w:ilvl="2" w:tplc="C6125CE0">
      <w:start w:val="1"/>
      <w:numFmt w:val="lowerRoman"/>
      <w:lvlText w:val="%3."/>
      <w:lvlJc w:val="right"/>
      <w:pPr>
        <w:ind w:left="2160" w:hanging="180"/>
      </w:pPr>
    </w:lvl>
    <w:lvl w:ilvl="3" w:tplc="5212D8D8">
      <w:start w:val="1"/>
      <w:numFmt w:val="decimal"/>
      <w:lvlText w:val="%4."/>
      <w:lvlJc w:val="left"/>
      <w:pPr>
        <w:ind w:left="2880" w:hanging="360"/>
      </w:pPr>
    </w:lvl>
    <w:lvl w:ilvl="4" w:tplc="801416F8">
      <w:start w:val="1"/>
      <w:numFmt w:val="lowerLetter"/>
      <w:lvlText w:val="%5."/>
      <w:lvlJc w:val="left"/>
      <w:pPr>
        <w:ind w:left="3600" w:hanging="360"/>
      </w:pPr>
    </w:lvl>
    <w:lvl w:ilvl="5" w:tplc="B0CCFCE0">
      <w:start w:val="1"/>
      <w:numFmt w:val="lowerRoman"/>
      <w:lvlText w:val="%6."/>
      <w:lvlJc w:val="right"/>
      <w:pPr>
        <w:ind w:left="4320" w:hanging="180"/>
      </w:pPr>
    </w:lvl>
    <w:lvl w:ilvl="6" w:tplc="D9508150">
      <w:start w:val="1"/>
      <w:numFmt w:val="decimal"/>
      <w:lvlText w:val="%7."/>
      <w:lvlJc w:val="left"/>
      <w:pPr>
        <w:ind w:left="5040" w:hanging="360"/>
      </w:pPr>
    </w:lvl>
    <w:lvl w:ilvl="7" w:tplc="6F0A531C">
      <w:start w:val="1"/>
      <w:numFmt w:val="lowerLetter"/>
      <w:lvlText w:val="%8."/>
      <w:lvlJc w:val="left"/>
      <w:pPr>
        <w:ind w:left="5760" w:hanging="360"/>
      </w:pPr>
    </w:lvl>
    <w:lvl w:ilvl="8" w:tplc="B1FEDEA8">
      <w:start w:val="1"/>
      <w:numFmt w:val="lowerRoman"/>
      <w:lvlText w:val="%9."/>
      <w:lvlJc w:val="right"/>
      <w:pPr>
        <w:ind w:left="6480" w:hanging="180"/>
      </w:pPr>
    </w:lvl>
  </w:abstractNum>
  <w:num w:numId="1" w16cid:durableId="766467709">
    <w:abstractNumId w:val="0"/>
  </w:num>
  <w:num w:numId="2" w16cid:durableId="1764716755">
    <w:abstractNumId w:val="2"/>
  </w:num>
  <w:num w:numId="3" w16cid:durableId="19677319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974B8E9"/>
    <w:rsid w:val="00104293"/>
    <w:rsid w:val="00214296"/>
    <w:rsid w:val="002C9709"/>
    <w:rsid w:val="003348F7"/>
    <w:rsid w:val="005557C7"/>
    <w:rsid w:val="00674D83"/>
    <w:rsid w:val="00693DC8"/>
    <w:rsid w:val="00844A9D"/>
    <w:rsid w:val="008715B5"/>
    <w:rsid w:val="00930723"/>
    <w:rsid w:val="009B59C7"/>
    <w:rsid w:val="00A96EE9"/>
    <w:rsid w:val="00B04998"/>
    <w:rsid w:val="00D04E5B"/>
    <w:rsid w:val="00DE7F73"/>
    <w:rsid w:val="00F4AB41"/>
    <w:rsid w:val="0110C72E"/>
    <w:rsid w:val="013F3F31"/>
    <w:rsid w:val="014539EA"/>
    <w:rsid w:val="01E32F0F"/>
    <w:rsid w:val="01E51C51"/>
    <w:rsid w:val="0220A36D"/>
    <w:rsid w:val="023E29F4"/>
    <w:rsid w:val="025A99D8"/>
    <w:rsid w:val="025B0537"/>
    <w:rsid w:val="02AB4504"/>
    <w:rsid w:val="03631298"/>
    <w:rsid w:val="039B1C34"/>
    <w:rsid w:val="03AB3548"/>
    <w:rsid w:val="03D7CB62"/>
    <w:rsid w:val="044D68C7"/>
    <w:rsid w:val="0520754F"/>
    <w:rsid w:val="05DD69DB"/>
    <w:rsid w:val="05FFA2B9"/>
    <w:rsid w:val="061E4F39"/>
    <w:rsid w:val="0621CB5B"/>
    <w:rsid w:val="0664422C"/>
    <w:rsid w:val="0670BBCF"/>
    <w:rsid w:val="06783F58"/>
    <w:rsid w:val="072F2498"/>
    <w:rsid w:val="0760CB64"/>
    <w:rsid w:val="0873C3F6"/>
    <w:rsid w:val="08DDD392"/>
    <w:rsid w:val="09059894"/>
    <w:rsid w:val="090FCE2D"/>
    <w:rsid w:val="092E1281"/>
    <w:rsid w:val="09375F96"/>
    <w:rsid w:val="097E83CD"/>
    <w:rsid w:val="099199D0"/>
    <w:rsid w:val="09AC9821"/>
    <w:rsid w:val="09C0102C"/>
    <w:rsid w:val="0A2BA4C8"/>
    <w:rsid w:val="0A43860F"/>
    <w:rsid w:val="0ACF2B04"/>
    <w:rsid w:val="0AD86C0A"/>
    <w:rsid w:val="0AEA6398"/>
    <w:rsid w:val="0B22B8E1"/>
    <w:rsid w:val="0B2423DF"/>
    <w:rsid w:val="0B422BBD"/>
    <w:rsid w:val="0B47CA34"/>
    <w:rsid w:val="0B601909"/>
    <w:rsid w:val="0B62E901"/>
    <w:rsid w:val="0B979BD5"/>
    <w:rsid w:val="0BA1A09F"/>
    <w:rsid w:val="0BB31D34"/>
    <w:rsid w:val="0C38591E"/>
    <w:rsid w:val="0C422884"/>
    <w:rsid w:val="0C968940"/>
    <w:rsid w:val="0D4E7955"/>
    <w:rsid w:val="0D6A1084"/>
    <w:rsid w:val="0DFDC93A"/>
    <w:rsid w:val="0E505F95"/>
    <w:rsid w:val="0EC92A2D"/>
    <w:rsid w:val="0F3E869E"/>
    <w:rsid w:val="0F6E5D55"/>
    <w:rsid w:val="0F7C46DF"/>
    <w:rsid w:val="0F809C97"/>
    <w:rsid w:val="0F8E9BE8"/>
    <w:rsid w:val="103B1E00"/>
    <w:rsid w:val="10BB8ED1"/>
    <w:rsid w:val="1110839D"/>
    <w:rsid w:val="112BCE42"/>
    <w:rsid w:val="113C2228"/>
    <w:rsid w:val="11512F7C"/>
    <w:rsid w:val="11663C97"/>
    <w:rsid w:val="119000A3"/>
    <w:rsid w:val="11AB872A"/>
    <w:rsid w:val="11E270A1"/>
    <w:rsid w:val="11E35279"/>
    <w:rsid w:val="11F6D6E4"/>
    <w:rsid w:val="11F6DED6"/>
    <w:rsid w:val="124D7110"/>
    <w:rsid w:val="1265FDF1"/>
    <w:rsid w:val="1275095E"/>
    <w:rsid w:val="127D9887"/>
    <w:rsid w:val="12A8C30C"/>
    <w:rsid w:val="12B36A2C"/>
    <w:rsid w:val="12CE30C7"/>
    <w:rsid w:val="12E17A19"/>
    <w:rsid w:val="1300F192"/>
    <w:rsid w:val="1314E67E"/>
    <w:rsid w:val="13440F10"/>
    <w:rsid w:val="13B9C61C"/>
    <w:rsid w:val="13EE5437"/>
    <w:rsid w:val="142A2D12"/>
    <w:rsid w:val="142B54E2"/>
    <w:rsid w:val="146022A0"/>
    <w:rsid w:val="1468C914"/>
    <w:rsid w:val="14AA61F6"/>
    <w:rsid w:val="14AF2383"/>
    <w:rsid w:val="14BE013E"/>
    <w:rsid w:val="14D538F5"/>
    <w:rsid w:val="151CA78A"/>
    <w:rsid w:val="151D350D"/>
    <w:rsid w:val="15318416"/>
    <w:rsid w:val="153F00C2"/>
    <w:rsid w:val="15555212"/>
    <w:rsid w:val="15BAA1EA"/>
    <w:rsid w:val="15C3B936"/>
    <w:rsid w:val="160C3CA6"/>
    <w:rsid w:val="16681A2D"/>
    <w:rsid w:val="16B36FED"/>
    <w:rsid w:val="16EDED8F"/>
    <w:rsid w:val="17A5FDE0"/>
    <w:rsid w:val="17B5592A"/>
    <w:rsid w:val="17D7D37F"/>
    <w:rsid w:val="17FA8F00"/>
    <w:rsid w:val="18604928"/>
    <w:rsid w:val="18779452"/>
    <w:rsid w:val="1889E0EF"/>
    <w:rsid w:val="18CBE036"/>
    <w:rsid w:val="19F1D794"/>
    <w:rsid w:val="1A24BE6F"/>
    <w:rsid w:val="1A4853D5"/>
    <w:rsid w:val="1A9B4AC5"/>
    <w:rsid w:val="1B420366"/>
    <w:rsid w:val="1B4E4FC2"/>
    <w:rsid w:val="1C29FEC9"/>
    <w:rsid w:val="1CB463E3"/>
    <w:rsid w:val="1CE3F8CC"/>
    <w:rsid w:val="1D07C1B0"/>
    <w:rsid w:val="1D32A5DB"/>
    <w:rsid w:val="1D9BCB0D"/>
    <w:rsid w:val="1DAD8CC1"/>
    <w:rsid w:val="1DBCC15D"/>
    <w:rsid w:val="1DE720A6"/>
    <w:rsid w:val="1EEA270F"/>
    <w:rsid w:val="1F057DE8"/>
    <w:rsid w:val="1F1F9314"/>
    <w:rsid w:val="1F309A69"/>
    <w:rsid w:val="1F3BA7AC"/>
    <w:rsid w:val="1F651F57"/>
    <w:rsid w:val="1F8933C0"/>
    <w:rsid w:val="1F95817E"/>
    <w:rsid w:val="1FA53C07"/>
    <w:rsid w:val="20066045"/>
    <w:rsid w:val="200E8CEA"/>
    <w:rsid w:val="20206313"/>
    <w:rsid w:val="20277620"/>
    <w:rsid w:val="203EA7E6"/>
    <w:rsid w:val="205F5F05"/>
    <w:rsid w:val="2087A6D9"/>
    <w:rsid w:val="20D67F70"/>
    <w:rsid w:val="20E64478"/>
    <w:rsid w:val="21A37D23"/>
    <w:rsid w:val="21CE8897"/>
    <w:rsid w:val="21DDA752"/>
    <w:rsid w:val="21E0EEDA"/>
    <w:rsid w:val="223539CB"/>
    <w:rsid w:val="22629502"/>
    <w:rsid w:val="22AEDF4A"/>
    <w:rsid w:val="22D7B877"/>
    <w:rsid w:val="22F3952A"/>
    <w:rsid w:val="236984D2"/>
    <w:rsid w:val="239FD3BC"/>
    <w:rsid w:val="23E13767"/>
    <w:rsid w:val="24024D7A"/>
    <w:rsid w:val="240CBCBA"/>
    <w:rsid w:val="2460398A"/>
    <w:rsid w:val="247DB9AD"/>
    <w:rsid w:val="25609159"/>
    <w:rsid w:val="257755F5"/>
    <w:rsid w:val="25BACA17"/>
    <w:rsid w:val="2611870C"/>
    <w:rsid w:val="268404DE"/>
    <w:rsid w:val="26D49512"/>
    <w:rsid w:val="26F66134"/>
    <w:rsid w:val="272DFFBC"/>
    <w:rsid w:val="27759B70"/>
    <w:rsid w:val="27AA5BF8"/>
    <w:rsid w:val="27D00F79"/>
    <w:rsid w:val="2814F6D8"/>
    <w:rsid w:val="2840E559"/>
    <w:rsid w:val="28610DEE"/>
    <w:rsid w:val="292EFDB7"/>
    <w:rsid w:val="29380A38"/>
    <w:rsid w:val="295B7EA3"/>
    <w:rsid w:val="295BD64D"/>
    <w:rsid w:val="29931B8A"/>
    <w:rsid w:val="29BB7DC7"/>
    <w:rsid w:val="29F3C72E"/>
    <w:rsid w:val="2A11565E"/>
    <w:rsid w:val="2A585C3A"/>
    <w:rsid w:val="2AA37D64"/>
    <w:rsid w:val="2B07D027"/>
    <w:rsid w:val="2B108999"/>
    <w:rsid w:val="2C4F6C0F"/>
    <w:rsid w:val="2CD9DF87"/>
    <w:rsid w:val="2CED0906"/>
    <w:rsid w:val="2D7F20C5"/>
    <w:rsid w:val="2DF21D22"/>
    <w:rsid w:val="2E195996"/>
    <w:rsid w:val="2E39BC25"/>
    <w:rsid w:val="2E9E9462"/>
    <w:rsid w:val="2EF92C32"/>
    <w:rsid w:val="2F7DBDD5"/>
    <w:rsid w:val="2F9F813C"/>
    <w:rsid w:val="308D0A14"/>
    <w:rsid w:val="31137706"/>
    <w:rsid w:val="315D786B"/>
    <w:rsid w:val="31FD033D"/>
    <w:rsid w:val="320D157D"/>
    <w:rsid w:val="3220CB3D"/>
    <w:rsid w:val="32ABC87D"/>
    <w:rsid w:val="334F5C94"/>
    <w:rsid w:val="33D168F3"/>
    <w:rsid w:val="33EDAB58"/>
    <w:rsid w:val="33F93957"/>
    <w:rsid w:val="33FEEC47"/>
    <w:rsid w:val="340292D6"/>
    <w:rsid w:val="3409D2D3"/>
    <w:rsid w:val="34903EBE"/>
    <w:rsid w:val="34D01D76"/>
    <w:rsid w:val="350A2A58"/>
    <w:rsid w:val="352177C6"/>
    <w:rsid w:val="354D3908"/>
    <w:rsid w:val="35996DA3"/>
    <w:rsid w:val="35A68913"/>
    <w:rsid w:val="35B5B565"/>
    <w:rsid w:val="35F6A44C"/>
    <w:rsid w:val="36417B3B"/>
    <w:rsid w:val="3686A837"/>
    <w:rsid w:val="36A15974"/>
    <w:rsid w:val="36B76D1C"/>
    <w:rsid w:val="36CD53FB"/>
    <w:rsid w:val="3724ED6A"/>
    <w:rsid w:val="37389F2B"/>
    <w:rsid w:val="386395E3"/>
    <w:rsid w:val="3899BDE4"/>
    <w:rsid w:val="38C79535"/>
    <w:rsid w:val="391CE722"/>
    <w:rsid w:val="394AFD4B"/>
    <w:rsid w:val="3974B8E9"/>
    <w:rsid w:val="398E2889"/>
    <w:rsid w:val="39916235"/>
    <w:rsid w:val="39F9ACC4"/>
    <w:rsid w:val="3A012FDA"/>
    <w:rsid w:val="3AB9F166"/>
    <w:rsid w:val="3AFBC465"/>
    <w:rsid w:val="3B5EA794"/>
    <w:rsid w:val="3B8CFE3C"/>
    <w:rsid w:val="3B8D29D9"/>
    <w:rsid w:val="3BDAB98D"/>
    <w:rsid w:val="3BF5BF4A"/>
    <w:rsid w:val="3BFA8EE6"/>
    <w:rsid w:val="3C379770"/>
    <w:rsid w:val="3C65CC7C"/>
    <w:rsid w:val="3CB53E0B"/>
    <w:rsid w:val="3CC51C65"/>
    <w:rsid w:val="3CDD426F"/>
    <w:rsid w:val="3D88838F"/>
    <w:rsid w:val="3E14C1D1"/>
    <w:rsid w:val="3E1A55CE"/>
    <w:rsid w:val="3E1E8170"/>
    <w:rsid w:val="3E6B5EAC"/>
    <w:rsid w:val="3EAB4CA5"/>
    <w:rsid w:val="3EB4287B"/>
    <w:rsid w:val="3EE1DF0F"/>
    <w:rsid w:val="3F50B1F2"/>
    <w:rsid w:val="3FAE0946"/>
    <w:rsid w:val="3FDF8578"/>
    <w:rsid w:val="407672E4"/>
    <w:rsid w:val="40B2BBDF"/>
    <w:rsid w:val="40BF174E"/>
    <w:rsid w:val="40F3FCA0"/>
    <w:rsid w:val="40F5C08F"/>
    <w:rsid w:val="41D67341"/>
    <w:rsid w:val="41F07626"/>
    <w:rsid w:val="4203802C"/>
    <w:rsid w:val="42076743"/>
    <w:rsid w:val="42314CD4"/>
    <w:rsid w:val="424AADCA"/>
    <w:rsid w:val="424CF80A"/>
    <w:rsid w:val="42506147"/>
    <w:rsid w:val="430EF29A"/>
    <w:rsid w:val="43106FF2"/>
    <w:rsid w:val="43435AA2"/>
    <w:rsid w:val="43829E15"/>
    <w:rsid w:val="446D4B40"/>
    <w:rsid w:val="45012F8E"/>
    <w:rsid w:val="456D3E5D"/>
    <w:rsid w:val="4575A747"/>
    <w:rsid w:val="4580EFEC"/>
    <w:rsid w:val="45822481"/>
    <w:rsid w:val="45A71340"/>
    <w:rsid w:val="45BF7270"/>
    <w:rsid w:val="463F1F7E"/>
    <w:rsid w:val="467A00D1"/>
    <w:rsid w:val="46C1D407"/>
    <w:rsid w:val="46E0EEF8"/>
    <w:rsid w:val="46EBE087"/>
    <w:rsid w:val="4708F40E"/>
    <w:rsid w:val="471668F5"/>
    <w:rsid w:val="47231249"/>
    <w:rsid w:val="475E51C4"/>
    <w:rsid w:val="47784AEB"/>
    <w:rsid w:val="477A0337"/>
    <w:rsid w:val="47C163AF"/>
    <w:rsid w:val="47C46FDF"/>
    <w:rsid w:val="47F01545"/>
    <w:rsid w:val="47F21FBD"/>
    <w:rsid w:val="48386DD7"/>
    <w:rsid w:val="4848529C"/>
    <w:rsid w:val="486C6AE1"/>
    <w:rsid w:val="48D6DF9E"/>
    <w:rsid w:val="48E0A9A2"/>
    <w:rsid w:val="48E2A907"/>
    <w:rsid w:val="48E8DE8A"/>
    <w:rsid w:val="495083B1"/>
    <w:rsid w:val="497346ED"/>
    <w:rsid w:val="497BFF64"/>
    <w:rsid w:val="4A132008"/>
    <w:rsid w:val="4AAD31E2"/>
    <w:rsid w:val="4B711FAE"/>
    <w:rsid w:val="4B947CCC"/>
    <w:rsid w:val="4BAAA7B6"/>
    <w:rsid w:val="4BB8D1F5"/>
    <w:rsid w:val="4BD93117"/>
    <w:rsid w:val="4BFA9119"/>
    <w:rsid w:val="4C5C47CF"/>
    <w:rsid w:val="4C8693FA"/>
    <w:rsid w:val="4CA19415"/>
    <w:rsid w:val="4CAD1313"/>
    <w:rsid w:val="4CEA3212"/>
    <w:rsid w:val="4D2451AB"/>
    <w:rsid w:val="4D8AACEC"/>
    <w:rsid w:val="4DBDFCD1"/>
    <w:rsid w:val="4DC77EE0"/>
    <w:rsid w:val="4DF066ED"/>
    <w:rsid w:val="4E0A7CBB"/>
    <w:rsid w:val="4E6DF693"/>
    <w:rsid w:val="4E6EF905"/>
    <w:rsid w:val="4E986072"/>
    <w:rsid w:val="4EB17565"/>
    <w:rsid w:val="4EB4542C"/>
    <w:rsid w:val="4EB73AFB"/>
    <w:rsid w:val="4EE4E30F"/>
    <w:rsid w:val="4EE72738"/>
    <w:rsid w:val="4F754644"/>
    <w:rsid w:val="4F7DFC77"/>
    <w:rsid w:val="501DE6E8"/>
    <w:rsid w:val="508769F6"/>
    <w:rsid w:val="5088E7A1"/>
    <w:rsid w:val="50E99D9E"/>
    <w:rsid w:val="50EACE30"/>
    <w:rsid w:val="51321954"/>
    <w:rsid w:val="513C90CC"/>
    <w:rsid w:val="5176C6FA"/>
    <w:rsid w:val="5182B50E"/>
    <w:rsid w:val="52051B96"/>
    <w:rsid w:val="523E6995"/>
    <w:rsid w:val="525BE805"/>
    <w:rsid w:val="5266B2B7"/>
    <w:rsid w:val="528D50EA"/>
    <w:rsid w:val="5311E283"/>
    <w:rsid w:val="5396CD6C"/>
    <w:rsid w:val="53993340"/>
    <w:rsid w:val="53E02D7C"/>
    <w:rsid w:val="53F1C609"/>
    <w:rsid w:val="540745B1"/>
    <w:rsid w:val="549CF2FA"/>
    <w:rsid w:val="54A4660E"/>
    <w:rsid w:val="54F5A1BE"/>
    <w:rsid w:val="54FB7A8B"/>
    <w:rsid w:val="550F5F4D"/>
    <w:rsid w:val="55D65B3A"/>
    <w:rsid w:val="55FC9C43"/>
    <w:rsid w:val="560163D1"/>
    <w:rsid w:val="565A39FF"/>
    <w:rsid w:val="56BC1F55"/>
    <w:rsid w:val="56EA244B"/>
    <w:rsid w:val="571F394D"/>
    <w:rsid w:val="5759F0E0"/>
    <w:rsid w:val="576E77F0"/>
    <w:rsid w:val="579706EA"/>
    <w:rsid w:val="579CD06E"/>
    <w:rsid w:val="5894FCA2"/>
    <w:rsid w:val="58FDE40B"/>
    <w:rsid w:val="59A62C3C"/>
    <w:rsid w:val="59A82982"/>
    <w:rsid w:val="5A04DB1D"/>
    <w:rsid w:val="5A959C48"/>
    <w:rsid w:val="5ABAE65F"/>
    <w:rsid w:val="5ACBAD83"/>
    <w:rsid w:val="5B30DD85"/>
    <w:rsid w:val="5B316B24"/>
    <w:rsid w:val="5B4DC6B4"/>
    <w:rsid w:val="5BA15EA8"/>
    <w:rsid w:val="5C1174F2"/>
    <w:rsid w:val="5C5A3405"/>
    <w:rsid w:val="5D2C8509"/>
    <w:rsid w:val="5D7086C7"/>
    <w:rsid w:val="5D85606E"/>
    <w:rsid w:val="5D975CC2"/>
    <w:rsid w:val="5DE1F738"/>
    <w:rsid w:val="5DE6CCED"/>
    <w:rsid w:val="5E4FB691"/>
    <w:rsid w:val="5E53CACE"/>
    <w:rsid w:val="5E7A32DF"/>
    <w:rsid w:val="5F5CB683"/>
    <w:rsid w:val="5F84824B"/>
    <w:rsid w:val="601FF7D6"/>
    <w:rsid w:val="60350CD8"/>
    <w:rsid w:val="6112989D"/>
    <w:rsid w:val="61318E70"/>
    <w:rsid w:val="6132F507"/>
    <w:rsid w:val="61659BBE"/>
    <w:rsid w:val="617BF738"/>
    <w:rsid w:val="619FA53F"/>
    <w:rsid w:val="61F37C39"/>
    <w:rsid w:val="61FA0E98"/>
    <w:rsid w:val="62517CDA"/>
    <w:rsid w:val="6254D297"/>
    <w:rsid w:val="626E4FB4"/>
    <w:rsid w:val="62C650B8"/>
    <w:rsid w:val="62E8B4E8"/>
    <w:rsid w:val="62FEAB92"/>
    <w:rsid w:val="63559B27"/>
    <w:rsid w:val="63740AB7"/>
    <w:rsid w:val="63B18205"/>
    <w:rsid w:val="63D26BF9"/>
    <w:rsid w:val="6418D630"/>
    <w:rsid w:val="647CA105"/>
    <w:rsid w:val="64AED50A"/>
    <w:rsid w:val="64F503D9"/>
    <w:rsid w:val="656ACEE4"/>
    <w:rsid w:val="657F4D70"/>
    <w:rsid w:val="659E759A"/>
    <w:rsid w:val="66586BD2"/>
    <w:rsid w:val="665EE34C"/>
    <w:rsid w:val="66B3D594"/>
    <w:rsid w:val="66B5FFD0"/>
    <w:rsid w:val="66F1F529"/>
    <w:rsid w:val="6726A4B2"/>
    <w:rsid w:val="6745C8B4"/>
    <w:rsid w:val="674D0A08"/>
    <w:rsid w:val="67959015"/>
    <w:rsid w:val="68296C61"/>
    <w:rsid w:val="683619D8"/>
    <w:rsid w:val="684043DF"/>
    <w:rsid w:val="686F4A41"/>
    <w:rsid w:val="688AE472"/>
    <w:rsid w:val="6898F46D"/>
    <w:rsid w:val="689D9B53"/>
    <w:rsid w:val="68AFB236"/>
    <w:rsid w:val="69039367"/>
    <w:rsid w:val="6963EB6C"/>
    <w:rsid w:val="69683F0E"/>
    <w:rsid w:val="69758B06"/>
    <w:rsid w:val="69C43A55"/>
    <w:rsid w:val="69CA227F"/>
    <w:rsid w:val="6A152A41"/>
    <w:rsid w:val="6A38224F"/>
    <w:rsid w:val="6B358276"/>
    <w:rsid w:val="6B4D5DE0"/>
    <w:rsid w:val="6BBEBF59"/>
    <w:rsid w:val="6BC77131"/>
    <w:rsid w:val="6BC893DA"/>
    <w:rsid w:val="6BCDF959"/>
    <w:rsid w:val="6BE501ED"/>
    <w:rsid w:val="6BFF5DF3"/>
    <w:rsid w:val="6C49FE1F"/>
    <w:rsid w:val="6C577E43"/>
    <w:rsid w:val="6C7D9688"/>
    <w:rsid w:val="6D01D675"/>
    <w:rsid w:val="6DC97BC9"/>
    <w:rsid w:val="6E02D338"/>
    <w:rsid w:val="6E06B2BE"/>
    <w:rsid w:val="6E3B1EEB"/>
    <w:rsid w:val="6EAE101D"/>
    <w:rsid w:val="6EF5E9B5"/>
    <w:rsid w:val="6F10C8B0"/>
    <w:rsid w:val="6F42AFA5"/>
    <w:rsid w:val="6FBD1404"/>
    <w:rsid w:val="6FC3DD79"/>
    <w:rsid w:val="6FCAEE85"/>
    <w:rsid w:val="6FD9FC8E"/>
    <w:rsid w:val="705C8D7F"/>
    <w:rsid w:val="707B6A52"/>
    <w:rsid w:val="70A475B2"/>
    <w:rsid w:val="70D4D237"/>
    <w:rsid w:val="70D65932"/>
    <w:rsid w:val="70EDA33D"/>
    <w:rsid w:val="70EF7616"/>
    <w:rsid w:val="70F088F1"/>
    <w:rsid w:val="712BB646"/>
    <w:rsid w:val="714DFC3D"/>
    <w:rsid w:val="7158E9B5"/>
    <w:rsid w:val="716D925E"/>
    <w:rsid w:val="724BBCB0"/>
    <w:rsid w:val="727B7839"/>
    <w:rsid w:val="72D26C59"/>
    <w:rsid w:val="72D66D5E"/>
    <w:rsid w:val="72E2A646"/>
    <w:rsid w:val="72F06949"/>
    <w:rsid w:val="73341431"/>
    <w:rsid w:val="736B7F6C"/>
    <w:rsid w:val="738ADC96"/>
    <w:rsid w:val="7392D07D"/>
    <w:rsid w:val="73F5A782"/>
    <w:rsid w:val="744E1E26"/>
    <w:rsid w:val="7523AFE5"/>
    <w:rsid w:val="7527709D"/>
    <w:rsid w:val="752E6EF5"/>
    <w:rsid w:val="758DBD33"/>
    <w:rsid w:val="75C6B9F6"/>
    <w:rsid w:val="75E660A0"/>
    <w:rsid w:val="769BA296"/>
    <w:rsid w:val="772C5F1E"/>
    <w:rsid w:val="774E0132"/>
    <w:rsid w:val="776E075C"/>
    <w:rsid w:val="77840113"/>
    <w:rsid w:val="783850AE"/>
    <w:rsid w:val="7861F8E8"/>
    <w:rsid w:val="78956EC4"/>
    <w:rsid w:val="79069E0A"/>
    <w:rsid w:val="791D1BA6"/>
    <w:rsid w:val="793664B4"/>
    <w:rsid w:val="793E18D8"/>
    <w:rsid w:val="79522E62"/>
    <w:rsid w:val="79689A7F"/>
    <w:rsid w:val="796F2044"/>
    <w:rsid w:val="79B76DC9"/>
    <w:rsid w:val="79D6FF29"/>
    <w:rsid w:val="7A21BA5A"/>
    <w:rsid w:val="7A44A229"/>
    <w:rsid w:val="7A7326F9"/>
    <w:rsid w:val="7AA33408"/>
    <w:rsid w:val="7AD7E90F"/>
    <w:rsid w:val="7ADD10E7"/>
    <w:rsid w:val="7AFCC649"/>
    <w:rsid w:val="7B381902"/>
    <w:rsid w:val="7B3D2AFC"/>
    <w:rsid w:val="7B7D911E"/>
    <w:rsid w:val="7B837951"/>
    <w:rsid w:val="7C1777E7"/>
    <w:rsid w:val="7C76CC8B"/>
    <w:rsid w:val="7C9AC149"/>
    <w:rsid w:val="7CA17788"/>
    <w:rsid w:val="7D1FC9B5"/>
    <w:rsid w:val="7D4DA98B"/>
    <w:rsid w:val="7DE3D346"/>
    <w:rsid w:val="7E6A9A1B"/>
    <w:rsid w:val="7F2DDEAE"/>
    <w:rsid w:val="7FCF1DBA"/>
    <w:rsid w:val="7FEDD25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4B8E9"/>
  <w15:chartTrackingRefBased/>
  <w15:docId w15:val="{018CD55A-A0C3-47CE-98B4-843EBB81B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e" w:default="1">
    <w:name w:val="Normal"/>
    <w:qFormat/>
    <w:pPr>
      <w:spacing w:line="360" w:lineRule="auto"/>
      <w:ind w:firstLine="567"/>
      <w:jc w:val="both"/>
    </w:pPr>
    <w:rPr>
      <w:rFonts w:ascii="Times New Roman" w:hAnsi="Times New Roman"/>
    </w:rPr>
  </w:style>
  <w:style w:type="paragraph" w:styleId="Titolo1">
    <w:name w:val="heading 1"/>
    <w:uiPriority w:val="9"/>
    <w:qFormat/>
    <w:rsid w:val="48D6DF9E"/>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Carpredefinitoparagrafo" w:default="1">
    <w:name w:val="Default Paragraph Font"/>
    <w:uiPriority w:val="1"/>
    <w:semiHidden/>
    <w:unhideWhenUsed/>
  </w:style>
  <w:style w:type="table" w:styleId="Tabellanormale" w:default="1">
    <w:name w:val="Normal Table"/>
    <w:uiPriority w:val="99"/>
    <w:semiHidden/>
    <w:unhideWhenUsed/>
    <w:tblPr>
      <w:tblInd w:w="0" w:type="dxa"/>
      <w:tblCellMar>
        <w:top w:w="0" w:type="dxa"/>
        <w:left w:w="108" w:type="dxa"/>
        <w:bottom w:w="0" w:type="dxa"/>
        <w:right w:w="108" w:type="dxa"/>
      </w:tblCellMar>
    </w:tblPr>
  </w:style>
  <w:style w:type="numbering" w:styleId="Nessunelenco" w:default="1">
    <w:name w:val="No List"/>
    <w:uiPriority w:val="99"/>
    <w:semiHidden/>
    <w:unhideWhenUsed/>
  </w:style>
  <w:style w:type="paragraph" w:styleId="Intestazione">
    <w:name w:val="header"/>
    <w:uiPriority w:val="99"/>
    <w:unhideWhenUsed/>
    <w:rsid w:val="69039367"/>
    <w:pPr>
      <w:tabs>
        <w:tab w:val="center" w:pos="4680"/>
        <w:tab w:val="right" w:pos="9360"/>
      </w:tabs>
      <w:spacing w:after="0" w:line="240" w:lineRule="auto"/>
    </w:pPr>
  </w:style>
  <w:style w:type="paragraph" w:styleId="Pidipagina">
    <w:name w:val="footer"/>
    <w:uiPriority w:val="99"/>
    <w:unhideWhenUsed/>
    <w:rsid w:val="69039367"/>
    <w:pPr>
      <w:tabs>
        <w:tab w:val="center" w:pos="4680"/>
        <w:tab w:val="right" w:pos="9360"/>
      </w:tabs>
      <w:spacing w:after="0" w:line="240" w:lineRule="auto"/>
    </w:pPr>
  </w:style>
  <w:style w:type="paragraph" w:styleId="Testonotaapidipagina">
    <w:name w:val="footnote text"/>
    <w:uiPriority w:val="99"/>
    <w:semiHidden/>
    <w:unhideWhenUsed/>
    <w:rsid w:val="69039367"/>
    <w:pPr>
      <w:spacing w:after="0" w:line="240" w:lineRule="auto"/>
    </w:pPr>
    <w:rPr>
      <w:sz w:val="20"/>
      <w:szCs w:val="20"/>
    </w:rPr>
  </w:style>
  <w:style w:type="character" w:styleId="Rimandonotaapidipagina">
    <w:name w:val="footnote reference"/>
    <w:uiPriority w:val="99"/>
    <w:semiHidden/>
    <w:unhideWhenUsed/>
    <w:rsid w:val="7C76CC8B"/>
    <w:rPr>
      <w:vertAlign w:val="superscript"/>
    </w:rPr>
  </w:style>
  <w:style w:type="table" w:styleId="Grigliatabella">
    <w:name w:val="Table Grid"/>
    <w:basedOn w:val="Tabellanormale"/>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Paragrafoelenco">
    <w:name w:val="List Paragraph"/>
    <w:uiPriority w:val="34"/>
    <w:qFormat/>
    <w:rsid w:val="69039367"/>
    <w:pPr>
      <w:ind w:left="720"/>
      <w:contextualSpacing/>
    </w:pPr>
  </w:style>
  <w:style w:type="character" w:styleId="Collegamentoipertestuale">
    <w:name w:val="Hyperlink"/>
    <w:uiPriority w:val="99"/>
    <w:unhideWhenUsed/>
    <w:rsid w:val="7C76CC8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4387008">
      <w:bodyDiv w:val="1"/>
      <w:marLeft w:val="0"/>
      <w:marRight w:val="0"/>
      <w:marTop w:val="0"/>
      <w:marBottom w:val="0"/>
      <w:divBdr>
        <w:top w:val="none" w:sz="0" w:space="0" w:color="auto"/>
        <w:left w:val="none" w:sz="0" w:space="0" w:color="auto"/>
        <w:bottom w:val="none" w:sz="0" w:space="0" w:color="auto"/>
        <w:right w:val="none" w:sz="0" w:space="0" w:color="auto"/>
      </w:divBdr>
      <w:divsChild>
        <w:div w:id="12175457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microsoft.com/office/2020/10/relationships/intelligence" Target="intelligence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footnotes.xml.rels><?xml version="1.0" encoding="UTF-8" standalone="yes"?>
<Relationships xmlns="http://schemas.openxmlformats.org/package/2006/relationships"><Relationship Id="rId2" Type="http://schemas.openxmlformats.org/officeDocument/2006/relationships/hyperlink" Target="http://dati.igsg.cnr.it/dogi/1125-856X/2022_4" TargetMode="External"/><Relationship Id="rId1" Type="http://schemas.openxmlformats.org/officeDocument/2006/relationships/hyperlink" Target="http://dati.igsg.cnr.it/dogi/1125-856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E5578A-CECC-4E3C-9D20-90234DD75A1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Chiara Destito</dc:creator>
  <keywords/>
  <dc:description/>
  <lastModifiedBy>Francesco Marra</lastModifiedBy>
  <revision>16</revision>
  <dcterms:created xsi:type="dcterms:W3CDTF">2026-05-15T13:09:00.0000000Z</dcterms:created>
  <dcterms:modified xsi:type="dcterms:W3CDTF">2026-07-18T11:17:52.9333350Z</dcterms:modified>
</coreProperties>
</file>