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11C9FBA" w:rsidP="1E4A1C8B" w:rsidRDefault="411C9FBA" w14:paraId="1D8E77EC" w14:textId="277E5FF2">
      <w:pPr>
        <w:pStyle w:val="Normal"/>
        <w:spacing w:before="0" w:beforeAutospacing="off" w:line="360" w:lineRule="auto"/>
        <w:jc w:val="both"/>
        <w:rPr>
          <w:rFonts w:ascii="Times New Roman" w:hAnsi="Times New Roman" w:eastAsia="Times New Roman" w:cs="Times New Roman"/>
          <w:b w:val="1"/>
          <w:bCs w:val="1"/>
          <w:sz w:val="24"/>
          <w:szCs w:val="24"/>
        </w:rPr>
      </w:pPr>
      <w:r w:rsidRPr="40E7DB1B" w:rsidR="411C9FBA">
        <w:rPr>
          <w:rFonts w:ascii="Times New Roman" w:hAnsi="Times New Roman" w:eastAsia="Times New Roman" w:cs="Times New Roman"/>
          <w:b w:val="1"/>
          <w:bCs w:val="1"/>
          <w:sz w:val="24"/>
          <w:szCs w:val="24"/>
        </w:rPr>
        <w:t>Capitolo 2</w:t>
      </w:r>
    </w:p>
    <w:p w:rsidR="40E7DB1B" w:rsidP="40E7DB1B" w:rsidRDefault="40E7DB1B" w14:paraId="7F555ED5" w14:textId="64B825B1">
      <w:pPr>
        <w:pStyle w:val="Normal"/>
        <w:spacing w:before="0" w:beforeAutospacing="off" w:line="360" w:lineRule="auto"/>
        <w:jc w:val="both"/>
        <w:rPr>
          <w:rFonts w:ascii="Times New Roman" w:hAnsi="Times New Roman" w:eastAsia="Times New Roman" w:cs="Times New Roman"/>
          <w:b w:val="1"/>
          <w:bCs w:val="1"/>
          <w:sz w:val="24"/>
          <w:szCs w:val="24"/>
        </w:rPr>
      </w:pPr>
    </w:p>
    <w:p w:rsidR="411C9FBA" w:rsidP="1E4A1C8B" w:rsidRDefault="411C9FBA" w14:paraId="3296E44D" w14:textId="0E83263E">
      <w:pPr>
        <w:pStyle w:val="Normal"/>
        <w:spacing w:before="0" w:beforeAutospacing="off" w:line="360" w:lineRule="auto"/>
        <w:jc w:val="both"/>
        <w:rPr>
          <w:rFonts w:ascii="Times New Roman" w:hAnsi="Times New Roman" w:eastAsia="Times New Roman" w:cs="Times New Roman"/>
          <w:b w:val="1"/>
          <w:bCs w:val="1"/>
          <w:sz w:val="24"/>
          <w:szCs w:val="24"/>
        </w:rPr>
      </w:pPr>
      <w:r w:rsidRPr="1E4A1C8B" w:rsidR="411C9FBA">
        <w:rPr>
          <w:rFonts w:ascii="Times New Roman" w:hAnsi="Times New Roman" w:eastAsia="Times New Roman" w:cs="Times New Roman"/>
          <w:b w:val="1"/>
          <w:bCs w:val="1"/>
          <w:sz w:val="24"/>
          <w:szCs w:val="24"/>
        </w:rPr>
        <w:t>Best Practice e Catena di Custodia: Un Obiettivo Mancato</w:t>
      </w:r>
    </w:p>
    <w:p w:rsidR="77AB10F1" w:rsidP="1E4A1C8B" w:rsidRDefault="77AB10F1" w14:paraId="5CD59E8E" w14:textId="1D88FC0C">
      <w:pPr>
        <w:pStyle w:val="Normal"/>
        <w:spacing w:before="0" w:beforeAutospacing="off" w:line="360" w:lineRule="auto"/>
        <w:jc w:val="both"/>
        <w:rPr>
          <w:rFonts w:ascii="Times New Roman" w:hAnsi="Times New Roman" w:eastAsia="Times New Roman" w:cs="Times New Roman"/>
          <w:b w:val="1"/>
          <w:bCs w:val="1"/>
          <w:sz w:val="24"/>
          <w:szCs w:val="24"/>
        </w:rPr>
      </w:pPr>
    </w:p>
    <w:p w:rsidR="411C9FBA" w:rsidP="1E4A1C8B" w:rsidRDefault="411C9FBA" w14:paraId="4650BD97" w14:textId="0F8A70B6">
      <w:pPr>
        <w:pStyle w:val="Normal"/>
        <w:spacing w:before="0" w:beforeAutospacing="off" w:line="360" w:lineRule="auto"/>
        <w:jc w:val="both"/>
        <w:rPr>
          <w:rFonts w:ascii="Times New Roman" w:hAnsi="Times New Roman" w:eastAsia="Times New Roman" w:cs="Times New Roman"/>
          <w:b w:val="1"/>
          <w:bCs w:val="1"/>
          <w:sz w:val="24"/>
          <w:szCs w:val="24"/>
        </w:rPr>
      </w:pPr>
      <w:r w:rsidRPr="1E4A1C8B" w:rsidR="411C9FBA">
        <w:rPr>
          <w:rFonts w:ascii="Times New Roman" w:hAnsi="Times New Roman" w:eastAsia="Times New Roman" w:cs="Times New Roman"/>
          <w:b w:val="1"/>
          <w:bCs w:val="1"/>
          <w:sz w:val="24"/>
          <w:szCs w:val="24"/>
        </w:rPr>
        <w:t>2.1 La Convenzione di Budapest</w:t>
      </w:r>
    </w:p>
    <w:p w:rsidR="77AB10F1" w:rsidP="1E4A1C8B" w:rsidRDefault="77AB10F1" w14:paraId="14035BF5" w14:textId="1E615E15">
      <w:pPr>
        <w:pStyle w:val="Normal"/>
        <w:spacing w:before="0" w:beforeAutospacing="off" w:line="360" w:lineRule="auto"/>
        <w:jc w:val="both"/>
        <w:rPr>
          <w:rFonts w:ascii="Times New Roman" w:hAnsi="Times New Roman" w:eastAsia="Times New Roman" w:cs="Times New Roman"/>
          <w:b w:val="0"/>
          <w:bCs w:val="0"/>
          <w:sz w:val="24"/>
          <w:szCs w:val="24"/>
        </w:rPr>
      </w:pPr>
    </w:p>
    <w:p w:rsidR="411C9FBA" w:rsidP="40E7DB1B" w:rsidRDefault="411C9FBA" w14:paraId="79FE9598" w14:textId="442D107E">
      <w:pPr>
        <w:pStyle w:val="Normal"/>
        <w:spacing w:before="0" w:beforeAutospacing="off" w:after="240" w:afterAutospacing="off" w:line="360" w:lineRule="auto"/>
        <w:jc w:val="both"/>
      </w:pPr>
      <w:r w:rsidRPr="49E96B32" w:rsidR="411C9FBA">
        <w:rPr>
          <w:rFonts w:ascii="Times New Roman" w:hAnsi="Times New Roman" w:eastAsia="Times New Roman" w:cs="Times New Roman"/>
          <w:b w:val="0"/>
          <w:bCs w:val="0"/>
          <w:sz w:val="24"/>
          <w:szCs w:val="24"/>
        </w:rPr>
        <w:t xml:space="preserve">L’analisi delle criticità legate alla catena di custodia e alla garanzia di integrità del dato informatico deve necessariamente muovere dal suo fondamento normativo </w:t>
      </w:r>
      <w:r w:rsidRPr="49E96B32" w:rsidR="5E8A56BD">
        <w:rPr>
          <w:rFonts w:ascii="Times New Roman" w:hAnsi="Times New Roman" w:eastAsia="Times New Roman" w:cs="Times New Roman"/>
          <w:b w:val="0"/>
          <w:bCs w:val="0"/>
          <w:sz w:val="24"/>
          <w:szCs w:val="24"/>
        </w:rPr>
        <w:t>sovranazionale:</w:t>
      </w:r>
      <w:r w:rsidRPr="49E96B32" w:rsidR="411C9FBA">
        <w:rPr>
          <w:rFonts w:ascii="Times New Roman" w:hAnsi="Times New Roman" w:eastAsia="Times New Roman" w:cs="Times New Roman"/>
          <w:b w:val="0"/>
          <w:bCs w:val="0"/>
          <w:sz w:val="24"/>
          <w:szCs w:val="24"/>
        </w:rPr>
        <w:t xml:space="preserve"> la Convenzione del Consiglio d’Europa sulla criminalità informatica, aperta alla firma a Budapest il 23 novembre 2001. Questo strumento rappresenta il primo e, ad oggi, più completo trattato internazionale volto ad armonizzare le normative nazionali in materia di cybercrime, introducendo un approccio sistematico alle problematiche</w:t>
      </w:r>
      <w:r w:rsidRPr="49E96B32" w:rsidR="009528E4">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investigative poste dall’era digitale.</w:t>
      </w:r>
      <w:r w:rsidRPr="49E96B32" w:rsidR="3C4F989C">
        <w:rPr>
          <w:rFonts w:ascii="Times New Roman" w:hAnsi="Times New Roman" w:eastAsia="Times New Roman" w:cs="Times New Roman"/>
          <w:b w:val="0"/>
          <w:bCs w:val="0"/>
          <w:sz w:val="24"/>
          <w:szCs w:val="24"/>
        </w:rPr>
        <w:t xml:space="preserve"> </w:t>
      </w:r>
      <w:r w:rsidRPr="49E96B32" w:rsidR="3C4F989C">
        <w:rPr>
          <w:rFonts w:ascii="Times New Roman" w:hAnsi="Times New Roman" w:eastAsia="Times New Roman" w:cs="Times New Roman"/>
          <w:b w:val="0"/>
          <w:bCs w:val="0"/>
          <w:sz w:val="24"/>
          <w:szCs w:val="24"/>
        </w:rPr>
        <w:t>Caratterizzata sin dalle origini da una vocazione tendenzialmente universale, non confinata alla membership del Consiglio d’Europa (pur non essendo membri del Consiglio d’Europa parteciparono ai negoziati anche il Canada, il Giappone, il Sudafrica e gli USA) la Convenzione di Budapest è aperta all’adesione di qualsiasi Stato disponibile ad attuare le sue previsioni e ad allacciare la cooperazione internazionale.</w:t>
      </w:r>
      <w:r w:rsidRPr="49E96B32" w:rsidR="393F721A">
        <w:rPr>
          <w:rFonts w:ascii="Times New Roman" w:hAnsi="Times New Roman" w:eastAsia="Times New Roman" w:cs="Times New Roman"/>
          <w:b w:val="0"/>
          <w:bCs w:val="0"/>
          <w:sz w:val="24"/>
          <w:szCs w:val="24"/>
        </w:rPr>
        <w:t xml:space="preserve"> Grazie all’ampia base di consenso che ha aggregato e al suo linguaggio neutrale, </w:t>
      </w:r>
      <w:r w:rsidRPr="49E96B32" w:rsidR="393F721A">
        <w:rPr>
          <w:rFonts w:ascii="Times New Roman" w:hAnsi="Times New Roman" w:eastAsia="Times New Roman" w:cs="Times New Roman"/>
          <w:b w:val="0"/>
          <w:bCs w:val="0"/>
          <w:sz w:val="24"/>
          <w:szCs w:val="24"/>
        </w:rPr>
        <w:t xml:space="preserve">adattabile all’evoluzione della tecnologia, da oltre venti anni essa rappresenta un efficace strumento di risposta al cybercrime, non solo in Europa, ma anche a livello globale. </w:t>
      </w:r>
      <w:r w:rsidRPr="49E96B32" w:rsidR="2439A78E">
        <w:rPr>
          <w:rFonts w:ascii="Times New Roman" w:hAnsi="Times New Roman" w:eastAsia="Times New Roman" w:cs="Times New Roman"/>
          <w:noProof w:val="0"/>
          <w:sz w:val="24"/>
          <w:szCs w:val="24"/>
          <w:lang w:val="it-IT"/>
        </w:rPr>
        <w:t xml:space="preserve">Attualmente la Convenzione conta l’adesione di 81 Stati, di cui 45 appartenenti al Consiglio d’Europa (tra i quali 26 Stati membri dell’Unione europea) e 37 Paesi esterni a tale organizzazione. A questi si affiancano ulteriori 16 Stati con status di “osservatori”, ossia firmatari o invitati </w:t>
      </w:r>
      <w:r w:rsidRPr="49E96B32" w:rsidR="2439A78E">
        <w:rPr>
          <w:rFonts w:ascii="Times New Roman" w:hAnsi="Times New Roman" w:eastAsia="Times New Roman" w:cs="Times New Roman"/>
          <w:noProof w:val="0"/>
          <w:sz w:val="24"/>
          <w:szCs w:val="24"/>
          <w:lang w:val="it-IT"/>
        </w:rPr>
        <w:t>ad</w:t>
      </w:r>
      <w:r w:rsidRPr="49E96B32" w:rsidR="2439A78E">
        <w:rPr>
          <w:rFonts w:ascii="Times New Roman" w:hAnsi="Times New Roman" w:eastAsia="Times New Roman" w:cs="Times New Roman"/>
          <w:noProof w:val="0"/>
          <w:sz w:val="24"/>
          <w:szCs w:val="24"/>
          <w:lang w:val="it-IT"/>
        </w:rPr>
        <w:t xml:space="preserve"> aderire. Tra </w:t>
      </w:r>
      <w:r w:rsidRPr="49E96B32" w:rsidR="2439A78E">
        <w:rPr>
          <w:rFonts w:ascii="Times New Roman" w:hAnsi="Times New Roman" w:eastAsia="Times New Roman" w:cs="Times New Roman"/>
          <w:noProof w:val="0"/>
          <w:sz w:val="24"/>
          <w:szCs w:val="24"/>
          <w:lang w:val="it-IT"/>
        </w:rPr>
        <w:t>questi figura</w:t>
      </w:r>
      <w:r w:rsidRPr="49E96B32" w:rsidR="2439A78E">
        <w:rPr>
          <w:rFonts w:ascii="Times New Roman" w:hAnsi="Times New Roman" w:eastAsia="Times New Roman" w:cs="Times New Roman"/>
          <w:noProof w:val="0"/>
          <w:sz w:val="24"/>
          <w:szCs w:val="24"/>
          <w:lang w:val="it-IT"/>
        </w:rPr>
        <w:t xml:space="preserve"> l’Irlanda, unico Stato appartenente sia al Consiglio d’Europa sia all’Unione europea ad aver sottoscritto la Convenzione senza averne ancora completato il processo di ratifica. Si aggiungono, inoltre, 11 organizzazioni ed enti che partecipano in qualità di osservatori.</w:t>
      </w:r>
    </w:p>
    <w:p w:rsidR="411C9FBA" w:rsidP="40E7DB1B" w:rsidRDefault="411C9FBA" w14:paraId="3D680BF6" w14:textId="61578146">
      <w:pPr>
        <w:spacing w:before="240" w:beforeAutospacing="off" w:after="240" w:afterAutospacing="off" w:line="360" w:lineRule="auto"/>
        <w:jc w:val="both"/>
      </w:pPr>
      <w:r w:rsidRPr="40E7DB1B" w:rsidR="2439A78E">
        <w:rPr>
          <w:rFonts w:ascii="Times New Roman" w:hAnsi="Times New Roman" w:eastAsia="Times New Roman" w:cs="Times New Roman"/>
          <w:noProof w:val="0"/>
          <w:sz w:val="24"/>
          <w:szCs w:val="24"/>
          <w:lang w:val="it-IT"/>
        </w:rPr>
        <w:t>Secondo i dati forniti dal Consiglio d’Europa aggiornati a dicembre 2024:</w:t>
      </w:r>
    </w:p>
    <w:p w:rsidR="411C9FBA" w:rsidP="40E7DB1B" w:rsidRDefault="411C9FBA" w14:paraId="7032E842" w14:textId="34BF04D2">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2439A78E">
        <w:rPr>
          <w:rFonts w:ascii="Times New Roman" w:hAnsi="Times New Roman" w:eastAsia="Times New Roman" w:cs="Times New Roman"/>
          <w:noProof w:val="0"/>
          <w:sz w:val="24"/>
          <w:szCs w:val="24"/>
          <w:lang w:val="it-IT"/>
        </w:rPr>
        <w:t>circa il 95% degli Stati membri delle Nazioni Unite aveva già adottato, o stava per adottare, riforme legislative in materia di criminalità informatica, con sviluppi rilevanti registrati in tutte le principali aree geografiche (Africa, Americhe, Asia, Europa e Oceania);</w:t>
      </w:r>
    </w:p>
    <w:p w:rsidR="411C9FBA" w:rsidP="40E7DB1B" w:rsidRDefault="411C9FBA" w14:paraId="21455C4C" w14:textId="606ABB12">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2439A78E">
        <w:rPr>
          <w:rFonts w:ascii="Times New Roman" w:hAnsi="Times New Roman" w:eastAsia="Times New Roman" w:cs="Times New Roman"/>
          <w:noProof w:val="0"/>
          <w:sz w:val="24"/>
          <w:szCs w:val="24"/>
          <w:lang w:val="it-IT"/>
        </w:rPr>
        <w:t>in numerosi ordinamenti permangono tuttavia riforme non concluse, disegni di legge fermi da tempo e difficoltà nell’attuazione concreta delle nuove normative, evidenziando la necessità di interventi di supporto per il rafforzamento delle competenze (capacity building);</w:t>
      </w:r>
    </w:p>
    <w:p w:rsidR="411C9FBA" w:rsidP="40E7DB1B" w:rsidRDefault="411C9FBA" w14:paraId="78B4F267" w14:textId="3A9AD4BC">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2439A78E">
        <w:rPr>
          <w:rFonts w:ascii="Times New Roman" w:hAnsi="Times New Roman" w:eastAsia="Times New Roman" w:cs="Times New Roman"/>
          <w:noProof w:val="0"/>
          <w:sz w:val="24"/>
          <w:szCs w:val="24"/>
          <w:lang w:val="it-IT"/>
        </w:rPr>
        <w:t>il 68% degli Stati membri dell’ONU aveva introdotto norme di diritto penale sostanziale volte a incriminare i reati commessi contro i sistemi informatici o mediante il loro utilizzo, segnando un progresso significativo rispetto alla situazione del 2013;</w:t>
      </w:r>
    </w:p>
    <w:p w:rsidR="411C9FBA" w:rsidP="40E7DB1B" w:rsidRDefault="411C9FBA" w14:paraId="27E5D749" w14:textId="3C777F64">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2439A78E">
        <w:rPr>
          <w:rFonts w:ascii="Times New Roman" w:hAnsi="Times New Roman" w:eastAsia="Times New Roman" w:cs="Times New Roman"/>
          <w:noProof w:val="0"/>
          <w:sz w:val="24"/>
          <w:szCs w:val="24"/>
          <w:lang w:val="it-IT"/>
        </w:rPr>
        <w:t>il 52% degli Stati disponeva di strumenti procedurali specifici per la raccolta e la conservazione delle prove elettroniche; tuttavia, molti continuavano a fare affidamento su discipline processuali di carattere generale, il che segnala l’esigenza di ulteriori miglioramenti;</w:t>
      </w:r>
    </w:p>
    <w:p w:rsidR="411C9FBA" w:rsidP="40E7DB1B" w:rsidRDefault="411C9FBA" w14:paraId="110F4095" w14:textId="5E72FEFD">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2439A78E">
        <w:rPr>
          <w:rFonts w:ascii="Times New Roman" w:hAnsi="Times New Roman" w:eastAsia="Times New Roman" w:cs="Times New Roman"/>
          <w:noProof w:val="0"/>
          <w:sz w:val="24"/>
          <w:szCs w:val="24"/>
          <w:lang w:val="it-IT"/>
        </w:rPr>
        <w:t>quasi la metà degli Stati membri delle Nazioni Unite risultava parte o firmataria della Convenzione sulla criminalità informatica, mentre 95 Stati partecipavano, come membri o osservatori, al Comitato della Convenzione (T-CY);</w:t>
      </w:r>
    </w:p>
    <w:p w:rsidR="411C9FBA" w:rsidP="40E7DB1B" w:rsidRDefault="411C9FBA" w14:paraId="773088DD" w14:textId="56E1F54B">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2439A78E">
        <w:rPr>
          <w:rFonts w:ascii="Times New Roman" w:hAnsi="Times New Roman" w:eastAsia="Times New Roman" w:cs="Times New Roman"/>
          <w:noProof w:val="0"/>
          <w:sz w:val="24"/>
          <w:szCs w:val="24"/>
          <w:lang w:val="it-IT"/>
        </w:rPr>
        <w:t>diversi Paesi avevano intrapreso riforme dirette a dare attuazione al Secondo Protocollo aggiuntivo, relativo al potenziamento della cooperazione internazionale e alla condivisione delle prove elettroniche.</w:t>
      </w:r>
    </w:p>
    <w:p w:rsidR="411C9FBA" w:rsidP="40E7DB1B" w:rsidRDefault="411C9FBA" w14:paraId="7B803B9A" w14:textId="5F31ADE6">
      <w:pPr>
        <w:spacing w:before="240" w:beforeAutospacing="off" w:after="240" w:afterAutospacing="off" w:line="360" w:lineRule="auto"/>
        <w:jc w:val="both"/>
      </w:pPr>
      <w:r w:rsidRPr="40E7DB1B" w:rsidR="2439A78E">
        <w:rPr>
          <w:rFonts w:ascii="Times New Roman" w:hAnsi="Times New Roman" w:eastAsia="Times New Roman" w:cs="Times New Roman"/>
          <w:noProof w:val="0"/>
          <w:sz w:val="24"/>
          <w:szCs w:val="24"/>
          <w:lang w:val="it-IT"/>
        </w:rPr>
        <w:t>L’attuazione della Convenzione è monitorata dal Comitato sulla criminalità informatica (T-CY), mentre il Programma sulla criminalità informatica con sede a Bucarest fornisce supporto operativo agli Stati a livello globale, anche attraverso iniziative di formazione come il progetto GLACY (Global Action on Cybercrime).</w:t>
      </w:r>
      <w:r w:rsidRPr="40E7DB1B" w:rsidR="3C018D01">
        <w:rPr>
          <w:rFonts w:ascii="Times New Roman" w:hAnsi="Times New Roman" w:eastAsia="Times New Roman" w:cs="Times New Roman"/>
          <w:noProof w:val="0"/>
          <w:sz w:val="24"/>
          <w:szCs w:val="24"/>
          <w:lang w:val="it-IT"/>
        </w:rPr>
        <w:t xml:space="preserve"> </w:t>
      </w:r>
    </w:p>
    <w:p w:rsidR="3C018D01" w:rsidP="40E7DB1B" w:rsidRDefault="3C018D01" w14:paraId="19A1DAB2" w14:textId="7A346510">
      <w:pPr>
        <w:spacing w:before="0" w:beforeAutospacing="off" w:after="240" w:afterAutospacing="off" w:line="360" w:lineRule="auto"/>
        <w:jc w:val="both"/>
      </w:pPr>
      <w:r w:rsidRPr="40E7DB1B" w:rsidR="3C018D01">
        <w:rPr>
          <w:rFonts w:ascii="Times New Roman" w:hAnsi="Times New Roman" w:eastAsia="Times New Roman" w:cs="Times New Roman"/>
          <w:noProof w:val="0"/>
          <w:sz w:val="24"/>
          <w:szCs w:val="24"/>
          <w:lang w:val="it-IT"/>
        </w:rPr>
        <w:t>La Convenzione nasce dalla necessità di fronteggiare una particolare forma di criminalità — quella informatica — caratterizzata sia dalla dimensione transnazionale sia dalle peculiarità dello strumento tecnologico impiegato, contraddistinto da accessibilità, rapidità ed elevata efficacia. È infatti noto come, grazie all’interconnessione tra sistemi informatici collocati in luoghi diversi, l’autore di un illecito possa operare da un determinato territorio producendo effetti immediati in altri contesti geografici, anche soggetti a giurisdizioni differenti. In un simile scenario, risulta essenziale disporre di strumenti di cooperazione internazionale capaci di operare in modo rapido ed efficace, così da garantire la raccolta delle prove, l’accertamento dei fatti e la punizione dei responsabili, indipendentemente dal luogo in cui si trovino.</w:t>
      </w:r>
    </w:p>
    <w:p w:rsidR="3C018D01" w:rsidP="40E7DB1B" w:rsidRDefault="3C018D01" w14:paraId="3C5B4A25" w14:textId="78FDF7B6">
      <w:pPr>
        <w:spacing w:before="240" w:beforeAutospacing="off" w:after="240" w:afterAutospacing="off" w:line="360" w:lineRule="auto"/>
        <w:jc w:val="both"/>
      </w:pPr>
      <w:r w:rsidRPr="40E7DB1B" w:rsidR="3C018D01">
        <w:rPr>
          <w:rFonts w:ascii="Times New Roman" w:hAnsi="Times New Roman" w:eastAsia="Times New Roman" w:cs="Times New Roman"/>
          <w:noProof w:val="0"/>
          <w:sz w:val="24"/>
          <w:szCs w:val="24"/>
          <w:lang w:val="it-IT"/>
        </w:rPr>
        <w:t>In questa prospettiva, il trattato mira a contrastare sia i reati che possono essere realizzati esclusivamente tramite l’impiego delle tecnologie digitali — nei quali i sistemi informatici costituiscono al tempo stesso mezzo e obiettivo dell’azione criminosa (cosiddetti “cyber-dependent crimes”) — sia quelli in cui la tecnologia funge da supporto alla commissione di ulteriori illeciti, come accade, ad esempio, nelle frodi (i cosiddetti “cyber-enabled crimes”). A tal fine, la Convenzione si fonda su due direttrici principali, tra loro complementari:</w:t>
      </w:r>
    </w:p>
    <w:p w:rsidR="3C018D01" w:rsidP="40E7DB1B" w:rsidRDefault="3C018D01" w14:paraId="2D8C7DEE" w14:textId="2C033A6B">
      <w:pPr>
        <w:pStyle w:val="ListParagraph"/>
        <w:numPr>
          <w:ilvl w:val="0"/>
          <w:numId w:val="4"/>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3C018D01">
        <w:rPr>
          <w:rFonts w:ascii="Times New Roman" w:hAnsi="Times New Roman" w:eastAsia="Times New Roman" w:cs="Times New Roman"/>
          <w:noProof w:val="0"/>
          <w:sz w:val="24"/>
          <w:szCs w:val="24"/>
          <w:lang w:val="it-IT"/>
        </w:rPr>
        <w:t>il ravvicinamento delle legislazioni nazionali, attraverso un processo di armonizzazione volto a rendere più omogenei i sistemi giuridici, sia sotto il profilo sostanziale sia sotto quello processuale;</w:t>
      </w:r>
    </w:p>
    <w:p w:rsidR="3C018D01" w:rsidP="40E7DB1B" w:rsidRDefault="3C018D01" w14:paraId="4CC842A5" w14:textId="56C6B01C">
      <w:pPr>
        <w:pStyle w:val="ListParagraph"/>
        <w:numPr>
          <w:ilvl w:val="0"/>
          <w:numId w:val="4"/>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3C018D01">
        <w:rPr>
          <w:rFonts w:ascii="Times New Roman" w:hAnsi="Times New Roman" w:eastAsia="Times New Roman" w:cs="Times New Roman"/>
          <w:noProof w:val="0"/>
          <w:sz w:val="24"/>
          <w:szCs w:val="24"/>
          <w:lang w:val="it-IT"/>
        </w:rPr>
        <w:t>il rafforzamento della cooperazione internazionale, la cui efficacia presuppone l’esistenza di una base normativa condivisa che consenta agli Stati di interagire efficacemente, facendo riferimento a categorie giuridiche comuni, principi fondamentali, fattispecie incriminatrici e strumenti procedurali idonei a garantire una tempestiva acquisizione delle prove.</w:t>
      </w:r>
    </w:p>
    <w:p w:rsidR="3C018D01" w:rsidP="40E7DB1B" w:rsidRDefault="3C018D01" w14:paraId="201A0B37" w14:textId="76949582">
      <w:pPr>
        <w:spacing w:before="240" w:beforeAutospacing="off" w:after="240" w:afterAutospacing="off" w:line="360" w:lineRule="auto"/>
        <w:jc w:val="both"/>
      </w:pPr>
      <w:r w:rsidRPr="40E7DB1B" w:rsidR="3C018D01">
        <w:rPr>
          <w:rFonts w:ascii="Times New Roman" w:hAnsi="Times New Roman" w:eastAsia="Times New Roman" w:cs="Times New Roman"/>
          <w:noProof w:val="0"/>
          <w:sz w:val="24"/>
          <w:szCs w:val="24"/>
          <w:lang w:val="it-IT"/>
        </w:rPr>
        <w:t>Il perseguimento di tali obiettivi è comunque accompagnato dalla costante attenzione al rispetto dei diritti fondamentali e al principio di proporzionalità, che devono orientare l’adozione e l’applicazione delle misure previste.</w:t>
      </w:r>
      <w:r w:rsidRPr="40E7DB1B" w:rsidR="1E1EC02D">
        <w:rPr>
          <w:rFonts w:ascii="Times New Roman" w:hAnsi="Times New Roman" w:eastAsia="Times New Roman" w:cs="Times New Roman"/>
          <w:noProof w:val="0"/>
          <w:sz w:val="24"/>
          <w:szCs w:val="24"/>
          <w:lang w:val="it-IT"/>
        </w:rPr>
        <w:t xml:space="preserve"> </w:t>
      </w:r>
    </w:p>
    <w:p w:rsidR="46F134C8" w:rsidP="40E7DB1B" w:rsidRDefault="46F134C8" w14:paraId="50B94BD1" w14:textId="7FC957CF">
      <w:pPr>
        <w:spacing w:before="240" w:beforeAutospacing="off" w:after="240" w:afterAutospacing="off" w:line="360" w:lineRule="auto"/>
        <w:jc w:val="both"/>
      </w:pPr>
      <w:r w:rsidRPr="40E7DB1B" w:rsidR="46F134C8">
        <w:rPr>
          <w:rFonts w:ascii="Times New Roman" w:hAnsi="Times New Roman" w:eastAsia="Times New Roman" w:cs="Times New Roman"/>
          <w:noProof w:val="0"/>
          <w:sz w:val="24"/>
          <w:szCs w:val="24"/>
          <w:lang w:val="it-IT"/>
        </w:rPr>
        <w:t>In termini più generali, è opportuno sottolineare che la Convenzione del Consiglio d’Europa sulla criminalità informatica non si limita a disciplinare i soli reati informatici in senso stretto. Essa, infatti, consente l’impiego di strumenti procedurali e meccanismi di cooperazione internazionale anche con riferimento a qualsiasi fattispecie criminosa in cui la prova elettronica assuma rilievo.</w:t>
      </w:r>
    </w:p>
    <w:p w:rsidR="46F134C8" w:rsidP="40E7DB1B" w:rsidRDefault="46F134C8" w14:paraId="08384720" w14:textId="67E06855">
      <w:pPr>
        <w:spacing w:before="240" w:beforeAutospacing="off" w:after="240" w:afterAutospacing="off" w:line="360" w:lineRule="auto"/>
        <w:jc w:val="both"/>
      </w:pPr>
      <w:r w:rsidRPr="40E7DB1B" w:rsidR="46F134C8">
        <w:rPr>
          <w:rFonts w:ascii="Times New Roman" w:hAnsi="Times New Roman" w:eastAsia="Times New Roman" w:cs="Times New Roman"/>
          <w:noProof w:val="0"/>
          <w:sz w:val="24"/>
          <w:szCs w:val="24"/>
          <w:lang w:val="it-IT"/>
        </w:rPr>
        <w:t>Ne deriva che la Convenzione si configura come un quadro normativo complesso e di ampio respiro, caratterizzato da finalità particolarmente estese, che ancora oggi rappresenta un punto di riferimento fondamentale per l’evoluzione delle legislazioni nazionali in materia a livello globale.</w:t>
      </w:r>
    </w:p>
    <w:p w:rsidR="411C9FBA" w:rsidP="1E4A1C8B" w:rsidRDefault="411C9FBA" w14:paraId="75B258F8" w14:textId="213653DC">
      <w:pPr>
        <w:pStyle w:val="Normal"/>
        <w:spacing w:before="0" w:beforeAutospacing="off" w:line="360" w:lineRule="auto"/>
        <w:jc w:val="both"/>
      </w:pPr>
      <w:r w:rsidRPr="77AB10F1" w:rsidR="411C9FBA">
        <w:rPr>
          <w:rFonts w:ascii="Times New Roman" w:hAnsi="Times New Roman" w:eastAsia="Times New Roman" w:cs="Times New Roman"/>
          <w:b w:val="0"/>
          <w:bCs w:val="0"/>
          <w:sz w:val="24"/>
          <w:szCs w:val="24"/>
        </w:rPr>
        <w:t>La Convenzione nasce dalla consapevolezza che i tradizionali strumenti di coope</w:t>
      </w:r>
      <w:r w:rsidRPr="77AB10F1" w:rsidR="411C9FBA">
        <w:rPr>
          <w:rFonts w:ascii="Times New Roman" w:hAnsi="Times New Roman" w:eastAsia="Times New Roman" w:cs="Times New Roman"/>
          <w:b w:val="0"/>
          <w:bCs w:val="0"/>
          <w:sz w:val="24"/>
          <w:szCs w:val="24"/>
        </w:rPr>
        <w:t>razione e i mezzi di ricerca della prova, concepiti per una realtà analogica, fossero</w:t>
      </w:r>
      <w:r w:rsidRPr="77AB10F1" w:rsidR="0B5D8191">
        <w:rPr>
          <w:rFonts w:ascii="Times New Roman" w:hAnsi="Times New Roman" w:eastAsia="Times New Roman" w:cs="Times New Roman"/>
          <w:b w:val="0"/>
          <w:bCs w:val="0"/>
          <w:sz w:val="24"/>
          <w:szCs w:val="24"/>
        </w:rPr>
        <w:t xml:space="preserve"> </w:t>
      </w:r>
      <w:r w:rsidRPr="77AB10F1" w:rsidR="411C9FBA">
        <w:rPr>
          <w:rFonts w:ascii="Times New Roman" w:hAnsi="Times New Roman" w:eastAsia="Times New Roman" w:cs="Times New Roman"/>
          <w:b w:val="0"/>
          <w:bCs w:val="0"/>
          <w:sz w:val="24"/>
          <w:szCs w:val="24"/>
        </w:rPr>
        <w:t>divenuti inadeguati. L’obiettivo primario non era solo armonizzare il diritto penale</w:t>
      </w:r>
      <w:r w:rsidRPr="77AB10F1" w:rsidR="3D6FAF36">
        <w:rPr>
          <w:rFonts w:ascii="Times New Roman" w:hAnsi="Times New Roman" w:eastAsia="Times New Roman" w:cs="Times New Roman"/>
          <w:b w:val="0"/>
          <w:bCs w:val="0"/>
          <w:sz w:val="24"/>
          <w:szCs w:val="24"/>
        </w:rPr>
        <w:t xml:space="preserve"> </w:t>
      </w:r>
      <w:r w:rsidRPr="77AB10F1" w:rsidR="411C9FBA">
        <w:rPr>
          <w:rFonts w:ascii="Times New Roman" w:hAnsi="Times New Roman" w:eastAsia="Times New Roman" w:cs="Times New Roman"/>
          <w:b w:val="0"/>
          <w:bCs w:val="0"/>
          <w:sz w:val="24"/>
          <w:szCs w:val="24"/>
        </w:rPr>
        <w:t xml:space="preserve">sostanziale — creando fattispecie di reato comuni per evitare i cosiddetti </w:t>
      </w:r>
      <w:r w:rsidRPr="40E7DB1B" w:rsidR="411C9FBA">
        <w:rPr>
          <w:rFonts w:ascii="Times New Roman" w:hAnsi="Times New Roman" w:eastAsia="Times New Roman" w:cs="Times New Roman"/>
          <w:b w:val="0"/>
          <w:bCs w:val="0"/>
          <w:i w:val="1"/>
          <w:iCs w:val="1"/>
          <w:sz w:val="24"/>
          <w:szCs w:val="24"/>
        </w:rPr>
        <w:t xml:space="preserve">safe </w:t>
      </w:r>
      <w:r w:rsidRPr="40E7DB1B" w:rsidR="411C9FBA">
        <w:rPr>
          <w:rFonts w:ascii="Times New Roman" w:hAnsi="Times New Roman" w:eastAsia="Times New Roman" w:cs="Times New Roman"/>
          <w:b w:val="0"/>
          <w:bCs w:val="0"/>
          <w:i w:val="1"/>
          <w:iCs w:val="1"/>
          <w:sz w:val="24"/>
          <w:szCs w:val="24"/>
        </w:rPr>
        <w:t>havens</w:t>
      </w:r>
      <w:r w:rsidRPr="77AB10F1" w:rsidR="411C9FBA">
        <w:rPr>
          <w:rFonts w:ascii="Times New Roman" w:hAnsi="Times New Roman" w:eastAsia="Times New Roman" w:cs="Times New Roman"/>
          <w:b w:val="0"/>
          <w:bCs w:val="0"/>
          <w:sz w:val="24"/>
          <w:szCs w:val="24"/>
        </w:rPr>
        <w:t xml:space="preserve"> ma soprattutto definire poteri procedurali che consentissero alle autorità nazionali</w:t>
      </w:r>
      <w:r w:rsidRPr="77AB10F1" w:rsidR="4736A91D">
        <w:rPr>
          <w:rFonts w:ascii="Times New Roman" w:hAnsi="Times New Roman" w:eastAsia="Times New Roman" w:cs="Times New Roman"/>
          <w:b w:val="0"/>
          <w:bCs w:val="0"/>
          <w:sz w:val="24"/>
          <w:szCs w:val="24"/>
        </w:rPr>
        <w:t xml:space="preserve"> </w:t>
      </w:r>
      <w:r w:rsidRPr="77AB10F1" w:rsidR="411C9FBA">
        <w:rPr>
          <w:rFonts w:ascii="Times New Roman" w:hAnsi="Times New Roman" w:eastAsia="Times New Roman" w:cs="Times New Roman"/>
          <w:b w:val="0"/>
          <w:bCs w:val="0"/>
          <w:sz w:val="24"/>
          <w:szCs w:val="24"/>
        </w:rPr>
        <w:t>di fronteggiare la volatilità e l’immaterialità del dato digitale</w:t>
      </w:r>
      <w:r w:rsidRPr="77AB10F1">
        <w:rPr>
          <w:rStyle w:val="FootnoteReference"/>
          <w:rFonts w:ascii="Times New Roman" w:hAnsi="Times New Roman" w:eastAsia="Times New Roman" w:cs="Times New Roman"/>
          <w:b w:val="0"/>
          <w:bCs w:val="0"/>
          <w:sz w:val="24"/>
          <w:szCs w:val="24"/>
        </w:rPr>
        <w:footnoteReference w:id="6682"/>
      </w:r>
      <w:r w:rsidRPr="77AB10F1" w:rsidR="0CA07E02">
        <w:rPr>
          <w:rFonts w:ascii="Times New Roman" w:hAnsi="Times New Roman" w:eastAsia="Times New Roman" w:cs="Times New Roman"/>
          <w:b w:val="0"/>
          <w:bCs w:val="0"/>
          <w:sz w:val="24"/>
          <w:szCs w:val="24"/>
        </w:rPr>
        <w:t>.</w:t>
      </w:r>
    </w:p>
    <w:p w:rsidR="7AEE92C2" w:rsidP="40E7DB1B" w:rsidRDefault="7AEE92C2" w14:paraId="6DB37F5C" w14:textId="5ECE686F">
      <w:pPr>
        <w:spacing w:before="0" w:beforeAutospacing="off" w:after="240" w:afterAutospacing="off" w:line="360" w:lineRule="auto"/>
        <w:jc w:val="both"/>
      </w:pPr>
      <w:r w:rsidRPr="40E7DB1B" w:rsidR="7AEE92C2">
        <w:rPr>
          <w:rFonts w:ascii="Times New Roman" w:hAnsi="Times New Roman" w:eastAsia="Times New Roman" w:cs="Times New Roman"/>
          <w:noProof w:val="0"/>
          <w:sz w:val="24"/>
          <w:szCs w:val="24"/>
          <w:lang w:val="it-IT"/>
        </w:rPr>
        <w:t>Il Capitolo II, Sezione II della Convenzione, dedicato al diritto processuale, disciplina gli strumenti utilizzabili nella fase delle indagini e del procedimento penale. In particolare, l’art. 14 impone agli Stati contraenti di introdurre specifiche misure procedurali applicabili:</w:t>
      </w:r>
      <w:r>
        <w:rPr>
          <w:rFonts w:ascii="Times New Roman" w:hAnsi="Times New Roman"/>
          <w:sz w:val="24"/>
        </w:rPr>
        <w:br/>
      </w:r>
      <w:r w:rsidRPr="40E7DB1B" w:rsidR="7AEE92C2">
        <w:rPr>
          <w:rFonts w:ascii="Times New Roman" w:hAnsi="Times New Roman" w:eastAsia="Times New Roman" w:cs="Times New Roman"/>
          <w:noProof w:val="0"/>
          <w:sz w:val="24"/>
          <w:szCs w:val="24"/>
          <w:lang w:val="it-IT"/>
        </w:rPr>
        <w:t>a) ai reati individuati dagli articoli 2-11 della Convenzione;</w:t>
      </w:r>
      <w:r>
        <w:rPr>
          <w:rFonts w:ascii="Times New Roman" w:hAnsi="Times New Roman"/>
          <w:sz w:val="24"/>
        </w:rPr>
        <w:br/>
      </w:r>
      <w:r w:rsidRPr="40E7DB1B" w:rsidR="7AEE92C2">
        <w:rPr>
          <w:rFonts w:ascii="Times New Roman" w:hAnsi="Times New Roman" w:eastAsia="Times New Roman" w:cs="Times New Roman"/>
          <w:noProof w:val="0"/>
          <w:sz w:val="24"/>
          <w:szCs w:val="24"/>
          <w:lang w:val="it-IT"/>
        </w:rPr>
        <w:t>b) a qualsiasi altro illecito realizzato mediante sistemi informatici;</w:t>
      </w:r>
      <w:r>
        <w:rPr>
          <w:rFonts w:ascii="Times New Roman" w:hAnsi="Times New Roman"/>
          <w:sz w:val="24"/>
        </w:rPr>
        <w:br/>
      </w:r>
      <w:r w:rsidRPr="40E7DB1B" w:rsidR="7AEE92C2">
        <w:rPr>
          <w:rFonts w:ascii="Times New Roman" w:hAnsi="Times New Roman" w:eastAsia="Times New Roman" w:cs="Times New Roman"/>
          <w:noProof w:val="0"/>
          <w:sz w:val="24"/>
          <w:szCs w:val="24"/>
          <w:lang w:val="it-IT"/>
        </w:rPr>
        <w:t>c) all’acquisizione di prove elettroniche relative a qualunque fattispecie criminosa.</w:t>
      </w:r>
    </w:p>
    <w:p w:rsidR="7AEE92C2" w:rsidP="40E7DB1B" w:rsidRDefault="7AEE92C2" w14:paraId="2D0BC557" w14:textId="7836D999">
      <w:pPr>
        <w:spacing w:before="240" w:beforeAutospacing="off" w:after="240" w:afterAutospacing="off" w:line="360" w:lineRule="auto"/>
        <w:jc w:val="both"/>
      </w:pPr>
      <w:r w:rsidRPr="40E7DB1B" w:rsidR="7AEE92C2">
        <w:rPr>
          <w:rFonts w:ascii="Times New Roman" w:hAnsi="Times New Roman" w:eastAsia="Times New Roman" w:cs="Times New Roman"/>
          <w:noProof w:val="0"/>
          <w:sz w:val="24"/>
          <w:szCs w:val="24"/>
          <w:lang w:val="it-IT"/>
        </w:rPr>
        <w:t>Più nel dettaglio, salvo la possibilità di formulare riserve per quanto concerne gli strumenti investigativi più invasivi — quali la raccolta in tempo reale dei dati o l’intercettazione dei contenuti — la Convenzione richiede agli Stati di prevedere nei rispettivi ordinamenti una serie di poteri investigativi:</w:t>
      </w:r>
    </w:p>
    <w:p w:rsidR="7AEE92C2" w:rsidP="40E7DB1B" w:rsidRDefault="7AEE92C2" w14:paraId="5944AEDF" w14:textId="7F01C457">
      <w:pPr>
        <w:pStyle w:val="ListParagraph"/>
        <w:numPr>
          <w:ilvl w:val="0"/>
          <w:numId w:val="5"/>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7AEE92C2">
        <w:rPr>
          <w:rFonts w:ascii="Times New Roman" w:hAnsi="Times New Roman" w:eastAsia="Times New Roman" w:cs="Times New Roman"/>
          <w:noProof w:val="0"/>
          <w:sz w:val="24"/>
          <w:szCs w:val="24"/>
          <w:lang w:val="it-IT"/>
        </w:rPr>
        <w:t>meccanismi per la conservazione immediata e la successiva comunicazione dei dati memorizzati e dei dati di traffico (artt. 16 e 17);</w:t>
      </w:r>
    </w:p>
    <w:p w:rsidR="7AEE92C2" w:rsidP="40E7DB1B" w:rsidRDefault="7AEE92C2" w14:paraId="124652D5" w14:textId="65411360">
      <w:pPr>
        <w:pStyle w:val="ListParagraph"/>
        <w:numPr>
          <w:ilvl w:val="0"/>
          <w:numId w:val="5"/>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7AEE92C2">
        <w:rPr>
          <w:rFonts w:ascii="Times New Roman" w:hAnsi="Times New Roman" w:eastAsia="Times New Roman" w:cs="Times New Roman"/>
          <w:noProof w:val="0"/>
          <w:sz w:val="24"/>
          <w:szCs w:val="24"/>
          <w:lang w:val="it-IT"/>
        </w:rPr>
        <w:t>l’ordine di esibizione, disposto dall’autorità giudiziaria, nei confronti di soggetti o fornitori di servizi presenti sul territorio nazionale che detengano dati informatici conservati in sistemi o supporti digitali (art. 18);</w:t>
      </w:r>
    </w:p>
    <w:p w:rsidR="7AEE92C2" w:rsidP="40E7DB1B" w:rsidRDefault="7AEE92C2" w14:paraId="34095F09" w14:textId="44BB87F4">
      <w:pPr>
        <w:pStyle w:val="ListParagraph"/>
        <w:numPr>
          <w:ilvl w:val="0"/>
          <w:numId w:val="5"/>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7AEE92C2">
        <w:rPr>
          <w:rFonts w:ascii="Times New Roman" w:hAnsi="Times New Roman" w:eastAsia="Times New Roman" w:cs="Times New Roman"/>
          <w:noProof w:val="0"/>
          <w:sz w:val="24"/>
          <w:szCs w:val="24"/>
          <w:lang w:val="it-IT"/>
        </w:rPr>
        <w:t>la possibilità di effettuare perquisizioni e sequestri di sistemi informatici o supporti, con facoltà di estrarre e conservare copie dei dati, garantendone l’integrità oppure procedendo alla loro rimozione (art. 19);</w:t>
      </w:r>
    </w:p>
    <w:p w:rsidR="7AEE92C2" w:rsidP="40E7DB1B" w:rsidRDefault="7AEE92C2" w14:paraId="18F67AE3" w14:textId="4BB10CA7">
      <w:pPr>
        <w:pStyle w:val="ListParagraph"/>
        <w:numPr>
          <w:ilvl w:val="0"/>
          <w:numId w:val="5"/>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7AEE92C2">
        <w:rPr>
          <w:rFonts w:ascii="Times New Roman" w:hAnsi="Times New Roman" w:eastAsia="Times New Roman" w:cs="Times New Roman"/>
          <w:noProof w:val="0"/>
          <w:sz w:val="24"/>
          <w:szCs w:val="24"/>
          <w:lang w:val="it-IT"/>
        </w:rPr>
        <w:t>la raccolta o registrazione, in forma riservata e in tempo reale, dei dati di traffico relativi a specifiche comunicazioni effettuate tramite sistemi informatici, nei limiti consentiti dal diritto interno (art. 20).</w:t>
      </w:r>
    </w:p>
    <w:p w:rsidR="7AEE92C2" w:rsidP="40E7DB1B" w:rsidRDefault="7AEE92C2" w14:paraId="5B5361FF" w14:textId="45E90446">
      <w:pPr>
        <w:spacing w:before="240" w:beforeAutospacing="off" w:after="240" w:afterAutospacing="off" w:line="360" w:lineRule="auto"/>
        <w:jc w:val="both"/>
      </w:pPr>
      <w:r w:rsidRPr="40E7DB1B" w:rsidR="7AEE92C2">
        <w:rPr>
          <w:rFonts w:ascii="Times New Roman" w:hAnsi="Times New Roman" w:eastAsia="Times New Roman" w:cs="Times New Roman"/>
          <w:noProof w:val="0"/>
          <w:sz w:val="24"/>
          <w:szCs w:val="24"/>
          <w:lang w:val="it-IT"/>
        </w:rPr>
        <w:t>L’adozione di tali strumenti può essere limitata a determinate categorie di reati, purché espressamente indicate nelle eventuali riserve formulate al momento della ratifica e comunque comprendenti almeno le ipotesi per le quali, nel diritto nazionale, sono previste le misure investigative più incisive.</w:t>
      </w:r>
    </w:p>
    <w:p w:rsidR="7AEE92C2" w:rsidP="40E7DB1B" w:rsidRDefault="7AEE92C2" w14:paraId="4674280D" w14:textId="78F5D0FC">
      <w:pPr>
        <w:spacing w:before="240" w:beforeAutospacing="off" w:after="240" w:afterAutospacing="off" w:line="360" w:lineRule="auto"/>
        <w:jc w:val="both"/>
      </w:pPr>
      <w:r w:rsidRPr="40E7DB1B" w:rsidR="7AEE92C2">
        <w:rPr>
          <w:rFonts w:ascii="Times New Roman" w:hAnsi="Times New Roman" w:eastAsia="Times New Roman" w:cs="Times New Roman"/>
          <w:noProof w:val="0"/>
          <w:sz w:val="24"/>
          <w:szCs w:val="24"/>
          <w:lang w:val="it-IT"/>
        </w:rPr>
        <w:t>A queste si aggiunge:</w:t>
      </w:r>
    </w:p>
    <w:p w:rsidR="7AEE92C2" w:rsidP="40E7DB1B" w:rsidRDefault="7AEE92C2" w14:paraId="122C6F92" w14:textId="7913DAA0">
      <w:pPr>
        <w:pStyle w:val="ListParagraph"/>
        <w:numPr>
          <w:ilvl w:val="0"/>
          <w:numId w:val="6"/>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40E7DB1B" w:rsidR="7AEE92C2">
        <w:rPr>
          <w:rFonts w:ascii="Times New Roman" w:hAnsi="Times New Roman" w:eastAsia="Times New Roman" w:cs="Times New Roman"/>
          <w:noProof w:val="0"/>
          <w:sz w:val="24"/>
          <w:szCs w:val="24"/>
          <w:lang w:val="it-IT"/>
        </w:rPr>
        <w:t>la captazione o registrazione, in tempo reale e con modalità segrete, dei dati relativi al contenuto delle comunicazioni, limitatamente a reati di particolare gravità previamente individuati e a condizione che tale strumento sia contemplato dall’ordinamento processuale interno (art. 21).</w:t>
      </w:r>
    </w:p>
    <w:p w:rsidR="7AEE92C2" w:rsidP="40E7DB1B" w:rsidRDefault="7AEE92C2" w14:paraId="07ABCF0B" w14:textId="44C5931D">
      <w:pPr>
        <w:spacing w:before="240" w:beforeAutospacing="off" w:after="240" w:afterAutospacing="off" w:line="360" w:lineRule="auto"/>
        <w:jc w:val="both"/>
      </w:pPr>
      <w:r w:rsidRPr="40E7DB1B" w:rsidR="7AEE92C2">
        <w:rPr>
          <w:rFonts w:ascii="Times New Roman" w:hAnsi="Times New Roman" w:eastAsia="Times New Roman" w:cs="Times New Roman"/>
          <w:noProof w:val="0"/>
          <w:sz w:val="24"/>
          <w:szCs w:val="24"/>
          <w:lang w:val="it-IT"/>
        </w:rPr>
        <w:t>Come già evidenziato, tali poteri devono essere esercitati nel rispetto di adeguate garanzie poste a tutela dei diritti fondamentali e delle libertà individuali, in particolare quelle riconosciute dalla CEDU e dal Patto internazionale sui diritti civili e politici. In questo senso, l’art. 15 richiede che gli ordinamenti nazionali prevedano, in modo coerente con la natura delle singole misure, meccanismi di controllo — in primis di carattere giudiziario — sulla sussistenza dei presupposti per la loro adozione, nonché limiti relativi all’ambito di applicazione e alla durata degli interventi.</w:t>
      </w:r>
    </w:p>
    <w:p w:rsidR="40E7DB1B" w:rsidP="40E7DB1B" w:rsidRDefault="40E7DB1B" w14:paraId="204F8E75" w14:textId="27A638D1">
      <w:pPr>
        <w:pStyle w:val="Normal"/>
        <w:spacing w:before="0" w:beforeAutospacing="off" w:line="360" w:lineRule="auto"/>
        <w:jc w:val="both"/>
        <w:rPr>
          <w:rFonts w:ascii="Times New Roman" w:hAnsi="Times New Roman" w:eastAsia="Times New Roman" w:cs="Times New Roman"/>
          <w:b w:val="0"/>
          <w:bCs w:val="0"/>
          <w:sz w:val="24"/>
          <w:szCs w:val="24"/>
        </w:rPr>
      </w:pPr>
    </w:p>
    <w:p w:rsidR="411C9FBA" w:rsidP="1E4A1C8B" w:rsidRDefault="411C9FBA" w14:paraId="0988D1C1" w14:textId="2F2CA482">
      <w:pPr>
        <w:pStyle w:val="Normal"/>
        <w:spacing w:before="0" w:beforeAutospacing="off" w:line="360" w:lineRule="auto"/>
        <w:jc w:val="both"/>
        <w:rPr>
          <w:rFonts w:ascii="Times New Roman" w:hAnsi="Times New Roman" w:eastAsia="Times New Roman" w:cs="Times New Roman"/>
          <w:b w:val="0"/>
          <w:bCs w:val="0"/>
          <w:sz w:val="24"/>
          <w:szCs w:val="24"/>
        </w:rPr>
      </w:pPr>
      <w:r w:rsidRPr="40E7DB1B" w:rsidR="411C9FBA">
        <w:rPr>
          <w:rFonts w:ascii="Times New Roman" w:hAnsi="Times New Roman" w:eastAsia="Times New Roman" w:cs="Times New Roman"/>
          <w:b w:val="0"/>
          <w:bCs w:val="0"/>
          <w:sz w:val="24"/>
          <w:szCs w:val="24"/>
        </w:rPr>
        <w:t>La struttura della Convenzione riflette la necessità di bilanciare l’efficienza repres</w:t>
      </w:r>
      <w:r w:rsidRPr="40E7DB1B" w:rsidR="411C9FBA">
        <w:rPr>
          <w:rFonts w:ascii="Times New Roman" w:hAnsi="Times New Roman" w:eastAsia="Times New Roman" w:cs="Times New Roman"/>
          <w:b w:val="0"/>
          <w:bCs w:val="0"/>
          <w:sz w:val="24"/>
          <w:szCs w:val="24"/>
        </w:rPr>
        <w:t>siva</w:t>
      </w:r>
      <w:r w:rsidRPr="40E7DB1B" w:rsidR="411C9FBA">
        <w:rPr>
          <w:rFonts w:ascii="Times New Roman" w:hAnsi="Times New Roman" w:eastAsia="Times New Roman" w:cs="Times New Roman"/>
          <w:b w:val="0"/>
          <w:bCs w:val="0"/>
          <w:sz w:val="24"/>
          <w:szCs w:val="24"/>
        </w:rPr>
        <w:t xml:space="preserve"> con la tutela dei diritti fondamentali. Essa richiede agli Stati membri di dotarsi di</w:t>
      </w:r>
      <w:r w:rsidRPr="40E7DB1B" w:rsidR="1670594A">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strumenti processuali specifici per la perquisizione di sistemi informatici e il sequestro</w:t>
      </w:r>
      <w:r w:rsidRPr="40E7DB1B" w:rsidR="5883E894">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dei dati ivi contenuti. A differenza delle prove tangibili, i dati digitali possono essere</w:t>
      </w:r>
      <w:r w:rsidRPr="40E7DB1B" w:rsidR="592ECF05">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letti, copiati o alterati senza la rimozione fisica del supporto; inoltre, a causa della con</w:t>
      </w:r>
      <w:r w:rsidRPr="40E7DB1B" w:rsidR="411C9FBA">
        <w:rPr>
          <w:rFonts w:ascii="Times New Roman" w:hAnsi="Times New Roman" w:eastAsia="Times New Roman" w:cs="Times New Roman"/>
          <w:b w:val="0"/>
          <w:bCs w:val="0"/>
          <w:sz w:val="24"/>
          <w:szCs w:val="24"/>
        </w:rPr>
        <w:t>nettività</w:t>
      </w:r>
      <w:r w:rsidRPr="40E7DB1B" w:rsidR="411C9FBA">
        <w:rPr>
          <w:rFonts w:ascii="Times New Roman" w:hAnsi="Times New Roman" w:eastAsia="Times New Roman" w:cs="Times New Roman"/>
          <w:b w:val="0"/>
          <w:bCs w:val="0"/>
          <w:sz w:val="24"/>
          <w:szCs w:val="24"/>
        </w:rPr>
        <w:t xml:space="preserve"> dei sistemi, i dati potrebbero risiedere in server remoti, sfidando il concetto</w:t>
      </w:r>
      <w:r w:rsidRPr="40E7DB1B" w:rsidR="0B15964A">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tradizionale di territorialità della prova. Per questo motivo, l’art. 19 della Convenzione</w:t>
      </w:r>
      <w:r w:rsidRPr="40E7DB1B" w:rsidR="726F2121">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 xml:space="preserve">obbliga le Parti </w:t>
      </w:r>
      <w:r w:rsidRPr="40E7DB1B" w:rsidR="1A2468EF">
        <w:rPr>
          <w:rFonts w:ascii="Times New Roman" w:hAnsi="Times New Roman" w:eastAsia="Times New Roman" w:cs="Times New Roman"/>
          <w:b w:val="0"/>
          <w:bCs w:val="0"/>
          <w:sz w:val="24"/>
          <w:szCs w:val="24"/>
        </w:rPr>
        <w:t>a</w:t>
      </w:r>
      <w:r w:rsidRPr="40E7DB1B" w:rsidR="411C9FBA">
        <w:rPr>
          <w:rFonts w:ascii="Times New Roman" w:hAnsi="Times New Roman" w:eastAsia="Times New Roman" w:cs="Times New Roman"/>
          <w:b w:val="0"/>
          <w:bCs w:val="0"/>
          <w:sz w:val="24"/>
          <w:szCs w:val="24"/>
        </w:rPr>
        <w:t xml:space="preserve"> adottare misure legislative che consentano non solo il sequestro fisico</w:t>
      </w:r>
      <w:r w:rsidRPr="40E7DB1B" w:rsidR="68CB79E6">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dell’hardware, ma anche la copia e la conservazione dei dati, garantendone l’integrità</w:t>
      </w:r>
      <w:r w:rsidRPr="40E7DB1B">
        <w:rPr>
          <w:rStyle w:val="FootnoteReference"/>
          <w:rFonts w:ascii="Times New Roman" w:hAnsi="Times New Roman" w:eastAsia="Times New Roman" w:cs="Times New Roman"/>
          <w:b w:val="0"/>
          <w:bCs w:val="0"/>
          <w:sz w:val="24"/>
          <w:szCs w:val="24"/>
        </w:rPr>
        <w:footnoteReference w:id="29036"/>
      </w:r>
      <w:r w:rsidRPr="40E7DB1B" w:rsidR="411C9FBA">
        <w:rPr>
          <w:rFonts w:ascii="Times New Roman" w:hAnsi="Times New Roman" w:eastAsia="Times New Roman" w:cs="Times New Roman"/>
          <w:b w:val="0"/>
          <w:bCs w:val="0"/>
          <w:sz w:val="24"/>
          <w:szCs w:val="24"/>
        </w:rPr>
        <w:t xml:space="preserve"> .</w:t>
      </w:r>
    </w:p>
    <w:p w:rsidR="411C9FBA" w:rsidP="1E4A1C8B" w:rsidRDefault="411C9FBA" w14:paraId="4D387380" w14:textId="2F52DEA7">
      <w:pPr>
        <w:pStyle w:val="Normal"/>
        <w:spacing w:before="0" w:beforeAutospacing="off" w:line="360" w:lineRule="auto"/>
        <w:jc w:val="both"/>
        <w:rPr>
          <w:rFonts w:ascii="Times New Roman" w:hAnsi="Times New Roman" w:eastAsia="Times New Roman" w:cs="Times New Roman"/>
          <w:b w:val="0"/>
          <w:bCs w:val="0"/>
          <w:sz w:val="24"/>
          <w:szCs w:val="24"/>
        </w:rPr>
      </w:pPr>
      <w:r w:rsidRPr="1E4A1C8B" w:rsidR="411C9FBA">
        <w:rPr>
          <w:rFonts w:ascii="Times New Roman" w:hAnsi="Times New Roman" w:eastAsia="Times New Roman" w:cs="Times New Roman"/>
          <w:b w:val="0"/>
          <w:bCs w:val="0"/>
          <w:sz w:val="24"/>
          <w:szCs w:val="24"/>
        </w:rPr>
        <w:t>Un aspetto cruciale della Convenzione risiede nell’apparato definitorio. Sebbene</w:t>
      </w:r>
      <w:r w:rsidRPr="1E4A1C8B" w:rsidR="01CC3813">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 xml:space="preserve">non fornisca una definizione monolitica </w:t>
      </w:r>
      <w:r w:rsidRPr="1E4A1C8B" w:rsidR="411C9FBA">
        <w:rPr>
          <w:rFonts w:ascii="Times New Roman" w:hAnsi="Times New Roman" w:eastAsia="Times New Roman" w:cs="Times New Roman"/>
          <w:b w:val="0"/>
          <w:bCs w:val="0"/>
          <w:sz w:val="24"/>
          <w:szCs w:val="24"/>
        </w:rPr>
        <w:t>di ”prova</w:t>
      </w:r>
      <w:r w:rsidRPr="1E4A1C8B" w:rsidR="411C9FBA">
        <w:rPr>
          <w:rFonts w:ascii="Times New Roman" w:hAnsi="Times New Roman" w:eastAsia="Times New Roman" w:cs="Times New Roman"/>
          <w:b w:val="0"/>
          <w:bCs w:val="0"/>
          <w:sz w:val="24"/>
          <w:szCs w:val="24"/>
        </w:rPr>
        <w:t xml:space="preserve"> digitale”, essa opera una distinzione</w:t>
      </w:r>
      <w:r w:rsidRPr="1E4A1C8B" w:rsidR="41E14629">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 xml:space="preserve">fondamentale tra </w:t>
      </w:r>
      <w:r w:rsidRPr="1E4A1C8B" w:rsidR="411C9FBA">
        <w:rPr>
          <w:rFonts w:ascii="Times New Roman" w:hAnsi="Times New Roman" w:eastAsia="Times New Roman" w:cs="Times New Roman"/>
          <w:b w:val="0"/>
          <w:bCs w:val="0"/>
          <w:sz w:val="24"/>
          <w:szCs w:val="24"/>
        </w:rPr>
        <w:t>il ”sistema</w:t>
      </w:r>
      <w:r w:rsidRPr="1E4A1C8B" w:rsidR="411C9FBA">
        <w:rPr>
          <w:rFonts w:ascii="Times New Roman" w:hAnsi="Times New Roman" w:eastAsia="Times New Roman" w:cs="Times New Roman"/>
          <w:b w:val="0"/>
          <w:bCs w:val="0"/>
          <w:sz w:val="24"/>
          <w:szCs w:val="24"/>
        </w:rPr>
        <w:t xml:space="preserve"> informatico” (l’</w:t>
      </w:r>
      <w:r w:rsidRPr="1E4A1C8B" w:rsidR="411C9FBA">
        <w:rPr>
          <w:rFonts w:ascii="Times New Roman" w:hAnsi="Times New Roman" w:eastAsia="Times New Roman" w:cs="Times New Roman"/>
          <w:b w:val="0"/>
          <w:bCs w:val="0"/>
          <w:i w:val="1"/>
          <w:iCs w:val="1"/>
          <w:sz w:val="24"/>
          <w:szCs w:val="24"/>
        </w:rPr>
        <w:t>hardware</w:t>
      </w:r>
      <w:r w:rsidRPr="1E4A1C8B" w:rsidR="411C9FBA">
        <w:rPr>
          <w:rFonts w:ascii="Times New Roman" w:hAnsi="Times New Roman" w:eastAsia="Times New Roman" w:cs="Times New Roman"/>
          <w:b w:val="0"/>
          <w:bCs w:val="0"/>
          <w:sz w:val="24"/>
          <w:szCs w:val="24"/>
        </w:rPr>
        <w:t xml:space="preserve"> e il </w:t>
      </w:r>
      <w:r w:rsidRPr="1E4A1C8B" w:rsidR="411C9FBA">
        <w:rPr>
          <w:rFonts w:ascii="Times New Roman" w:hAnsi="Times New Roman" w:eastAsia="Times New Roman" w:cs="Times New Roman"/>
          <w:b w:val="0"/>
          <w:bCs w:val="0"/>
          <w:i w:val="1"/>
          <w:iCs w:val="1"/>
          <w:sz w:val="24"/>
          <w:szCs w:val="24"/>
        </w:rPr>
        <w:t>software</w:t>
      </w:r>
      <w:r w:rsidRPr="1E4A1C8B" w:rsidR="411C9FBA">
        <w:rPr>
          <w:rFonts w:ascii="Times New Roman" w:hAnsi="Times New Roman" w:eastAsia="Times New Roman" w:cs="Times New Roman"/>
          <w:b w:val="0"/>
          <w:bCs w:val="0"/>
          <w:sz w:val="24"/>
          <w:szCs w:val="24"/>
        </w:rPr>
        <w:t xml:space="preserve"> di elaborazione)</w:t>
      </w:r>
      <w:r w:rsidRPr="1E4A1C8B" w:rsidR="35E79CA8">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 xml:space="preserve">e </w:t>
      </w:r>
      <w:r w:rsidRPr="1E4A1C8B" w:rsidR="411C9FBA">
        <w:rPr>
          <w:rFonts w:ascii="Times New Roman" w:hAnsi="Times New Roman" w:eastAsia="Times New Roman" w:cs="Times New Roman"/>
          <w:b w:val="0"/>
          <w:bCs w:val="0"/>
          <w:sz w:val="24"/>
          <w:szCs w:val="24"/>
        </w:rPr>
        <w:t>il ”dato</w:t>
      </w:r>
      <w:r w:rsidRPr="1E4A1C8B" w:rsidR="411C9FBA">
        <w:rPr>
          <w:rFonts w:ascii="Times New Roman" w:hAnsi="Times New Roman" w:eastAsia="Times New Roman" w:cs="Times New Roman"/>
          <w:b w:val="0"/>
          <w:bCs w:val="0"/>
          <w:sz w:val="24"/>
          <w:szCs w:val="24"/>
        </w:rPr>
        <w:t xml:space="preserve"> informatico”. Quest’ultimo è definito </w:t>
      </w:r>
      <w:r w:rsidRPr="1E4A1C8B" w:rsidR="411C9FBA">
        <w:rPr>
          <w:rFonts w:ascii="Times New Roman" w:hAnsi="Times New Roman" w:eastAsia="Times New Roman" w:cs="Times New Roman"/>
          <w:b w:val="0"/>
          <w:bCs w:val="0"/>
          <w:sz w:val="24"/>
          <w:szCs w:val="24"/>
        </w:rPr>
        <w:t>come ”qualunque</w:t>
      </w:r>
      <w:r w:rsidRPr="1E4A1C8B" w:rsidR="411C9FBA">
        <w:rPr>
          <w:rFonts w:ascii="Times New Roman" w:hAnsi="Times New Roman" w:eastAsia="Times New Roman" w:cs="Times New Roman"/>
          <w:b w:val="0"/>
          <w:bCs w:val="0"/>
          <w:sz w:val="24"/>
          <w:szCs w:val="24"/>
        </w:rPr>
        <w:t xml:space="preserve"> presentazione di</w:t>
      </w:r>
      <w:r w:rsidRPr="1E4A1C8B" w:rsidR="7E071D73">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fatti, informazioni o concetti in forma suscettibile di essere utilizzata in un sistema</w:t>
      </w:r>
      <w:r w:rsidRPr="1E4A1C8B" w:rsidR="099953A8">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computerizzato”. Questa distinzione è vitale perché sposta l’attenzione giuridica dal</w:t>
      </w:r>
      <w:r w:rsidRPr="1E4A1C8B" w:rsidR="517A1431">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contenitore al contenuto, imponendo l’adozione di misure specifiche per preservare</w:t>
      </w:r>
      <w:r w:rsidRPr="1E4A1C8B" w:rsidR="701AAE94">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l’integrità di quest’ultimo, indipendentemente dal supporto fisico su cui risiede.</w:t>
      </w:r>
      <w:r w:rsidRPr="1E4A1C8B" w:rsidR="4DFA2355">
        <w:rPr>
          <w:rFonts w:ascii="Times New Roman" w:hAnsi="Times New Roman" w:eastAsia="Times New Roman" w:cs="Times New Roman"/>
          <w:b w:val="0"/>
          <w:bCs w:val="0"/>
          <w:sz w:val="24"/>
          <w:szCs w:val="24"/>
        </w:rPr>
        <w:t xml:space="preserve"> </w:t>
      </w:r>
      <w:r w:rsidRPr="1E4A1C8B" w:rsidR="761EFAA9">
        <w:rPr>
          <w:rFonts w:ascii="Times New Roman" w:hAnsi="Times New Roman" w:eastAsia="Times New Roman" w:cs="Times New Roman"/>
          <w:b w:val="0"/>
          <w:bCs w:val="0"/>
          <w:sz w:val="24"/>
          <w:szCs w:val="24"/>
        </w:rPr>
        <w:t>A tal proposito vorrei ricordare</w:t>
      </w:r>
      <w:r w:rsidRPr="1E4A1C8B" w:rsidR="4215E239">
        <w:rPr>
          <w:rFonts w:ascii="Times New Roman" w:hAnsi="Times New Roman" w:eastAsia="Times New Roman" w:cs="Times New Roman"/>
          <w:b w:val="0"/>
          <w:bCs w:val="0"/>
          <w:sz w:val="24"/>
          <w:szCs w:val="24"/>
        </w:rPr>
        <w:t>,</w:t>
      </w:r>
      <w:r w:rsidRPr="1E4A1C8B" w:rsidR="761EFAA9">
        <w:rPr>
          <w:rFonts w:ascii="Times New Roman" w:hAnsi="Times New Roman" w:eastAsia="Times New Roman" w:cs="Times New Roman"/>
          <w:b w:val="0"/>
          <w:bCs w:val="0"/>
          <w:sz w:val="24"/>
          <w:szCs w:val="24"/>
        </w:rPr>
        <w:t xml:space="preserve"> </w:t>
      </w:r>
      <w:r w:rsidRPr="1E4A1C8B" w:rsidR="575B4B6C">
        <w:rPr>
          <w:rFonts w:ascii="Times New Roman" w:hAnsi="Times New Roman" w:eastAsia="Times New Roman" w:cs="Times New Roman"/>
          <w:b w:val="0"/>
          <w:bCs w:val="0"/>
          <w:sz w:val="24"/>
          <w:szCs w:val="24"/>
        </w:rPr>
        <w:t>ad esempio</w:t>
      </w:r>
      <w:r w:rsidRPr="1E4A1C8B" w:rsidR="68597211">
        <w:rPr>
          <w:rFonts w:ascii="Times New Roman" w:hAnsi="Times New Roman" w:eastAsia="Times New Roman" w:cs="Times New Roman"/>
          <w:b w:val="0"/>
          <w:bCs w:val="0"/>
          <w:sz w:val="24"/>
          <w:szCs w:val="24"/>
        </w:rPr>
        <w:t>,</w:t>
      </w:r>
      <w:r w:rsidRPr="1E4A1C8B" w:rsidR="575B4B6C">
        <w:rPr>
          <w:rFonts w:ascii="Times New Roman" w:hAnsi="Times New Roman" w:eastAsia="Times New Roman" w:cs="Times New Roman"/>
          <w:b w:val="0"/>
          <w:bCs w:val="0"/>
          <w:sz w:val="24"/>
          <w:szCs w:val="24"/>
        </w:rPr>
        <w:t xml:space="preserve"> che </w:t>
      </w:r>
      <w:r w:rsidRPr="1E4A1C8B" w:rsidR="7078B51B">
        <w:rPr>
          <w:rFonts w:ascii="Times New Roman" w:hAnsi="Times New Roman" w:eastAsia="Times New Roman" w:cs="Times New Roman"/>
          <w:b w:val="0"/>
          <w:bCs w:val="0"/>
          <w:sz w:val="24"/>
          <w:szCs w:val="24"/>
        </w:rPr>
        <w:t>attraverso</w:t>
      </w:r>
      <w:r w:rsidRPr="1E4A1C8B" w:rsidR="575B4B6C">
        <w:rPr>
          <w:rFonts w:ascii="Times New Roman" w:hAnsi="Times New Roman" w:eastAsia="Times New Roman" w:cs="Times New Roman"/>
          <w:b w:val="0"/>
          <w:bCs w:val="0"/>
          <w:sz w:val="24"/>
          <w:szCs w:val="24"/>
        </w:rPr>
        <w:t xml:space="preserve"> l’adozione della Convenzione di Budapest</w:t>
      </w:r>
      <w:r w:rsidRPr="1E4A1C8B" w:rsidR="13B61B65">
        <w:rPr>
          <w:rFonts w:ascii="Times New Roman" w:hAnsi="Times New Roman" w:eastAsia="Times New Roman" w:cs="Times New Roman"/>
          <w:b w:val="0"/>
          <w:bCs w:val="0"/>
          <w:sz w:val="24"/>
          <w:szCs w:val="24"/>
        </w:rPr>
        <w:t>,</w:t>
      </w:r>
      <w:r w:rsidRPr="1E4A1C8B" w:rsidR="575B4B6C">
        <w:rPr>
          <w:rFonts w:ascii="Times New Roman" w:hAnsi="Times New Roman" w:eastAsia="Times New Roman" w:cs="Times New Roman"/>
          <w:b w:val="0"/>
          <w:bCs w:val="0"/>
          <w:sz w:val="24"/>
          <w:szCs w:val="24"/>
        </w:rPr>
        <w:t xml:space="preserve"> è stato modificato </w:t>
      </w:r>
      <w:r w:rsidRPr="1E4A1C8B" w:rsidR="0D566E37">
        <w:rPr>
          <w:rFonts w:ascii="Times New Roman" w:hAnsi="Times New Roman" w:eastAsia="Times New Roman" w:cs="Times New Roman"/>
          <w:b w:val="0"/>
          <w:bCs w:val="0"/>
          <w:sz w:val="24"/>
          <w:szCs w:val="24"/>
        </w:rPr>
        <w:t xml:space="preserve">l’art </w:t>
      </w:r>
      <w:r w:rsidRPr="1E4A1C8B" w:rsidR="0D566E37">
        <w:rPr>
          <w:rFonts w:ascii="Times New Roman" w:hAnsi="Times New Roman" w:eastAsia="Times New Roman" w:cs="Times New Roman"/>
          <w:b w:val="0"/>
          <w:bCs w:val="0"/>
          <w:sz w:val="24"/>
          <w:szCs w:val="24"/>
        </w:rPr>
        <w:t>Art. 615-quinquies</w:t>
      </w:r>
      <w:r w:rsidRPr="1E4A1C8B" w:rsidR="091255DD">
        <w:rPr>
          <w:rFonts w:ascii="Times New Roman" w:hAnsi="Times New Roman" w:eastAsia="Times New Roman" w:cs="Times New Roman"/>
          <w:b w:val="0"/>
          <w:bCs w:val="0"/>
          <w:sz w:val="24"/>
          <w:szCs w:val="24"/>
        </w:rPr>
        <w:t xml:space="preserve"> </w:t>
      </w:r>
      <w:r w:rsidRPr="1E4A1C8B" w:rsidR="594BDAEC">
        <w:rPr>
          <w:rFonts w:ascii="Times New Roman" w:hAnsi="Times New Roman" w:eastAsia="Times New Roman" w:cs="Times New Roman"/>
          <w:b w:val="0"/>
          <w:bCs w:val="0"/>
          <w:sz w:val="24"/>
          <w:szCs w:val="24"/>
        </w:rPr>
        <w:t xml:space="preserve">del </w:t>
      </w:r>
      <w:r w:rsidRPr="1E4A1C8B" w:rsidR="3C3FE160">
        <w:rPr>
          <w:rFonts w:ascii="Times New Roman" w:hAnsi="Times New Roman" w:eastAsia="Times New Roman" w:cs="Times New Roman"/>
          <w:b w:val="0"/>
          <w:bCs w:val="0"/>
          <w:sz w:val="24"/>
          <w:szCs w:val="24"/>
        </w:rPr>
        <w:t>Codice Penale</w:t>
      </w:r>
      <w:r w:rsidRPr="1E4A1C8B" w:rsidR="594BDAEC">
        <w:rPr>
          <w:rFonts w:ascii="Times New Roman" w:hAnsi="Times New Roman" w:eastAsia="Times New Roman" w:cs="Times New Roman"/>
          <w:b w:val="0"/>
          <w:bCs w:val="0"/>
          <w:sz w:val="24"/>
          <w:szCs w:val="24"/>
        </w:rPr>
        <w:t xml:space="preserve"> </w:t>
      </w:r>
      <w:r w:rsidRPr="1E4A1C8B" w:rsidR="0733E559">
        <w:rPr>
          <w:rFonts w:ascii="Times New Roman" w:hAnsi="Times New Roman" w:eastAsia="Times New Roman" w:cs="Times New Roman"/>
          <w:b w:val="0"/>
          <w:bCs w:val="0"/>
          <w:sz w:val="24"/>
          <w:szCs w:val="24"/>
        </w:rPr>
        <w:t>- (</w:t>
      </w:r>
      <w:r w:rsidRPr="1E4A1C8B" w:rsidR="0D566E37">
        <w:rPr>
          <w:rFonts w:ascii="Times New Roman" w:hAnsi="Times New Roman" w:eastAsia="Times New Roman" w:cs="Times New Roman"/>
          <w:b w:val="0"/>
          <w:bCs w:val="0"/>
          <w:sz w:val="24"/>
          <w:szCs w:val="24"/>
        </w:rPr>
        <w:t>Diffusione di apparecchiature, dispositivi o</w:t>
      </w:r>
      <w:r w:rsidRPr="1E4A1C8B" w:rsidR="5EB1B4F4">
        <w:rPr>
          <w:rFonts w:ascii="Times New Roman" w:hAnsi="Times New Roman" w:eastAsia="Times New Roman" w:cs="Times New Roman"/>
          <w:b w:val="0"/>
          <w:bCs w:val="0"/>
          <w:sz w:val="24"/>
          <w:szCs w:val="24"/>
        </w:rPr>
        <w:t xml:space="preserve"> </w:t>
      </w:r>
      <w:r w:rsidRPr="1E4A1C8B" w:rsidR="0D566E37">
        <w:rPr>
          <w:rFonts w:ascii="Times New Roman" w:hAnsi="Times New Roman" w:eastAsia="Times New Roman" w:cs="Times New Roman"/>
          <w:b w:val="0"/>
          <w:bCs w:val="0"/>
          <w:sz w:val="24"/>
          <w:szCs w:val="24"/>
        </w:rPr>
        <w:t>programmi informatici diretti a danneggiare o interrompere un sistema</w:t>
      </w:r>
      <w:r w:rsidRPr="1E4A1C8B" w:rsidR="7BF28449">
        <w:rPr>
          <w:rFonts w:ascii="Times New Roman" w:hAnsi="Times New Roman" w:eastAsia="Times New Roman" w:cs="Times New Roman"/>
          <w:b w:val="0"/>
          <w:bCs w:val="0"/>
          <w:sz w:val="24"/>
          <w:szCs w:val="24"/>
        </w:rPr>
        <w:t xml:space="preserve"> </w:t>
      </w:r>
      <w:r w:rsidRPr="1E4A1C8B" w:rsidR="0D566E37">
        <w:rPr>
          <w:rFonts w:ascii="Times New Roman" w:hAnsi="Times New Roman" w:eastAsia="Times New Roman" w:cs="Times New Roman"/>
          <w:b w:val="0"/>
          <w:bCs w:val="0"/>
          <w:sz w:val="24"/>
          <w:szCs w:val="24"/>
        </w:rPr>
        <w:t xml:space="preserve">informatico o </w:t>
      </w:r>
      <w:r w:rsidRPr="1E4A1C8B" w:rsidR="7FD22288">
        <w:rPr>
          <w:rFonts w:ascii="Times New Roman" w:hAnsi="Times New Roman" w:eastAsia="Times New Roman" w:cs="Times New Roman"/>
          <w:b w:val="0"/>
          <w:bCs w:val="0"/>
          <w:sz w:val="24"/>
          <w:szCs w:val="24"/>
        </w:rPr>
        <w:t>telematico) -</w:t>
      </w:r>
      <w:r w:rsidRPr="1E4A1C8B" w:rsidR="76B3991D">
        <w:rPr>
          <w:rFonts w:ascii="Times New Roman" w:hAnsi="Times New Roman" w:eastAsia="Times New Roman" w:cs="Times New Roman"/>
          <w:b w:val="0"/>
          <w:bCs w:val="0"/>
          <w:sz w:val="24"/>
          <w:szCs w:val="24"/>
        </w:rPr>
        <w:t xml:space="preserve"> </w:t>
      </w:r>
      <w:r w:rsidRPr="1E4A1C8B" w:rsidR="12F78904">
        <w:rPr>
          <w:rFonts w:ascii="Times New Roman" w:hAnsi="Times New Roman" w:eastAsia="Times New Roman" w:cs="Times New Roman"/>
          <w:b w:val="0"/>
          <w:bCs w:val="0"/>
          <w:sz w:val="24"/>
          <w:szCs w:val="24"/>
        </w:rPr>
        <w:t>sanzionando</w:t>
      </w:r>
      <w:r w:rsidRPr="1E4A1C8B" w:rsidR="7A1C914E">
        <w:rPr>
          <w:rFonts w:ascii="Times New Roman" w:hAnsi="Times New Roman" w:eastAsia="Times New Roman" w:cs="Times New Roman"/>
          <w:b w:val="0"/>
          <w:bCs w:val="0"/>
          <w:sz w:val="24"/>
          <w:szCs w:val="24"/>
        </w:rPr>
        <w:t xml:space="preserve"> </w:t>
      </w:r>
      <w:r w:rsidRPr="1E4A1C8B" w:rsidR="41CDEDFB">
        <w:rPr>
          <w:rFonts w:ascii="Times New Roman" w:hAnsi="Times New Roman" w:eastAsia="Times New Roman" w:cs="Times New Roman"/>
          <w:b w:val="0"/>
          <w:bCs w:val="0"/>
          <w:sz w:val="24"/>
          <w:szCs w:val="24"/>
        </w:rPr>
        <w:t xml:space="preserve">appunto </w:t>
      </w:r>
      <w:r w:rsidRPr="1E4A1C8B" w:rsidR="7A1C914E">
        <w:rPr>
          <w:rFonts w:ascii="Times New Roman" w:hAnsi="Times New Roman" w:eastAsia="Times New Roman" w:cs="Times New Roman"/>
          <w:b w:val="0"/>
          <w:bCs w:val="0"/>
          <w:sz w:val="24"/>
          <w:szCs w:val="24"/>
        </w:rPr>
        <w:t xml:space="preserve">non soltanto le condotte afferenti </w:t>
      </w:r>
      <w:r w:rsidRPr="1E4A1C8B" w:rsidR="7A1C914E">
        <w:rPr>
          <w:rFonts w:ascii="Times New Roman" w:hAnsi="Times New Roman" w:eastAsia="Times New Roman" w:cs="Times New Roman"/>
          <w:b w:val="0"/>
          <w:bCs w:val="0"/>
          <w:sz w:val="24"/>
          <w:szCs w:val="24"/>
        </w:rPr>
        <w:t>i</w:t>
      </w:r>
      <w:r w:rsidRPr="1E4A1C8B" w:rsidR="7A1C914E">
        <w:rPr>
          <w:rFonts w:ascii="Times New Roman" w:hAnsi="Times New Roman" w:eastAsia="Times New Roman" w:cs="Times New Roman"/>
          <w:b w:val="0"/>
          <w:bCs w:val="0"/>
          <w:sz w:val="24"/>
          <w:szCs w:val="24"/>
        </w:rPr>
        <w:t xml:space="preserve"> “programmi informatici”, ma anche le “apparecchiature” e i</w:t>
      </w:r>
      <w:r w:rsidRPr="1E4A1C8B" w:rsidR="57FDCBA6">
        <w:rPr>
          <w:rFonts w:ascii="Times New Roman" w:hAnsi="Times New Roman" w:eastAsia="Times New Roman" w:cs="Times New Roman"/>
          <w:b w:val="0"/>
          <w:bCs w:val="0"/>
          <w:sz w:val="24"/>
          <w:szCs w:val="24"/>
        </w:rPr>
        <w:t xml:space="preserve"> </w:t>
      </w:r>
      <w:r w:rsidRPr="1E4A1C8B" w:rsidR="7A1C914E">
        <w:rPr>
          <w:rFonts w:ascii="Times New Roman" w:hAnsi="Times New Roman" w:eastAsia="Times New Roman" w:cs="Times New Roman"/>
          <w:b w:val="0"/>
          <w:bCs w:val="0"/>
          <w:sz w:val="24"/>
          <w:szCs w:val="24"/>
        </w:rPr>
        <w:t>“dispositivi”.</w:t>
      </w:r>
    </w:p>
    <w:p w:rsidR="7A1C914E" w:rsidP="1E4A1C8B" w:rsidRDefault="7A1C914E" w14:paraId="4CA95126" w14:textId="1B115729">
      <w:pPr>
        <w:pStyle w:val="Normal"/>
        <w:spacing w:before="0" w:beforeAutospacing="off" w:line="360" w:lineRule="auto"/>
        <w:jc w:val="both"/>
      </w:pPr>
      <w:r w:rsidRPr="40E7DB1B" w:rsidR="7A1C914E">
        <w:rPr>
          <w:rFonts w:ascii="Times New Roman" w:hAnsi="Times New Roman" w:eastAsia="Times New Roman" w:cs="Times New Roman"/>
          <w:b w:val="0"/>
          <w:bCs w:val="0"/>
          <w:sz w:val="24"/>
          <w:szCs w:val="24"/>
        </w:rPr>
        <w:t xml:space="preserve">La </w:t>
      </w:r>
      <w:r w:rsidRPr="40E7DB1B" w:rsidR="5F3AE66B">
        <w:rPr>
          <w:rFonts w:ascii="Times New Roman" w:hAnsi="Times New Roman" w:eastAsia="Times New Roman" w:cs="Times New Roman"/>
          <w:b w:val="0"/>
          <w:bCs w:val="0"/>
          <w:sz w:val="24"/>
          <w:szCs w:val="24"/>
        </w:rPr>
        <w:t>norma, quindi,</w:t>
      </w:r>
      <w:r w:rsidRPr="40E7DB1B" w:rsidR="7A1C914E">
        <w:rPr>
          <w:rFonts w:ascii="Times New Roman" w:hAnsi="Times New Roman" w:eastAsia="Times New Roman" w:cs="Times New Roman"/>
          <w:b w:val="0"/>
          <w:bCs w:val="0"/>
          <w:sz w:val="24"/>
          <w:szCs w:val="24"/>
        </w:rPr>
        <w:t xml:space="preserve"> include non solo il software, ma anche l'hardware, comprendendo</w:t>
      </w:r>
      <w:r w:rsidRPr="40E7DB1B" w:rsidR="2FF1E976">
        <w:rPr>
          <w:rFonts w:ascii="Times New Roman" w:hAnsi="Times New Roman" w:eastAsia="Times New Roman" w:cs="Times New Roman"/>
          <w:b w:val="0"/>
          <w:bCs w:val="0"/>
          <w:sz w:val="24"/>
          <w:szCs w:val="24"/>
        </w:rPr>
        <w:t xml:space="preserve"> </w:t>
      </w:r>
      <w:r w:rsidRPr="40E7DB1B" w:rsidR="7A1C914E">
        <w:rPr>
          <w:rFonts w:ascii="Times New Roman" w:hAnsi="Times New Roman" w:eastAsia="Times New Roman" w:cs="Times New Roman"/>
          <w:b w:val="0"/>
          <w:bCs w:val="0"/>
          <w:sz w:val="24"/>
          <w:szCs w:val="24"/>
        </w:rPr>
        <w:t>tutte quelle apparecchiature e dispositivi il cui funzionamento sia idoneo a</w:t>
      </w:r>
      <w:r w:rsidRPr="40E7DB1B" w:rsidR="2528D2E9">
        <w:rPr>
          <w:rFonts w:ascii="Times New Roman" w:hAnsi="Times New Roman" w:eastAsia="Times New Roman" w:cs="Times New Roman"/>
          <w:b w:val="0"/>
          <w:bCs w:val="0"/>
          <w:sz w:val="24"/>
          <w:szCs w:val="24"/>
        </w:rPr>
        <w:t xml:space="preserve"> </w:t>
      </w:r>
      <w:r w:rsidRPr="40E7DB1B" w:rsidR="7A1C914E">
        <w:rPr>
          <w:rFonts w:ascii="Times New Roman" w:hAnsi="Times New Roman" w:eastAsia="Times New Roman" w:cs="Times New Roman"/>
          <w:b w:val="0"/>
          <w:bCs w:val="0"/>
          <w:sz w:val="24"/>
          <w:szCs w:val="24"/>
        </w:rPr>
        <w:t>danneggiare un sistema informatico, ovvero ad alterarne il funzionamento.</w:t>
      </w:r>
    </w:p>
    <w:p w:rsidR="7A1C914E" w:rsidP="40E7DB1B" w:rsidRDefault="7A1C914E" w14:paraId="4C73597E" w14:textId="481BAFFE">
      <w:pPr>
        <w:pStyle w:val="Normal"/>
        <w:spacing w:before="0" w:beforeAutospacing="off" w:line="360" w:lineRule="auto"/>
        <w:jc w:val="both"/>
      </w:pPr>
      <w:r w:rsidRPr="40E7DB1B" w:rsidR="7A1C914E">
        <w:rPr>
          <w:rFonts w:ascii="Times New Roman" w:hAnsi="Times New Roman" w:eastAsia="Times New Roman" w:cs="Times New Roman"/>
          <w:b w:val="0"/>
          <w:bCs w:val="0"/>
          <w:sz w:val="24"/>
          <w:szCs w:val="24"/>
        </w:rPr>
        <w:t>Integrerà quindi il “nuovo” delitto di cui all'art. 615 quinquies non solo il</w:t>
      </w:r>
      <w:r w:rsidRPr="40E7DB1B" w:rsidR="1A61DBAF">
        <w:rPr>
          <w:rFonts w:ascii="Times New Roman" w:hAnsi="Times New Roman" w:eastAsia="Times New Roman" w:cs="Times New Roman"/>
          <w:b w:val="0"/>
          <w:bCs w:val="0"/>
          <w:sz w:val="24"/>
          <w:szCs w:val="24"/>
        </w:rPr>
        <w:t xml:space="preserve"> </w:t>
      </w:r>
      <w:r w:rsidRPr="40E7DB1B" w:rsidR="7A1C914E">
        <w:rPr>
          <w:rFonts w:ascii="Times New Roman" w:hAnsi="Times New Roman" w:eastAsia="Times New Roman" w:cs="Times New Roman"/>
          <w:b w:val="0"/>
          <w:bCs w:val="0"/>
          <w:sz w:val="24"/>
          <w:szCs w:val="24"/>
        </w:rPr>
        <w:t xml:space="preserve">procurarsi virus e malware in genere, ma anche la produzione, importazione, etc. </w:t>
      </w:r>
      <w:r w:rsidRPr="40E7DB1B" w:rsidR="6757F9F1">
        <w:rPr>
          <w:rFonts w:ascii="Times New Roman" w:hAnsi="Times New Roman" w:eastAsia="Times New Roman" w:cs="Times New Roman"/>
          <w:b w:val="0"/>
          <w:bCs w:val="0"/>
          <w:sz w:val="24"/>
          <w:szCs w:val="24"/>
        </w:rPr>
        <w:t>d</w:t>
      </w:r>
      <w:r w:rsidRPr="40E7DB1B" w:rsidR="7A1C914E">
        <w:rPr>
          <w:rFonts w:ascii="Times New Roman" w:hAnsi="Times New Roman" w:eastAsia="Times New Roman" w:cs="Times New Roman"/>
          <w:b w:val="0"/>
          <w:bCs w:val="0"/>
          <w:sz w:val="24"/>
          <w:szCs w:val="24"/>
        </w:rPr>
        <w:t>i</w:t>
      </w:r>
      <w:r w:rsidRPr="40E7DB1B" w:rsidR="396175F4">
        <w:rPr>
          <w:rFonts w:ascii="Times New Roman" w:hAnsi="Times New Roman" w:eastAsia="Times New Roman" w:cs="Times New Roman"/>
          <w:b w:val="0"/>
          <w:bCs w:val="0"/>
          <w:sz w:val="24"/>
          <w:szCs w:val="24"/>
        </w:rPr>
        <w:t xml:space="preserve"> </w:t>
      </w:r>
      <w:r w:rsidRPr="40E7DB1B" w:rsidR="7A1C914E">
        <w:rPr>
          <w:rFonts w:ascii="Times New Roman" w:hAnsi="Times New Roman" w:eastAsia="Times New Roman" w:cs="Times New Roman"/>
          <w:b w:val="0"/>
          <w:bCs w:val="0"/>
          <w:sz w:val="24"/>
          <w:szCs w:val="24"/>
        </w:rPr>
        <w:t>dongle, smart card, skimmer e così via, laddove, naturalmente, si prestino ad un</w:t>
      </w:r>
      <w:r w:rsidRPr="40E7DB1B" w:rsidR="44F2C855">
        <w:rPr>
          <w:rFonts w:ascii="Times New Roman" w:hAnsi="Times New Roman" w:eastAsia="Times New Roman" w:cs="Times New Roman"/>
          <w:b w:val="0"/>
          <w:bCs w:val="0"/>
          <w:sz w:val="24"/>
          <w:szCs w:val="24"/>
        </w:rPr>
        <w:t xml:space="preserve"> </w:t>
      </w:r>
      <w:r w:rsidRPr="40E7DB1B" w:rsidR="7A1C914E">
        <w:rPr>
          <w:rFonts w:ascii="Times New Roman" w:hAnsi="Times New Roman" w:eastAsia="Times New Roman" w:cs="Times New Roman"/>
          <w:b w:val="0"/>
          <w:bCs w:val="0"/>
          <w:sz w:val="24"/>
          <w:szCs w:val="24"/>
        </w:rPr>
        <w:t>utilizzo illecito, al fine appunto di danneggiare o alterare un sistema informatico,</w:t>
      </w:r>
      <w:r w:rsidRPr="40E7DB1B" w:rsidR="5065F101">
        <w:rPr>
          <w:rFonts w:ascii="Times New Roman" w:hAnsi="Times New Roman" w:eastAsia="Times New Roman" w:cs="Times New Roman"/>
          <w:b w:val="0"/>
          <w:bCs w:val="0"/>
          <w:sz w:val="24"/>
          <w:szCs w:val="24"/>
        </w:rPr>
        <w:t xml:space="preserve"> </w:t>
      </w:r>
      <w:r w:rsidRPr="40E7DB1B" w:rsidR="7A1C914E">
        <w:rPr>
          <w:rFonts w:ascii="Times New Roman" w:hAnsi="Times New Roman" w:eastAsia="Times New Roman" w:cs="Times New Roman"/>
          <w:b w:val="0"/>
          <w:bCs w:val="0"/>
          <w:sz w:val="24"/>
          <w:szCs w:val="24"/>
        </w:rPr>
        <w:t>ovvero i dati e programmi ivi contenuti</w:t>
      </w:r>
      <w:r w:rsidRPr="40E7DB1B">
        <w:rPr>
          <w:rStyle w:val="FootnoteReference"/>
          <w:rFonts w:ascii="Times New Roman" w:hAnsi="Times New Roman" w:eastAsia="Times New Roman" w:cs="Times New Roman"/>
          <w:b w:val="0"/>
          <w:bCs w:val="0"/>
          <w:sz w:val="24"/>
          <w:szCs w:val="24"/>
        </w:rPr>
        <w:footnoteReference w:id="24298"/>
      </w:r>
      <w:r w:rsidRPr="40E7DB1B" w:rsidR="7A1C914E">
        <w:rPr>
          <w:rFonts w:ascii="Times New Roman" w:hAnsi="Times New Roman" w:eastAsia="Times New Roman" w:cs="Times New Roman"/>
          <w:b w:val="0"/>
          <w:bCs w:val="0"/>
          <w:sz w:val="24"/>
          <w:szCs w:val="24"/>
        </w:rPr>
        <w:t>.</w:t>
      </w:r>
    </w:p>
    <w:p w:rsidR="411C9FBA" w:rsidP="1E4A1C8B" w:rsidRDefault="411C9FBA" w14:paraId="5B323D28" w14:textId="68ECC520">
      <w:pPr>
        <w:pStyle w:val="Normal"/>
        <w:spacing w:before="0" w:beforeAutospacing="off" w:line="360" w:lineRule="auto"/>
        <w:jc w:val="both"/>
      </w:pPr>
      <w:r w:rsidRPr="77AB10F1" w:rsidR="411C9FBA">
        <w:rPr>
          <w:rFonts w:ascii="Times New Roman" w:hAnsi="Times New Roman" w:eastAsia="Times New Roman" w:cs="Times New Roman"/>
          <w:b w:val="0"/>
          <w:bCs w:val="0"/>
          <w:sz w:val="24"/>
          <w:szCs w:val="24"/>
        </w:rPr>
        <w:t>Sotto il profilo procedurale, una delle innovazioni</w:t>
      </w:r>
      <w:r w:rsidRPr="77AB10F1" w:rsidR="5631996F">
        <w:rPr>
          <w:rFonts w:ascii="Times New Roman" w:hAnsi="Times New Roman" w:eastAsia="Times New Roman" w:cs="Times New Roman"/>
          <w:b w:val="0"/>
          <w:bCs w:val="0"/>
          <w:sz w:val="24"/>
          <w:szCs w:val="24"/>
        </w:rPr>
        <w:t xml:space="preserve"> p</w:t>
      </w:r>
      <w:r w:rsidRPr="77AB10F1" w:rsidR="411C9FBA">
        <w:rPr>
          <w:rFonts w:ascii="Times New Roman" w:hAnsi="Times New Roman" w:eastAsia="Times New Roman" w:cs="Times New Roman"/>
          <w:b w:val="0"/>
          <w:bCs w:val="0"/>
          <w:sz w:val="24"/>
          <w:szCs w:val="24"/>
        </w:rPr>
        <w:t>iù significative è l’introduzione</w:t>
      </w:r>
      <w:r w:rsidRPr="77AB10F1" w:rsidR="4D8E8E40">
        <w:rPr>
          <w:rFonts w:ascii="Times New Roman" w:hAnsi="Times New Roman" w:eastAsia="Times New Roman" w:cs="Times New Roman"/>
          <w:b w:val="0"/>
          <w:bCs w:val="0"/>
          <w:sz w:val="24"/>
          <w:szCs w:val="24"/>
        </w:rPr>
        <w:t xml:space="preserve"> </w:t>
      </w:r>
      <w:r w:rsidRPr="77AB10F1" w:rsidR="411C9FBA">
        <w:rPr>
          <w:rFonts w:ascii="Times New Roman" w:hAnsi="Times New Roman" w:eastAsia="Times New Roman" w:cs="Times New Roman"/>
          <w:b w:val="0"/>
          <w:bCs w:val="0"/>
          <w:sz w:val="24"/>
          <w:szCs w:val="24"/>
        </w:rPr>
        <w:t>dell’ordine di conservazione rapida (</w:t>
      </w:r>
      <w:r w:rsidRPr="40E7DB1B" w:rsidR="1064A180">
        <w:rPr>
          <w:rFonts w:ascii="Times New Roman" w:hAnsi="Times New Roman" w:eastAsia="Times New Roman" w:cs="Times New Roman"/>
          <w:b w:val="0"/>
          <w:bCs w:val="0"/>
          <w:sz w:val="24"/>
          <w:szCs w:val="24"/>
        </w:rPr>
        <w:t>E</w:t>
      </w:r>
      <w:r w:rsidRPr="40E7DB1B" w:rsidR="411C9FBA">
        <w:rPr>
          <w:rFonts w:ascii="Times New Roman" w:hAnsi="Times New Roman" w:eastAsia="Times New Roman" w:cs="Times New Roman"/>
          <w:b w:val="0"/>
          <w:bCs w:val="0"/>
          <w:i w:val="1"/>
          <w:iCs w:val="1"/>
          <w:sz w:val="24"/>
          <w:szCs w:val="24"/>
        </w:rPr>
        <w:t>xpedited</w:t>
      </w:r>
      <w:r w:rsidRPr="40E7DB1B" w:rsidR="411C9FBA">
        <w:rPr>
          <w:rFonts w:ascii="Times New Roman" w:hAnsi="Times New Roman" w:eastAsia="Times New Roman" w:cs="Times New Roman"/>
          <w:b w:val="0"/>
          <w:bCs w:val="0"/>
          <w:i w:val="1"/>
          <w:iCs w:val="1"/>
          <w:sz w:val="24"/>
          <w:szCs w:val="24"/>
        </w:rPr>
        <w:t xml:space="preserve"> </w:t>
      </w:r>
      <w:r w:rsidRPr="40E7DB1B" w:rsidR="107B50C5">
        <w:rPr>
          <w:rFonts w:ascii="Times New Roman" w:hAnsi="Times New Roman" w:eastAsia="Times New Roman" w:cs="Times New Roman"/>
          <w:b w:val="0"/>
          <w:bCs w:val="0"/>
          <w:i w:val="1"/>
          <w:iCs w:val="1"/>
          <w:sz w:val="24"/>
          <w:szCs w:val="24"/>
        </w:rPr>
        <w:t>P</w:t>
      </w:r>
      <w:r w:rsidRPr="40E7DB1B" w:rsidR="411C9FBA">
        <w:rPr>
          <w:rFonts w:ascii="Times New Roman" w:hAnsi="Times New Roman" w:eastAsia="Times New Roman" w:cs="Times New Roman"/>
          <w:b w:val="0"/>
          <w:bCs w:val="0"/>
          <w:i w:val="1"/>
          <w:iCs w:val="1"/>
          <w:sz w:val="24"/>
          <w:szCs w:val="24"/>
        </w:rPr>
        <w:t>reservation</w:t>
      </w:r>
      <w:r w:rsidRPr="40E7DB1B" w:rsidR="581E4616">
        <w:rPr>
          <w:rFonts w:ascii="Times New Roman" w:hAnsi="Times New Roman" w:eastAsia="Times New Roman" w:cs="Times New Roman"/>
          <w:b w:val="0"/>
          <w:bCs w:val="0"/>
          <w:sz w:val="24"/>
          <w:szCs w:val="24"/>
        </w:rPr>
        <w:t xml:space="preserve"> </w:t>
      </w:r>
      <w:r w:rsidRPr="40E7DB1B" w:rsidR="581E4616">
        <w:rPr>
          <w:rFonts w:ascii="Times New Roman" w:hAnsi="Times New Roman" w:eastAsia="Times New Roman" w:cs="Times New Roman"/>
          <w:b w:val="0"/>
          <w:bCs w:val="0"/>
          <w:sz w:val="24"/>
          <w:szCs w:val="24"/>
        </w:rPr>
        <w:t xml:space="preserve">of </w:t>
      </w:r>
      <w:r w:rsidRPr="40E7DB1B" w:rsidR="581E4616">
        <w:rPr>
          <w:rFonts w:ascii="Times New Roman" w:hAnsi="Times New Roman" w:eastAsia="Times New Roman" w:cs="Times New Roman"/>
          <w:b w:val="0"/>
          <w:bCs w:val="0"/>
          <w:sz w:val="24"/>
          <w:szCs w:val="24"/>
        </w:rPr>
        <w:t>stored</w:t>
      </w:r>
      <w:r w:rsidRPr="40E7DB1B" w:rsidR="581E4616">
        <w:rPr>
          <w:rFonts w:ascii="Times New Roman" w:hAnsi="Times New Roman" w:eastAsia="Times New Roman" w:cs="Times New Roman"/>
          <w:b w:val="0"/>
          <w:bCs w:val="0"/>
          <w:sz w:val="24"/>
          <w:szCs w:val="24"/>
        </w:rPr>
        <w:t xml:space="preserve"> computer data), che permette il «congelamento» temporaneo e urgente di dati relativi al traffico telematico (esclusi </w:t>
      </w:r>
      <w:r w:rsidRPr="40E7DB1B" w:rsidR="581E4616">
        <w:rPr>
          <w:rFonts w:ascii="Times New Roman" w:hAnsi="Times New Roman" w:eastAsia="Times New Roman" w:cs="Times New Roman"/>
          <w:b w:val="0"/>
          <w:bCs w:val="0"/>
          <w:sz w:val="24"/>
          <w:szCs w:val="24"/>
        </w:rPr>
        <w:t>comunque</w:t>
      </w:r>
      <w:r w:rsidRPr="40E7DB1B" w:rsidR="581E4616">
        <w:rPr>
          <w:rFonts w:ascii="Times New Roman" w:hAnsi="Times New Roman" w:eastAsia="Times New Roman" w:cs="Times New Roman"/>
          <w:b w:val="0"/>
          <w:bCs w:val="0"/>
          <w:sz w:val="24"/>
          <w:szCs w:val="24"/>
        </w:rPr>
        <w:t xml:space="preserve"> i contenuti delle comunicazioni), «anche in relazione alle eventuali richieste avanzate da autorità investigative straniere»</w:t>
      </w:r>
      <w:r w:rsidRPr="40E7DB1B" w:rsidR="411C9FBA">
        <w:rPr>
          <w:rFonts w:ascii="Times New Roman" w:hAnsi="Times New Roman" w:eastAsia="Times New Roman" w:cs="Times New Roman"/>
          <w:b w:val="0"/>
          <w:bCs w:val="0"/>
          <w:sz w:val="24"/>
          <w:szCs w:val="24"/>
        </w:rPr>
        <w:t xml:space="preserve"> dei dati informatici</w:t>
      </w:r>
      <w:r w:rsidRPr="40E7DB1B" w:rsidR="411C9FBA">
        <w:rPr>
          <w:rFonts w:ascii="Times New Roman" w:hAnsi="Times New Roman" w:eastAsia="Times New Roman" w:cs="Times New Roman"/>
          <w:b w:val="0"/>
          <w:bCs w:val="0"/>
          <w:sz w:val="24"/>
          <w:szCs w:val="24"/>
        </w:rPr>
        <w:t>. Tale misura risponde direttamente alla natura volatile della prova digitale: poiché</w:t>
      </w:r>
      <w:r w:rsidRPr="40E7DB1B" w:rsidR="3AE7EC5C">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i dati possono essere modificati, cancellati o dispersi in frazioni di secondo, le autorità</w:t>
      </w:r>
      <w:r w:rsidRPr="40E7DB1B" w:rsidR="10437319">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 xml:space="preserve">devono poter ordinare </w:t>
      </w:r>
      <w:r w:rsidRPr="40E7DB1B" w:rsidR="411C9FBA">
        <w:rPr>
          <w:rFonts w:ascii="Times New Roman" w:hAnsi="Times New Roman" w:eastAsia="Times New Roman" w:cs="Times New Roman"/>
          <w:b w:val="0"/>
          <w:bCs w:val="0"/>
          <w:sz w:val="24"/>
          <w:szCs w:val="24"/>
        </w:rPr>
        <w:t>il</w:t>
      </w:r>
      <w:r w:rsidRPr="40E7DB1B" w:rsidR="5B232C26">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”congelamento</w:t>
      </w:r>
      <w:r w:rsidRPr="40E7DB1B" w:rsidR="411C9FBA">
        <w:rPr>
          <w:rFonts w:ascii="Times New Roman" w:hAnsi="Times New Roman" w:eastAsia="Times New Roman" w:cs="Times New Roman"/>
          <w:b w:val="0"/>
          <w:bCs w:val="0"/>
          <w:sz w:val="24"/>
          <w:szCs w:val="24"/>
        </w:rPr>
        <w:t>” immediato dello stato dei dati in attesa di</w:t>
      </w:r>
      <w:r w:rsidRPr="40E7DB1B" w:rsidR="4D76B669">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 xml:space="preserve">un successivo sequestro formale o di una richiesta di assistenza giudiziaria </w:t>
      </w:r>
      <w:r w:rsidRPr="40E7DB1B" w:rsidR="411C9FBA">
        <w:rPr>
          <w:rFonts w:ascii="Times New Roman" w:hAnsi="Times New Roman" w:eastAsia="Times New Roman" w:cs="Times New Roman"/>
          <w:b w:val="0"/>
          <w:bCs w:val="0"/>
          <w:sz w:val="24"/>
          <w:szCs w:val="24"/>
        </w:rPr>
        <w:t>internazio</w:t>
      </w:r>
      <w:r w:rsidRPr="40E7DB1B" w:rsidR="411C9FBA">
        <w:rPr>
          <w:rFonts w:ascii="Times New Roman" w:hAnsi="Times New Roman" w:eastAsia="Times New Roman" w:cs="Times New Roman"/>
          <w:b w:val="0"/>
          <w:bCs w:val="0"/>
          <w:sz w:val="24"/>
          <w:szCs w:val="24"/>
        </w:rPr>
        <w:t>nale</w:t>
      </w:r>
      <w:r w:rsidRPr="40E7DB1B">
        <w:rPr>
          <w:rStyle w:val="FootnoteReference"/>
          <w:rFonts w:ascii="Times New Roman" w:hAnsi="Times New Roman" w:eastAsia="Times New Roman" w:cs="Times New Roman"/>
          <w:b w:val="0"/>
          <w:bCs w:val="0"/>
          <w:sz w:val="24"/>
          <w:szCs w:val="24"/>
        </w:rPr>
        <w:footnoteReference w:id="7611"/>
      </w:r>
      <w:r w:rsidRPr="40E7DB1B" w:rsidR="411C9FBA">
        <w:rPr>
          <w:rFonts w:ascii="Times New Roman" w:hAnsi="Times New Roman" w:eastAsia="Times New Roman" w:cs="Times New Roman"/>
          <w:b w:val="0"/>
          <w:bCs w:val="0"/>
          <w:sz w:val="24"/>
          <w:szCs w:val="24"/>
        </w:rPr>
        <w:t>.</w:t>
      </w:r>
      <w:r w:rsidRPr="40E7DB1B" w:rsidR="34522C77">
        <w:rPr>
          <w:rFonts w:ascii="Times New Roman" w:hAnsi="Times New Roman" w:eastAsia="Times New Roman" w:cs="Times New Roman"/>
          <w:b w:val="0"/>
          <w:bCs w:val="0"/>
          <w:sz w:val="24"/>
          <w:szCs w:val="24"/>
        </w:rPr>
        <w:t xml:space="preserve"> </w:t>
      </w:r>
    </w:p>
    <w:p w:rsidR="34522C77" w:rsidP="49E96B32" w:rsidRDefault="34522C77" w14:paraId="7C40E49F" w14:textId="04372D89">
      <w:pPr>
        <w:pStyle w:val="Normal"/>
        <w:suppressLineNumbers w:val="0"/>
        <w:bidi w:val="0"/>
        <w:spacing w:before="0" w:beforeAutospacing="off" w:after="160" w:afterAutospacing="off" w:line="360" w:lineRule="auto"/>
        <w:ind w:left="0" w:right="0"/>
        <w:jc w:val="both"/>
      </w:pPr>
      <w:r w:rsidRPr="49E96B32" w:rsidR="34522C77">
        <w:rPr>
          <w:rFonts w:ascii="Times New Roman" w:hAnsi="Times New Roman" w:eastAsia="Times New Roman" w:cs="Times New Roman"/>
          <w:b w:val="0"/>
          <w:bCs w:val="0"/>
          <w:sz w:val="24"/>
          <w:szCs w:val="24"/>
        </w:rPr>
        <w:t>Questa procedura di freezing costituisce una misura cautelare atipica che mira a</w:t>
      </w:r>
      <w:r w:rsidRPr="49E96B32" w:rsidR="025F7FA5">
        <w:rPr>
          <w:rFonts w:ascii="Times New Roman" w:hAnsi="Times New Roman" w:eastAsia="Times New Roman" w:cs="Times New Roman"/>
          <w:b w:val="0"/>
          <w:bCs w:val="0"/>
          <w:sz w:val="24"/>
          <w:szCs w:val="24"/>
        </w:rPr>
        <w:t xml:space="preserve">d una cristallizzazione probatoria in pendenza dell’iter necessario per la perfezione dell’ordine </w:t>
      </w:r>
      <w:r w:rsidRPr="49E96B32" w:rsidR="21EDDC8B">
        <w:rPr>
          <w:rFonts w:ascii="Times New Roman" w:hAnsi="Times New Roman" w:eastAsia="Times New Roman" w:cs="Times New Roman"/>
          <w:b w:val="0"/>
          <w:bCs w:val="0"/>
          <w:sz w:val="24"/>
          <w:szCs w:val="24"/>
        </w:rPr>
        <w:t xml:space="preserve">di esecuzione. </w:t>
      </w:r>
      <w:r w:rsidRPr="49E96B32" w:rsidR="785CCE2D">
        <w:rPr>
          <w:rFonts w:ascii="Times New Roman" w:hAnsi="Times New Roman" w:eastAsia="Times New Roman" w:cs="Times New Roman"/>
          <w:b w:val="0"/>
          <w:bCs w:val="0"/>
          <w:sz w:val="24"/>
          <w:szCs w:val="24"/>
        </w:rPr>
        <w:t>Uno</w:t>
      </w:r>
      <w:r w:rsidRPr="49E96B32" w:rsidR="3F63A46B">
        <w:rPr>
          <w:rFonts w:ascii="Times New Roman" w:hAnsi="Times New Roman" w:eastAsia="Times New Roman" w:cs="Times New Roman"/>
          <w:b w:val="0"/>
          <w:bCs w:val="0"/>
          <w:sz w:val="24"/>
          <w:szCs w:val="24"/>
        </w:rPr>
        <w:t xml:space="preserve"> strumento</w:t>
      </w:r>
      <w:r w:rsidRPr="49E96B32" w:rsidR="3A30723E">
        <w:rPr>
          <w:rFonts w:ascii="Times New Roman" w:hAnsi="Times New Roman" w:eastAsia="Times New Roman" w:cs="Times New Roman"/>
          <w:b w:val="0"/>
          <w:bCs w:val="0"/>
          <w:sz w:val="24"/>
          <w:szCs w:val="24"/>
        </w:rPr>
        <w:t xml:space="preserve"> che </w:t>
      </w:r>
      <w:r w:rsidRPr="49E96B32" w:rsidR="3F63A46B">
        <w:rPr>
          <w:rFonts w:ascii="Times New Roman" w:hAnsi="Times New Roman" w:eastAsia="Times New Roman" w:cs="Times New Roman"/>
          <w:b w:val="0"/>
          <w:bCs w:val="0"/>
          <w:sz w:val="24"/>
          <w:szCs w:val="24"/>
        </w:rPr>
        <w:t>permette</w:t>
      </w:r>
      <w:r w:rsidRPr="49E96B32" w:rsidR="458934C8">
        <w:rPr>
          <w:rFonts w:ascii="Times New Roman" w:hAnsi="Times New Roman" w:eastAsia="Times New Roman" w:cs="Times New Roman"/>
          <w:b w:val="0"/>
          <w:bCs w:val="0"/>
          <w:sz w:val="24"/>
          <w:szCs w:val="24"/>
        </w:rPr>
        <w:t>,</w:t>
      </w:r>
      <w:r w:rsidRPr="49E96B32" w:rsidR="3F63A46B">
        <w:rPr>
          <w:rFonts w:ascii="Times New Roman" w:hAnsi="Times New Roman" w:eastAsia="Times New Roman" w:cs="Times New Roman"/>
          <w:b w:val="0"/>
          <w:bCs w:val="0"/>
          <w:sz w:val="24"/>
          <w:szCs w:val="24"/>
        </w:rPr>
        <w:t xml:space="preserve"> agevolmente</w:t>
      </w:r>
      <w:r w:rsidRPr="49E96B32" w:rsidR="78D4AAE6">
        <w:rPr>
          <w:rFonts w:ascii="Times New Roman" w:hAnsi="Times New Roman" w:eastAsia="Times New Roman" w:cs="Times New Roman"/>
          <w:b w:val="0"/>
          <w:bCs w:val="0"/>
          <w:sz w:val="24"/>
          <w:szCs w:val="24"/>
        </w:rPr>
        <w:t>,</w:t>
      </w:r>
      <w:r w:rsidRPr="49E96B32" w:rsidR="3F63A46B">
        <w:rPr>
          <w:rFonts w:ascii="Times New Roman" w:hAnsi="Times New Roman" w:eastAsia="Times New Roman" w:cs="Times New Roman"/>
          <w:b w:val="0"/>
          <w:bCs w:val="0"/>
          <w:sz w:val="24"/>
          <w:szCs w:val="24"/>
        </w:rPr>
        <w:t xml:space="preserve"> ma soprattutto mantenendo l’equilibrio </w:t>
      </w:r>
      <w:r w:rsidRPr="49E96B32" w:rsidR="4A4D5041">
        <w:rPr>
          <w:rFonts w:ascii="Times New Roman" w:hAnsi="Times New Roman" w:eastAsia="Times New Roman" w:cs="Times New Roman"/>
          <w:b w:val="0"/>
          <w:bCs w:val="0"/>
          <w:sz w:val="24"/>
          <w:szCs w:val="24"/>
        </w:rPr>
        <w:t>tra efficienza e garanzie procedurali</w:t>
      </w:r>
      <w:r w:rsidRPr="49E96B32" w:rsidR="3C5CFB69">
        <w:rPr>
          <w:rFonts w:ascii="Times New Roman" w:hAnsi="Times New Roman" w:eastAsia="Times New Roman" w:cs="Times New Roman"/>
          <w:b w:val="0"/>
          <w:bCs w:val="0"/>
          <w:sz w:val="24"/>
          <w:szCs w:val="24"/>
        </w:rPr>
        <w:t>,</w:t>
      </w:r>
      <w:r w:rsidRPr="49E96B32" w:rsidR="4A4D5041">
        <w:rPr>
          <w:rFonts w:ascii="Times New Roman" w:hAnsi="Times New Roman" w:eastAsia="Times New Roman" w:cs="Times New Roman"/>
          <w:b w:val="0"/>
          <w:bCs w:val="0"/>
          <w:sz w:val="24"/>
          <w:szCs w:val="24"/>
        </w:rPr>
        <w:t xml:space="preserve"> di obbl</w:t>
      </w:r>
      <w:r w:rsidRPr="49E96B32" w:rsidR="69C78E8B">
        <w:rPr>
          <w:rFonts w:ascii="Times New Roman" w:hAnsi="Times New Roman" w:eastAsia="Times New Roman" w:cs="Times New Roman"/>
          <w:b w:val="0"/>
          <w:bCs w:val="0"/>
          <w:sz w:val="24"/>
          <w:szCs w:val="24"/>
        </w:rPr>
        <w:t>i</w:t>
      </w:r>
      <w:r w:rsidRPr="49E96B32" w:rsidR="4A4D5041">
        <w:rPr>
          <w:rFonts w:ascii="Times New Roman" w:hAnsi="Times New Roman" w:eastAsia="Times New Roman" w:cs="Times New Roman"/>
          <w:b w:val="0"/>
          <w:bCs w:val="0"/>
          <w:sz w:val="24"/>
          <w:szCs w:val="24"/>
        </w:rPr>
        <w:t xml:space="preserve">gare il provider </w:t>
      </w:r>
      <w:r w:rsidRPr="49E96B32" w:rsidR="33CAB349">
        <w:rPr>
          <w:rFonts w:ascii="Times New Roman" w:hAnsi="Times New Roman" w:eastAsia="Times New Roman" w:cs="Times New Roman"/>
          <w:b w:val="0"/>
          <w:bCs w:val="0"/>
          <w:sz w:val="24"/>
          <w:szCs w:val="24"/>
        </w:rPr>
        <w:t>all’integrità del dato per un periodo minimo di 90 giorni</w:t>
      </w:r>
      <w:r w:rsidRPr="49E96B32" w:rsidR="69826CEF">
        <w:rPr>
          <w:rFonts w:ascii="Times New Roman" w:hAnsi="Times New Roman" w:eastAsia="Times New Roman" w:cs="Times New Roman"/>
          <w:b w:val="0"/>
          <w:bCs w:val="0"/>
          <w:sz w:val="24"/>
          <w:szCs w:val="24"/>
        </w:rPr>
        <w:t xml:space="preserve"> </w:t>
      </w:r>
      <w:r w:rsidRPr="49E96B32" w:rsidR="69826CEF">
        <w:rPr>
          <w:rFonts w:ascii="Times New Roman" w:hAnsi="Times New Roman" w:eastAsia="Times New Roman" w:cs="Times New Roman"/>
          <w:b w:val="0"/>
          <w:bCs w:val="0"/>
          <w:sz w:val="24"/>
          <w:szCs w:val="24"/>
        </w:rPr>
        <w:t xml:space="preserve">prorogabile fino a sei mesi, su ordine di un ampio novero di soggetti (il Ministro dell’interno o, su sua delega, i responsabili degli uffici centrali specialistici in materia informatica o telematica della </w:t>
      </w:r>
      <w:r w:rsidRPr="49E96B32" w:rsidR="69826CEF">
        <w:rPr>
          <w:rFonts w:ascii="Times New Roman" w:hAnsi="Times New Roman" w:eastAsia="Times New Roman" w:cs="Times New Roman"/>
          <w:b w:val="0"/>
          <w:bCs w:val="0"/>
          <w:sz w:val="24"/>
          <w:szCs w:val="24"/>
        </w:rPr>
        <w:t xml:space="preserve">Polizia di Stato, dell’Arma dei carabinieri e del Corpo della guardia di finanza, nonché gli altri soggetti indicati nell’art. 226, comma 1, disp. att. cod. proc. </w:t>
      </w:r>
      <w:r w:rsidRPr="49E96B32" w:rsidR="69826CEF">
        <w:rPr>
          <w:rFonts w:ascii="Times New Roman" w:hAnsi="Times New Roman" w:eastAsia="Times New Roman" w:cs="Times New Roman"/>
          <w:b w:val="0"/>
          <w:bCs w:val="0"/>
          <w:sz w:val="24"/>
          <w:szCs w:val="24"/>
        </w:rPr>
        <w:t>pen</w:t>
      </w:r>
      <w:r w:rsidRPr="49E96B32" w:rsidR="69826CEF">
        <w:rPr>
          <w:rFonts w:ascii="Times New Roman" w:hAnsi="Times New Roman" w:eastAsia="Times New Roman" w:cs="Times New Roman"/>
          <w:b w:val="0"/>
          <w:bCs w:val="0"/>
          <w:sz w:val="24"/>
          <w:szCs w:val="24"/>
        </w:rPr>
        <w:t>.), per finalità</w:t>
      </w:r>
      <w:r w:rsidRPr="49E96B32" w:rsidR="0EC3D3AE">
        <w:rPr>
          <w:rFonts w:ascii="Times New Roman" w:hAnsi="Times New Roman" w:eastAsia="Times New Roman" w:cs="Times New Roman"/>
          <w:b w:val="0"/>
          <w:bCs w:val="0"/>
          <w:sz w:val="24"/>
          <w:szCs w:val="24"/>
        </w:rPr>
        <w:t xml:space="preserve"> </w:t>
      </w:r>
      <w:r w:rsidRPr="49E96B32" w:rsidR="69826CEF">
        <w:rPr>
          <w:rFonts w:ascii="Times New Roman" w:hAnsi="Times New Roman" w:eastAsia="Times New Roman" w:cs="Times New Roman"/>
          <w:b w:val="0"/>
          <w:bCs w:val="0"/>
          <w:sz w:val="24"/>
          <w:szCs w:val="24"/>
        </w:rPr>
        <w:t>essenzialmente preventive (comma 4-ter).</w:t>
      </w:r>
    </w:p>
    <w:p w:rsidR="0DDF8D90" w:rsidP="1E4A1C8B" w:rsidRDefault="0DDF8D90" w14:paraId="7DD72627" w14:textId="379F9E31">
      <w:pPr>
        <w:pStyle w:val="Normal"/>
        <w:spacing w:before="0" w:beforeAutospacing="off" w:line="360" w:lineRule="auto"/>
        <w:jc w:val="both"/>
        <w:rPr>
          <w:rFonts w:ascii="Times New Roman" w:hAnsi="Times New Roman" w:eastAsia="Times New Roman" w:cs="Times New Roman"/>
          <w:b w:val="0"/>
          <w:bCs w:val="0"/>
          <w:sz w:val="24"/>
          <w:szCs w:val="24"/>
        </w:rPr>
      </w:pPr>
      <w:r w:rsidRPr="77AB10F1" w:rsidR="0DDF8D90">
        <w:rPr>
          <w:rFonts w:ascii="Times New Roman" w:hAnsi="Times New Roman" w:eastAsia="Times New Roman" w:cs="Times New Roman"/>
          <w:b w:val="0"/>
          <w:bCs w:val="0"/>
          <w:sz w:val="24"/>
          <w:szCs w:val="24"/>
        </w:rPr>
        <w:t>S</w:t>
      </w:r>
      <w:r w:rsidRPr="77AB10F1" w:rsidR="411C9FBA">
        <w:rPr>
          <w:rFonts w:ascii="Times New Roman" w:hAnsi="Times New Roman" w:eastAsia="Times New Roman" w:cs="Times New Roman"/>
          <w:b w:val="0"/>
          <w:bCs w:val="0"/>
          <w:sz w:val="24"/>
          <w:szCs w:val="24"/>
        </w:rPr>
        <w:t>e</w:t>
      </w:r>
      <w:r w:rsidRPr="77AB10F1" w:rsidR="0DDF8D90">
        <w:rPr>
          <w:rFonts w:ascii="Times New Roman" w:hAnsi="Times New Roman" w:eastAsia="Times New Roman" w:cs="Times New Roman"/>
          <w:b w:val="0"/>
          <w:bCs w:val="0"/>
          <w:sz w:val="24"/>
          <w:szCs w:val="24"/>
        </w:rPr>
        <w:t xml:space="preserve"> ci spostiamo da un ambito generale ad uno più specifico ovvero quello </w:t>
      </w:r>
      <w:r w:rsidRPr="77AB10F1" w:rsidR="0DDF8D90">
        <w:rPr>
          <w:rFonts w:ascii="Times New Roman" w:hAnsi="Times New Roman" w:eastAsia="Times New Roman" w:cs="Times New Roman"/>
          <w:b w:val="0"/>
          <w:bCs w:val="0"/>
          <w:sz w:val="24"/>
          <w:szCs w:val="24"/>
        </w:rPr>
        <w:t>dei</w:t>
      </w:r>
      <w:r w:rsidRPr="77AB10F1" w:rsidR="411C9FBA">
        <w:rPr>
          <w:rFonts w:ascii="Times New Roman" w:hAnsi="Times New Roman" w:eastAsia="Times New Roman" w:cs="Times New Roman"/>
          <w:b w:val="0"/>
          <w:bCs w:val="0"/>
          <w:sz w:val="24"/>
          <w:szCs w:val="24"/>
        </w:rPr>
        <w:t xml:space="preserve"> </w:t>
      </w:r>
      <w:r w:rsidRPr="77AB10F1" w:rsidR="411C9FBA">
        <w:rPr>
          <w:rFonts w:ascii="Times New Roman" w:hAnsi="Times New Roman" w:eastAsia="Times New Roman" w:cs="Times New Roman"/>
          <w:b w:val="0"/>
          <w:bCs w:val="0"/>
          <w:sz w:val="24"/>
          <w:szCs w:val="24"/>
        </w:rPr>
        <w:t>”dati</w:t>
      </w:r>
      <w:r w:rsidRPr="77AB10F1" w:rsidR="411C9FBA">
        <w:rPr>
          <w:rFonts w:ascii="Times New Roman" w:hAnsi="Times New Roman" w:eastAsia="Times New Roman" w:cs="Times New Roman"/>
          <w:b w:val="0"/>
          <w:bCs w:val="0"/>
          <w:sz w:val="24"/>
          <w:szCs w:val="24"/>
        </w:rPr>
        <w:t xml:space="preserve"> sul traffico” (art. 17),</w:t>
      </w:r>
      <w:r w:rsidRPr="77AB10F1" w:rsidR="043F9281">
        <w:rPr>
          <w:rFonts w:ascii="Times New Roman" w:hAnsi="Times New Roman" w:eastAsia="Times New Roman" w:cs="Times New Roman"/>
          <w:b w:val="0"/>
          <w:bCs w:val="0"/>
          <w:sz w:val="24"/>
          <w:szCs w:val="24"/>
        </w:rPr>
        <w:t xml:space="preserve"> </w:t>
      </w:r>
      <w:r w:rsidRPr="77AB10F1" w:rsidR="411C9FBA">
        <w:rPr>
          <w:rFonts w:ascii="Times New Roman" w:hAnsi="Times New Roman" w:eastAsia="Times New Roman" w:cs="Times New Roman"/>
          <w:b w:val="0"/>
          <w:bCs w:val="0"/>
          <w:sz w:val="24"/>
          <w:szCs w:val="24"/>
        </w:rPr>
        <w:t>essenziali per tracciare l’origine di una comunicazione e identificare i fornitori di servizi</w:t>
      </w:r>
      <w:r w:rsidRPr="77AB10F1" w:rsidR="785AC0A3">
        <w:rPr>
          <w:rFonts w:ascii="Times New Roman" w:hAnsi="Times New Roman" w:eastAsia="Times New Roman" w:cs="Times New Roman"/>
          <w:b w:val="0"/>
          <w:bCs w:val="0"/>
          <w:sz w:val="24"/>
          <w:szCs w:val="24"/>
        </w:rPr>
        <w:t xml:space="preserve"> </w:t>
      </w:r>
      <w:r w:rsidRPr="77AB10F1" w:rsidR="411C9FBA">
        <w:rPr>
          <w:rFonts w:ascii="Times New Roman" w:hAnsi="Times New Roman" w:eastAsia="Times New Roman" w:cs="Times New Roman"/>
          <w:b w:val="0"/>
          <w:bCs w:val="0"/>
          <w:sz w:val="24"/>
          <w:szCs w:val="24"/>
        </w:rPr>
        <w:t>coinvolti</w:t>
      </w:r>
      <w:r w:rsidRPr="77AB10F1" w:rsidR="7E3E764C">
        <w:rPr>
          <w:rFonts w:ascii="Times New Roman" w:hAnsi="Times New Roman" w:eastAsia="Times New Roman" w:cs="Times New Roman"/>
          <w:b w:val="0"/>
          <w:bCs w:val="0"/>
          <w:sz w:val="24"/>
          <w:szCs w:val="24"/>
        </w:rPr>
        <w:t xml:space="preserve">, ci accorgiamo appunto che le sfide dogmatiche risultano più ardue. </w:t>
      </w:r>
      <w:r w:rsidRPr="77AB10F1" w:rsidR="4DDE1CBA">
        <w:rPr>
          <w:rFonts w:ascii="Times New Roman" w:hAnsi="Times New Roman" w:eastAsia="Times New Roman" w:cs="Times New Roman"/>
          <w:b w:val="0"/>
          <w:bCs w:val="0"/>
          <w:sz w:val="24"/>
          <w:szCs w:val="24"/>
        </w:rPr>
        <w:t xml:space="preserve">I dati relativi al traffico non descrivo il “cosa” ma il “chi”, “come” e “quando” </w:t>
      </w:r>
      <w:r w:rsidRPr="77AB10F1" w:rsidR="38C7920F">
        <w:rPr>
          <w:rFonts w:ascii="Times New Roman" w:hAnsi="Times New Roman" w:eastAsia="Times New Roman" w:cs="Times New Roman"/>
          <w:b w:val="0"/>
          <w:bCs w:val="0"/>
          <w:sz w:val="24"/>
          <w:szCs w:val="24"/>
        </w:rPr>
        <w:t>delineando un profilo comportamentale dell’utente decisamente più invasivo</w:t>
      </w:r>
      <w:r w:rsidRPr="77AB10F1">
        <w:rPr>
          <w:rStyle w:val="FootnoteReference"/>
          <w:rFonts w:ascii="Times New Roman" w:hAnsi="Times New Roman" w:eastAsia="Times New Roman" w:cs="Times New Roman"/>
          <w:b w:val="0"/>
          <w:bCs w:val="0"/>
          <w:sz w:val="24"/>
          <w:szCs w:val="24"/>
        </w:rPr>
        <w:footnoteReference w:id="13295"/>
      </w:r>
      <w:r w:rsidRPr="77AB10F1" w:rsidR="38C7920F">
        <w:rPr>
          <w:rFonts w:ascii="Times New Roman" w:hAnsi="Times New Roman" w:eastAsia="Times New Roman" w:cs="Times New Roman"/>
          <w:b w:val="0"/>
          <w:bCs w:val="0"/>
          <w:sz w:val="24"/>
          <w:szCs w:val="24"/>
        </w:rPr>
        <w:t>.</w:t>
      </w:r>
      <w:r w:rsidRPr="77AB10F1" w:rsidR="13AF64CF">
        <w:rPr>
          <w:rFonts w:ascii="Times New Roman" w:hAnsi="Times New Roman" w:eastAsia="Times New Roman" w:cs="Times New Roman"/>
          <w:b w:val="0"/>
          <w:bCs w:val="0"/>
          <w:sz w:val="24"/>
          <w:szCs w:val="24"/>
        </w:rPr>
        <w:t xml:space="preserve"> </w:t>
      </w:r>
    </w:p>
    <w:p w:rsidR="1B21DBF3" w:rsidP="1E4A1C8B" w:rsidRDefault="1B21DBF3" w14:paraId="798D59B3" w14:textId="27E46C01">
      <w:pPr>
        <w:pStyle w:val="Normal"/>
        <w:spacing w:before="0" w:beforeAutospacing="off" w:line="360" w:lineRule="auto"/>
        <w:jc w:val="both"/>
        <w:rPr>
          <w:rFonts w:ascii="Times New Roman" w:hAnsi="Times New Roman" w:eastAsia="Times New Roman" w:cs="Times New Roman"/>
          <w:b w:val="0"/>
          <w:bCs w:val="0"/>
          <w:i w:val="1"/>
          <w:iCs w:val="1"/>
          <w:sz w:val="24"/>
          <w:szCs w:val="24"/>
        </w:rPr>
      </w:pPr>
      <w:r w:rsidRPr="1E4A1C8B" w:rsidR="1B21DBF3">
        <w:rPr>
          <w:rFonts w:ascii="Times New Roman" w:hAnsi="Times New Roman" w:eastAsia="Times New Roman" w:cs="Times New Roman"/>
          <w:b w:val="0"/>
          <w:bCs w:val="0"/>
          <w:sz w:val="24"/>
          <w:szCs w:val="24"/>
        </w:rPr>
        <w:t xml:space="preserve">L’art. 17 introduce di fatto un vincolo di indisponibilità logica, che </w:t>
      </w:r>
      <w:r w:rsidRPr="1E4A1C8B" w:rsidR="621BD92D">
        <w:rPr>
          <w:rFonts w:ascii="Times New Roman" w:hAnsi="Times New Roman" w:eastAsia="Times New Roman" w:cs="Times New Roman"/>
          <w:b w:val="0"/>
          <w:bCs w:val="0"/>
          <w:sz w:val="24"/>
          <w:szCs w:val="24"/>
        </w:rPr>
        <w:t xml:space="preserve">delinea in modo inequivocabile le fattezze della dematerializzazione del vincolo probatorio, </w:t>
      </w:r>
      <w:r w:rsidRPr="1E4A1C8B" w:rsidR="36706A8B">
        <w:rPr>
          <w:rFonts w:ascii="Times New Roman" w:hAnsi="Times New Roman" w:eastAsia="Times New Roman" w:cs="Times New Roman"/>
          <w:b w:val="0"/>
          <w:bCs w:val="0"/>
          <w:sz w:val="24"/>
          <w:szCs w:val="24"/>
        </w:rPr>
        <w:t>obbligando i provider a derogare alle proprie regole di cancellazione dei log spesso dettate da esigenze di storage o pri</w:t>
      </w:r>
      <w:r w:rsidRPr="1E4A1C8B" w:rsidR="00CF997C">
        <w:rPr>
          <w:rFonts w:ascii="Times New Roman" w:hAnsi="Times New Roman" w:eastAsia="Times New Roman" w:cs="Times New Roman"/>
          <w:b w:val="0"/>
          <w:bCs w:val="0"/>
          <w:sz w:val="24"/>
          <w:szCs w:val="24"/>
        </w:rPr>
        <w:t>vacy come il DGPR</w:t>
      </w:r>
      <w:r w:rsidRPr="1E4A1C8B" w:rsidR="6026B306">
        <w:rPr>
          <w:rFonts w:ascii="Times New Roman" w:hAnsi="Times New Roman" w:eastAsia="Times New Roman" w:cs="Times New Roman"/>
          <w:b w:val="0"/>
          <w:bCs w:val="0"/>
          <w:sz w:val="24"/>
          <w:szCs w:val="24"/>
        </w:rPr>
        <w:t>. Questo strumento ci offre una postergazione del contra</w:t>
      </w:r>
      <w:r w:rsidRPr="1E4A1C8B" w:rsidR="72999E0D">
        <w:rPr>
          <w:rFonts w:ascii="Times New Roman" w:hAnsi="Times New Roman" w:eastAsia="Times New Roman" w:cs="Times New Roman"/>
          <w:b w:val="0"/>
          <w:bCs w:val="0"/>
          <w:sz w:val="24"/>
          <w:szCs w:val="24"/>
        </w:rPr>
        <w:t xml:space="preserve">ddittorio che a mio parere – lo evidenzio subito – </w:t>
      </w:r>
      <w:r w:rsidRPr="1E4A1C8B" w:rsidR="658E67CF">
        <w:rPr>
          <w:rFonts w:ascii="Times New Roman" w:hAnsi="Times New Roman" w:eastAsia="Times New Roman" w:cs="Times New Roman"/>
          <w:b w:val="0"/>
          <w:bCs w:val="0"/>
          <w:sz w:val="24"/>
          <w:szCs w:val="24"/>
        </w:rPr>
        <w:t xml:space="preserve">risulta un’arma spuntata di fronte a servizi e tecnologie di rete ontologicamente </w:t>
      </w:r>
      <w:r w:rsidRPr="1E4A1C8B" w:rsidR="658E67CF">
        <w:rPr>
          <w:rFonts w:ascii="Times New Roman" w:hAnsi="Times New Roman" w:eastAsia="Times New Roman" w:cs="Times New Roman"/>
          <w:b w:val="0"/>
          <w:bCs w:val="0"/>
          <w:i w:val="1"/>
          <w:iCs w:val="1"/>
          <w:sz w:val="24"/>
          <w:szCs w:val="24"/>
        </w:rPr>
        <w:t>logless</w:t>
      </w:r>
      <w:r w:rsidRPr="1E4A1C8B" w:rsidR="35F49C4B">
        <w:rPr>
          <w:rFonts w:ascii="Times New Roman" w:hAnsi="Times New Roman" w:eastAsia="Times New Roman" w:cs="Times New Roman"/>
          <w:b w:val="0"/>
          <w:bCs w:val="0"/>
          <w:i w:val="1"/>
          <w:iCs w:val="1"/>
          <w:sz w:val="24"/>
          <w:szCs w:val="24"/>
        </w:rPr>
        <w:t xml:space="preserve">. </w:t>
      </w:r>
      <w:r w:rsidRPr="1E4A1C8B" w:rsidR="35F49C4B">
        <w:rPr>
          <w:rFonts w:ascii="Times New Roman" w:hAnsi="Times New Roman" w:eastAsia="Times New Roman" w:cs="Times New Roman"/>
          <w:b w:val="0"/>
          <w:bCs w:val="0"/>
          <w:i w:val="1"/>
          <w:iCs w:val="1"/>
          <w:sz w:val="24"/>
          <w:szCs w:val="24"/>
        </w:rPr>
        <w:t>Queste infrastrutture (spesso provider VPN)</w:t>
      </w:r>
      <w:r w:rsidRPr="1E4A1C8B" w:rsidR="396FBD38">
        <w:rPr>
          <w:rFonts w:ascii="Times New Roman" w:hAnsi="Times New Roman" w:eastAsia="Times New Roman" w:cs="Times New Roman"/>
          <w:b w:val="0"/>
          <w:bCs w:val="0"/>
          <w:i w:val="1"/>
          <w:iCs w:val="1"/>
          <w:sz w:val="24"/>
          <w:szCs w:val="24"/>
        </w:rPr>
        <w:t>,</w:t>
      </w:r>
      <w:r w:rsidRPr="1E4A1C8B" w:rsidR="396FBD38">
        <w:rPr>
          <w:rFonts w:ascii="Times New Roman" w:hAnsi="Times New Roman" w:eastAsia="Times New Roman" w:cs="Times New Roman"/>
          <w:b w:val="0"/>
          <w:bCs w:val="0"/>
          <w:i w:val="1"/>
          <w:iCs w:val="1"/>
          <w:sz w:val="24"/>
          <w:szCs w:val="24"/>
        </w:rPr>
        <w:t xml:space="preserve"> immagazzinano i dati di traffico nella </w:t>
      </w:r>
      <w:r w:rsidRPr="1E4A1C8B" w:rsidR="396FBD38">
        <w:rPr>
          <w:rFonts w:ascii="Times New Roman" w:hAnsi="Times New Roman" w:eastAsia="Times New Roman" w:cs="Times New Roman"/>
          <w:b w:val="0"/>
          <w:bCs w:val="0"/>
          <w:i w:val="1"/>
          <w:iCs w:val="1"/>
          <w:sz w:val="24"/>
          <w:szCs w:val="24"/>
        </w:rPr>
        <w:t>ram</w:t>
      </w:r>
      <w:r w:rsidRPr="1E4A1C8B" w:rsidR="396FBD38">
        <w:rPr>
          <w:rFonts w:ascii="Times New Roman" w:hAnsi="Times New Roman" w:eastAsia="Times New Roman" w:cs="Times New Roman"/>
          <w:b w:val="0"/>
          <w:bCs w:val="0"/>
          <w:i w:val="1"/>
          <w:iCs w:val="1"/>
          <w:sz w:val="24"/>
          <w:szCs w:val="24"/>
        </w:rPr>
        <w:t xml:space="preserve"> dei propri servers rendendoli di fatto inconsistenti e indisponibili a chiunque. </w:t>
      </w:r>
    </w:p>
    <w:p w:rsidR="411C9FBA" w:rsidP="1E4A1C8B" w:rsidRDefault="411C9FBA" w14:paraId="27033172" w14:textId="7CC54BA1">
      <w:pPr>
        <w:pStyle w:val="Normal"/>
        <w:spacing w:before="0" w:beforeAutospacing="off" w:line="360" w:lineRule="auto"/>
        <w:jc w:val="both"/>
        <w:rPr>
          <w:rFonts w:ascii="Times New Roman" w:hAnsi="Times New Roman" w:eastAsia="Times New Roman" w:cs="Times New Roman"/>
          <w:b w:val="0"/>
          <w:bCs w:val="0"/>
          <w:sz w:val="24"/>
          <w:szCs w:val="24"/>
        </w:rPr>
      </w:pPr>
      <w:r w:rsidRPr="1E4A1C8B" w:rsidR="411C9FBA">
        <w:rPr>
          <w:rFonts w:ascii="Times New Roman" w:hAnsi="Times New Roman" w:eastAsia="Times New Roman" w:cs="Times New Roman"/>
          <w:b w:val="0"/>
          <w:bCs w:val="0"/>
          <w:sz w:val="24"/>
          <w:szCs w:val="24"/>
        </w:rPr>
        <w:t>Tuttavia, è fondamentale notare che la Convenzione si limita a stabilire degli obiet</w:t>
      </w:r>
      <w:r w:rsidRPr="1E4A1C8B" w:rsidR="411C9FBA">
        <w:rPr>
          <w:rFonts w:ascii="Times New Roman" w:hAnsi="Times New Roman" w:eastAsia="Times New Roman" w:cs="Times New Roman"/>
          <w:b w:val="0"/>
          <w:bCs w:val="0"/>
          <w:sz w:val="24"/>
          <w:szCs w:val="24"/>
        </w:rPr>
        <w:t>tivi</w:t>
      </w:r>
      <w:r w:rsidRPr="1E4A1C8B" w:rsidR="411C9FBA">
        <w:rPr>
          <w:rFonts w:ascii="Times New Roman" w:hAnsi="Times New Roman" w:eastAsia="Times New Roman" w:cs="Times New Roman"/>
          <w:b w:val="0"/>
          <w:bCs w:val="0"/>
          <w:sz w:val="24"/>
          <w:szCs w:val="24"/>
        </w:rPr>
        <w:t xml:space="preserve"> di risultato (l’integrità e la conservazione), lasciando agli Stati membri un ampio</w:t>
      </w:r>
      <w:r w:rsidRPr="1E4A1C8B" w:rsidR="52527AEC">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 xml:space="preserve">margine di discrezionalità sulle modalità tecniche di attuazione, un approccio </w:t>
      </w:r>
      <w:r w:rsidRPr="1E4A1C8B" w:rsidR="411C9FBA">
        <w:rPr>
          <w:rFonts w:ascii="Times New Roman" w:hAnsi="Times New Roman" w:eastAsia="Times New Roman" w:cs="Times New Roman"/>
          <w:b w:val="0"/>
          <w:bCs w:val="0"/>
          <w:sz w:val="24"/>
          <w:szCs w:val="24"/>
        </w:rPr>
        <w:t>defi</w:t>
      </w:r>
      <w:r w:rsidRPr="1E4A1C8B" w:rsidR="411C9FBA">
        <w:rPr>
          <w:rFonts w:ascii="Times New Roman" w:hAnsi="Times New Roman" w:eastAsia="Times New Roman" w:cs="Times New Roman"/>
          <w:b w:val="0"/>
          <w:bCs w:val="0"/>
          <w:sz w:val="24"/>
          <w:szCs w:val="24"/>
        </w:rPr>
        <w:t xml:space="preserve">nito </w:t>
      </w:r>
      <w:r w:rsidRPr="1E4A1C8B" w:rsidR="411C9FBA">
        <w:rPr>
          <w:rFonts w:ascii="Times New Roman" w:hAnsi="Times New Roman" w:eastAsia="Times New Roman" w:cs="Times New Roman"/>
          <w:b w:val="0"/>
          <w:bCs w:val="0"/>
          <w:sz w:val="24"/>
          <w:szCs w:val="24"/>
        </w:rPr>
        <w:t>di ”armonizzazione</w:t>
      </w:r>
      <w:r w:rsidRPr="1E4A1C8B" w:rsidR="411C9FBA">
        <w:rPr>
          <w:rFonts w:ascii="Times New Roman" w:hAnsi="Times New Roman" w:eastAsia="Times New Roman" w:cs="Times New Roman"/>
          <w:b w:val="0"/>
          <w:bCs w:val="0"/>
          <w:sz w:val="24"/>
          <w:szCs w:val="24"/>
        </w:rPr>
        <w:t xml:space="preserve"> flessibile” che, se da un lato favorisce l’adesione degli Stati,</w:t>
      </w:r>
      <w:r w:rsidRPr="1E4A1C8B" w:rsidR="68D833FA">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dall’altro rischia di creare disomogeneità nelle garanzie processuali</w:t>
      </w:r>
      <w:r w:rsidRPr="1E4A1C8B" w:rsidR="411C9FBA">
        <w:rPr>
          <w:rFonts w:ascii="Times New Roman" w:hAnsi="Times New Roman" w:eastAsia="Times New Roman" w:cs="Times New Roman"/>
          <w:b w:val="0"/>
          <w:bCs w:val="0"/>
          <w:sz w:val="24"/>
          <w:szCs w:val="24"/>
        </w:rPr>
        <w:t>.</w:t>
      </w:r>
    </w:p>
    <w:p w:rsidR="411C9FBA" w:rsidP="40E7DB1B" w:rsidRDefault="411C9FBA" w14:paraId="66E03B7F" w14:textId="20B2D90E">
      <w:pPr>
        <w:pStyle w:val="Normal"/>
        <w:spacing w:before="0" w:beforeAutospacing="off" w:line="360" w:lineRule="auto"/>
        <w:jc w:val="both"/>
        <w:rPr>
          <w:rFonts w:ascii="Times New Roman" w:hAnsi="Times New Roman" w:eastAsia="Times New Roman" w:cs="Times New Roman"/>
          <w:b w:val="0"/>
          <w:bCs w:val="0"/>
          <w:sz w:val="24"/>
          <w:szCs w:val="24"/>
        </w:rPr>
      </w:pPr>
      <w:r w:rsidRPr="77AB10F1" w:rsidR="411C9FBA">
        <w:rPr>
          <w:rFonts w:ascii="Times New Roman" w:hAnsi="Times New Roman" w:eastAsia="Times New Roman" w:cs="Times New Roman"/>
          <w:b w:val="0"/>
          <w:bCs w:val="0"/>
          <w:sz w:val="24"/>
          <w:szCs w:val="24"/>
        </w:rPr>
        <w:t>La natura transnazionale del crimine informatico rende spesso impossibile per un</w:t>
      </w:r>
      <w:r w:rsidRPr="77AB10F1" w:rsidR="41433257">
        <w:rPr>
          <w:rFonts w:ascii="Times New Roman" w:hAnsi="Times New Roman" w:eastAsia="Times New Roman" w:cs="Times New Roman"/>
          <w:b w:val="0"/>
          <w:bCs w:val="0"/>
          <w:sz w:val="24"/>
          <w:szCs w:val="24"/>
        </w:rPr>
        <w:t xml:space="preserve"> </w:t>
      </w:r>
      <w:r w:rsidRPr="77AB10F1" w:rsidR="411C9FBA">
        <w:rPr>
          <w:rFonts w:ascii="Times New Roman" w:hAnsi="Times New Roman" w:eastAsia="Times New Roman" w:cs="Times New Roman"/>
          <w:b w:val="0"/>
          <w:bCs w:val="0"/>
          <w:sz w:val="24"/>
          <w:szCs w:val="24"/>
        </w:rPr>
        <w:t>singolo Stato acquisire tutte le prove necessarie all’interno dei propri confini. La Con</w:t>
      </w:r>
      <w:r w:rsidRPr="77AB10F1" w:rsidR="411C9FBA">
        <w:rPr>
          <w:rFonts w:ascii="Times New Roman" w:hAnsi="Times New Roman" w:eastAsia="Times New Roman" w:cs="Times New Roman"/>
          <w:b w:val="0"/>
          <w:bCs w:val="0"/>
          <w:sz w:val="24"/>
          <w:szCs w:val="24"/>
        </w:rPr>
        <w:t>venzione</w:t>
      </w:r>
      <w:r w:rsidRPr="77AB10F1" w:rsidR="411C9FBA">
        <w:rPr>
          <w:rFonts w:ascii="Times New Roman" w:hAnsi="Times New Roman" w:eastAsia="Times New Roman" w:cs="Times New Roman"/>
          <w:b w:val="0"/>
          <w:bCs w:val="0"/>
          <w:sz w:val="24"/>
          <w:szCs w:val="24"/>
        </w:rPr>
        <w:t xml:space="preserve"> di Budapest affronta questo problema nel Capitolo III, dedicato alla </w:t>
      </w:r>
      <w:r w:rsidRPr="77AB10F1" w:rsidR="411C9FBA">
        <w:rPr>
          <w:rFonts w:ascii="Times New Roman" w:hAnsi="Times New Roman" w:eastAsia="Times New Roman" w:cs="Times New Roman"/>
          <w:b w:val="0"/>
          <w:bCs w:val="0"/>
          <w:sz w:val="24"/>
          <w:szCs w:val="24"/>
        </w:rPr>
        <w:t>coope</w:t>
      </w:r>
      <w:r w:rsidRPr="77AB10F1" w:rsidR="411C9FBA">
        <w:rPr>
          <w:rFonts w:ascii="Times New Roman" w:hAnsi="Times New Roman" w:eastAsia="Times New Roman" w:cs="Times New Roman"/>
          <w:b w:val="0"/>
          <w:bCs w:val="0"/>
          <w:sz w:val="24"/>
          <w:szCs w:val="24"/>
        </w:rPr>
        <w:t>razione internazionale. L’art. 23</w:t>
      </w:r>
      <w:r w:rsidRPr="40E7DB1B" w:rsidR="4BF38AAE">
        <w:rPr>
          <w:rFonts w:ascii="Times New Roman" w:hAnsi="Times New Roman" w:eastAsia="Times New Roman" w:cs="Times New Roman"/>
          <w:b w:val="0"/>
          <w:bCs w:val="0"/>
          <w:sz w:val="24"/>
          <w:szCs w:val="24"/>
        </w:rPr>
        <w:t xml:space="preserve"> fissa i principi fondamentali relativi alla cooperazione che possiamo così </w:t>
      </w:r>
      <w:r w:rsidRPr="40E7DB1B" w:rsidR="4BF38AAE">
        <w:rPr>
          <w:rFonts w:ascii="Times New Roman" w:hAnsi="Times New Roman" w:eastAsia="Times New Roman" w:cs="Times New Roman"/>
          <w:b w:val="0"/>
          <w:bCs w:val="0"/>
          <w:sz w:val="24"/>
          <w:szCs w:val="24"/>
        </w:rPr>
        <w:t>sintetizzare:</w:t>
      </w:r>
      <w:r w:rsidRPr="40E7DB1B" w:rsidR="4BF38AAE">
        <w:rPr>
          <w:rFonts w:ascii="Times New Roman" w:hAnsi="Times New Roman" w:eastAsia="Times New Roman" w:cs="Times New Roman"/>
          <w:b w:val="0"/>
          <w:bCs w:val="0"/>
          <w:sz w:val="24"/>
          <w:szCs w:val="24"/>
        </w:rPr>
        <w:t xml:space="preserve"> </w:t>
      </w:r>
    </w:p>
    <w:p w:rsidR="411C9FBA" w:rsidP="1E4A1C8B" w:rsidRDefault="411C9FBA" w14:paraId="432A082F" w14:textId="3866C5E4">
      <w:pPr>
        <w:pStyle w:val="Normal"/>
        <w:spacing w:before="0" w:beforeAutospacing="off" w:line="360" w:lineRule="auto"/>
        <w:jc w:val="both"/>
      </w:pPr>
      <w:r w:rsidRPr="40E7DB1B" w:rsidR="4BF38AAE">
        <w:rPr>
          <w:rFonts w:ascii="Times New Roman" w:hAnsi="Times New Roman" w:eastAsia="Times New Roman" w:cs="Times New Roman"/>
          <w:b w:val="0"/>
          <w:bCs w:val="0"/>
          <w:sz w:val="24"/>
          <w:szCs w:val="24"/>
        </w:rPr>
        <w:t xml:space="preserve">- </w:t>
      </w:r>
      <w:r w:rsidRPr="40E7DB1B" w:rsidR="78A2AE57">
        <w:rPr>
          <w:rFonts w:ascii="Times New Roman" w:hAnsi="Times New Roman" w:eastAsia="Times New Roman" w:cs="Times New Roman"/>
          <w:b w:val="0"/>
          <w:bCs w:val="0"/>
          <w:sz w:val="24"/>
          <w:szCs w:val="24"/>
        </w:rPr>
        <w:t>le parti devono cooperare reciprocamente nella misura più ampia possibile;</w:t>
      </w:r>
    </w:p>
    <w:p w:rsidR="411C9FBA" w:rsidP="1E4A1C8B" w:rsidRDefault="411C9FBA" w14:paraId="08005F46" w14:textId="49DBC6DB">
      <w:pPr>
        <w:pStyle w:val="Normal"/>
        <w:spacing w:before="0" w:beforeAutospacing="off" w:line="360" w:lineRule="auto"/>
        <w:jc w:val="both"/>
      </w:pPr>
      <w:r w:rsidRPr="40E7DB1B" w:rsidR="78A2AE57">
        <w:rPr>
          <w:rFonts w:ascii="Times New Roman" w:hAnsi="Times New Roman" w:eastAsia="Times New Roman" w:cs="Times New Roman"/>
          <w:b w:val="0"/>
          <w:bCs w:val="0"/>
          <w:sz w:val="24"/>
          <w:szCs w:val="24"/>
        </w:rPr>
        <w:t>- la cooperazione non riguarda solo i reati oggetto di armonizzazione, ma si</w:t>
      </w:r>
    </w:p>
    <w:p w:rsidR="411C9FBA" w:rsidP="1E4A1C8B" w:rsidRDefault="411C9FBA" w14:paraId="37759735" w14:textId="0EE981BB">
      <w:pPr>
        <w:pStyle w:val="Normal"/>
        <w:spacing w:before="0" w:beforeAutospacing="off" w:line="360" w:lineRule="auto"/>
        <w:jc w:val="both"/>
      </w:pPr>
      <w:r w:rsidRPr="40E7DB1B" w:rsidR="78A2AE57">
        <w:rPr>
          <w:rFonts w:ascii="Times New Roman" w:hAnsi="Times New Roman" w:eastAsia="Times New Roman" w:cs="Times New Roman"/>
          <w:b w:val="0"/>
          <w:bCs w:val="0"/>
          <w:sz w:val="24"/>
          <w:szCs w:val="24"/>
        </w:rPr>
        <w:t>estende a tutti i reati connessi a sistemi o dati informatici (</w:t>
      </w:r>
      <w:r w:rsidRPr="40E7DB1B" w:rsidR="78A2AE57">
        <w:rPr>
          <w:rFonts w:ascii="Times New Roman" w:hAnsi="Times New Roman" w:eastAsia="Times New Roman" w:cs="Times New Roman"/>
          <w:b w:val="0"/>
          <w:bCs w:val="0"/>
          <w:sz w:val="24"/>
          <w:szCs w:val="24"/>
        </w:rPr>
        <w:t>criminal</w:t>
      </w:r>
      <w:r w:rsidRPr="40E7DB1B" w:rsidR="78A2AE57">
        <w:rPr>
          <w:rFonts w:ascii="Times New Roman" w:hAnsi="Times New Roman" w:eastAsia="Times New Roman" w:cs="Times New Roman"/>
          <w:b w:val="0"/>
          <w:bCs w:val="0"/>
          <w:sz w:val="24"/>
          <w:szCs w:val="24"/>
        </w:rPr>
        <w:t xml:space="preserve"> </w:t>
      </w:r>
      <w:r w:rsidRPr="40E7DB1B" w:rsidR="78A2AE57">
        <w:rPr>
          <w:rFonts w:ascii="Times New Roman" w:hAnsi="Times New Roman" w:eastAsia="Times New Roman" w:cs="Times New Roman"/>
          <w:b w:val="0"/>
          <w:bCs w:val="0"/>
          <w:sz w:val="24"/>
          <w:szCs w:val="24"/>
        </w:rPr>
        <w:t>offences</w:t>
      </w:r>
      <w:r w:rsidRPr="40E7DB1B" w:rsidR="78A2AE57">
        <w:rPr>
          <w:rFonts w:ascii="Times New Roman" w:hAnsi="Times New Roman" w:eastAsia="Times New Roman" w:cs="Times New Roman"/>
          <w:b w:val="0"/>
          <w:bCs w:val="0"/>
          <w:sz w:val="24"/>
          <w:szCs w:val="24"/>
        </w:rPr>
        <w:t xml:space="preserve"> </w:t>
      </w:r>
      <w:r w:rsidRPr="40E7DB1B" w:rsidR="78A2AE57">
        <w:rPr>
          <w:rFonts w:ascii="Times New Roman" w:hAnsi="Times New Roman" w:eastAsia="Times New Roman" w:cs="Times New Roman"/>
          <w:b w:val="0"/>
          <w:bCs w:val="0"/>
          <w:sz w:val="24"/>
          <w:szCs w:val="24"/>
        </w:rPr>
        <w:t>related</w:t>
      </w:r>
      <w:r w:rsidRPr="40E7DB1B" w:rsidR="67D1F2B3">
        <w:rPr>
          <w:rFonts w:ascii="Times New Roman" w:hAnsi="Times New Roman" w:eastAsia="Times New Roman" w:cs="Times New Roman"/>
          <w:b w:val="0"/>
          <w:bCs w:val="0"/>
          <w:sz w:val="24"/>
          <w:szCs w:val="24"/>
        </w:rPr>
        <w:t xml:space="preserve"> </w:t>
      </w:r>
      <w:r w:rsidRPr="40E7DB1B" w:rsidR="78A2AE57">
        <w:rPr>
          <w:rFonts w:ascii="Times New Roman" w:hAnsi="Times New Roman" w:eastAsia="Times New Roman" w:cs="Times New Roman"/>
          <w:b w:val="0"/>
          <w:bCs w:val="0"/>
          <w:sz w:val="24"/>
          <w:szCs w:val="24"/>
        </w:rPr>
        <w:t>to computer systems and data), così come alla raccolta delle prove in forma</w:t>
      </w:r>
      <w:r w:rsidRPr="40E7DB1B" w:rsidR="1FC16A8D">
        <w:rPr>
          <w:rFonts w:ascii="Times New Roman" w:hAnsi="Times New Roman" w:eastAsia="Times New Roman" w:cs="Times New Roman"/>
          <w:b w:val="0"/>
          <w:bCs w:val="0"/>
          <w:sz w:val="24"/>
          <w:szCs w:val="24"/>
        </w:rPr>
        <w:t xml:space="preserve"> </w:t>
      </w:r>
      <w:r w:rsidRPr="40E7DB1B" w:rsidR="78A2AE57">
        <w:rPr>
          <w:rFonts w:ascii="Times New Roman" w:hAnsi="Times New Roman" w:eastAsia="Times New Roman" w:cs="Times New Roman"/>
          <w:b w:val="0"/>
          <w:bCs w:val="0"/>
          <w:sz w:val="24"/>
          <w:szCs w:val="24"/>
        </w:rPr>
        <w:t>elettronica di qualsiasi reato;</w:t>
      </w:r>
    </w:p>
    <w:p w:rsidR="411C9FBA" w:rsidP="1E4A1C8B" w:rsidRDefault="411C9FBA" w14:paraId="019F26C1" w14:textId="73AC7FCE">
      <w:pPr>
        <w:pStyle w:val="Normal"/>
        <w:spacing w:before="0" w:beforeAutospacing="off" w:line="360" w:lineRule="auto"/>
        <w:jc w:val="both"/>
      </w:pPr>
      <w:r w:rsidRPr="40E7DB1B" w:rsidR="78A2AE57">
        <w:rPr>
          <w:rFonts w:ascii="Times New Roman" w:hAnsi="Times New Roman" w:eastAsia="Times New Roman" w:cs="Times New Roman"/>
          <w:b w:val="0"/>
          <w:bCs w:val="0"/>
          <w:sz w:val="24"/>
          <w:szCs w:val="24"/>
        </w:rPr>
        <w:t>- la cooperazione deve svolgersi in conformità alle previsioni della Convenzione,</w:t>
      </w:r>
      <w:r w:rsidRPr="40E7DB1B" w:rsidR="03362B69">
        <w:rPr>
          <w:rFonts w:ascii="Times New Roman" w:hAnsi="Times New Roman" w:eastAsia="Times New Roman" w:cs="Times New Roman"/>
          <w:b w:val="0"/>
          <w:bCs w:val="0"/>
          <w:sz w:val="24"/>
          <w:szCs w:val="24"/>
        </w:rPr>
        <w:t xml:space="preserve"> </w:t>
      </w:r>
      <w:r w:rsidRPr="40E7DB1B" w:rsidR="78A2AE57">
        <w:rPr>
          <w:rFonts w:ascii="Times New Roman" w:hAnsi="Times New Roman" w:eastAsia="Times New Roman" w:cs="Times New Roman"/>
          <w:b w:val="0"/>
          <w:bCs w:val="0"/>
          <w:sz w:val="24"/>
          <w:szCs w:val="24"/>
        </w:rPr>
        <w:t xml:space="preserve">facendo applicazione dei pertinenti strumenti di cooperazione internazionale </w:t>
      </w:r>
      <w:r w:rsidRPr="40E7DB1B" w:rsidR="2F023FDC">
        <w:rPr>
          <w:rFonts w:ascii="Times New Roman" w:hAnsi="Times New Roman" w:eastAsia="Times New Roman" w:cs="Times New Roman"/>
          <w:b w:val="0"/>
          <w:bCs w:val="0"/>
          <w:sz w:val="24"/>
          <w:szCs w:val="24"/>
        </w:rPr>
        <w:t>in materia</w:t>
      </w:r>
      <w:r w:rsidRPr="40E7DB1B" w:rsidR="78A2AE57">
        <w:rPr>
          <w:rFonts w:ascii="Times New Roman" w:hAnsi="Times New Roman" w:eastAsia="Times New Roman" w:cs="Times New Roman"/>
          <w:b w:val="0"/>
          <w:bCs w:val="0"/>
          <w:sz w:val="24"/>
          <w:szCs w:val="24"/>
        </w:rPr>
        <w:t xml:space="preserve"> penale, degli accordi stretti sulla base delle legislazioni uniformi e</w:t>
      </w:r>
      <w:r w:rsidRPr="40E7DB1B" w:rsidR="21BFF1D8">
        <w:rPr>
          <w:rFonts w:ascii="Times New Roman" w:hAnsi="Times New Roman" w:eastAsia="Times New Roman" w:cs="Times New Roman"/>
          <w:b w:val="0"/>
          <w:bCs w:val="0"/>
          <w:sz w:val="24"/>
          <w:szCs w:val="24"/>
        </w:rPr>
        <w:t xml:space="preserve"> </w:t>
      </w:r>
      <w:r w:rsidRPr="40E7DB1B" w:rsidR="78A2AE57">
        <w:rPr>
          <w:rFonts w:ascii="Times New Roman" w:hAnsi="Times New Roman" w:eastAsia="Times New Roman" w:cs="Times New Roman"/>
          <w:b w:val="0"/>
          <w:bCs w:val="0"/>
          <w:sz w:val="24"/>
          <w:szCs w:val="24"/>
        </w:rPr>
        <w:t>reciproche e del diritto nazionale degli Stati parte</w:t>
      </w:r>
    </w:p>
    <w:p w:rsidR="411C9FBA" w:rsidP="1E4A1C8B" w:rsidRDefault="411C9FBA" w14:paraId="20C1051B" w14:textId="09650AA8">
      <w:pPr>
        <w:pStyle w:val="Normal"/>
        <w:spacing w:before="0" w:beforeAutospacing="off" w:line="360" w:lineRule="auto"/>
        <w:jc w:val="both"/>
        <w:rPr>
          <w:rFonts w:ascii="Times New Roman" w:hAnsi="Times New Roman" w:eastAsia="Times New Roman" w:cs="Times New Roman"/>
          <w:b w:val="0"/>
          <w:bCs w:val="0"/>
          <w:sz w:val="24"/>
          <w:szCs w:val="24"/>
        </w:rPr>
      </w:pPr>
      <w:r w:rsidRPr="40E7DB1B" w:rsidR="411C9FBA">
        <w:rPr>
          <w:rFonts w:ascii="Times New Roman" w:hAnsi="Times New Roman" w:eastAsia="Times New Roman" w:cs="Times New Roman"/>
          <w:b w:val="0"/>
          <w:bCs w:val="0"/>
          <w:sz w:val="24"/>
          <w:szCs w:val="24"/>
        </w:rPr>
        <w:t xml:space="preserve"> Tuttavia, l’applicazione di questi principi si</w:t>
      </w:r>
      <w:r w:rsidRPr="40E7DB1B" w:rsidR="5F9A1911">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scontra con il concetto di sovranità digitale</w:t>
      </w:r>
      <w:r w:rsidRPr="40E7DB1B">
        <w:rPr>
          <w:rStyle w:val="FootnoteReference"/>
          <w:rFonts w:ascii="Times New Roman" w:hAnsi="Times New Roman" w:eastAsia="Times New Roman" w:cs="Times New Roman"/>
          <w:b w:val="0"/>
          <w:bCs w:val="0"/>
          <w:sz w:val="24"/>
          <w:szCs w:val="24"/>
        </w:rPr>
        <w:footnoteReference w:id="8505"/>
      </w:r>
      <w:r w:rsidRPr="40E7DB1B" w:rsidR="411C9FBA">
        <w:rPr>
          <w:rFonts w:ascii="Times New Roman" w:hAnsi="Times New Roman" w:eastAsia="Times New Roman" w:cs="Times New Roman"/>
          <w:b w:val="0"/>
          <w:bCs w:val="0"/>
          <w:sz w:val="24"/>
          <w:szCs w:val="24"/>
        </w:rPr>
        <w:t xml:space="preserve">. </w:t>
      </w:r>
      <w:r w:rsidRPr="40E7DB1B" w:rsidR="06B4FEEC">
        <w:rPr>
          <w:rFonts w:ascii="Times New Roman" w:hAnsi="Times New Roman" w:eastAsia="Times New Roman" w:cs="Times New Roman"/>
          <w:b w:val="0"/>
          <w:bCs w:val="0"/>
          <w:sz w:val="24"/>
          <w:szCs w:val="24"/>
        </w:rPr>
        <w:t>Quest’ultima viene sdoganata da uno degli articoli più audaci dell</w:t>
      </w:r>
      <w:r w:rsidRPr="40E7DB1B" w:rsidR="44DE35A4">
        <w:rPr>
          <w:rFonts w:ascii="Times New Roman" w:hAnsi="Times New Roman" w:eastAsia="Times New Roman" w:cs="Times New Roman"/>
          <w:b w:val="0"/>
          <w:bCs w:val="0"/>
          <w:sz w:val="24"/>
          <w:szCs w:val="24"/>
        </w:rPr>
        <w:t>’impianto normativo internazionale in campo di cybercrime</w:t>
      </w:r>
      <w:r w:rsidRPr="40E7DB1B" w:rsidR="06B4FEEC">
        <w:rPr>
          <w:rFonts w:ascii="Times New Roman" w:hAnsi="Times New Roman" w:eastAsia="Times New Roman" w:cs="Times New Roman"/>
          <w:b w:val="0"/>
          <w:bCs w:val="0"/>
          <w:sz w:val="24"/>
          <w:szCs w:val="24"/>
        </w:rPr>
        <w:t xml:space="preserve"> ovvero l</w:t>
      </w:r>
      <w:r w:rsidRPr="40E7DB1B" w:rsidR="411C9FBA">
        <w:rPr>
          <w:rFonts w:ascii="Times New Roman" w:hAnsi="Times New Roman" w:eastAsia="Times New Roman" w:cs="Times New Roman"/>
          <w:b w:val="0"/>
          <w:bCs w:val="0"/>
          <w:sz w:val="24"/>
          <w:szCs w:val="24"/>
        </w:rPr>
        <w:t>’art.</w:t>
      </w:r>
      <w:r w:rsidRPr="40E7DB1B" w:rsidR="4BFDFBE3">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32</w:t>
      </w:r>
      <w:r w:rsidRPr="40E7DB1B" w:rsidR="770B959D">
        <w:rPr>
          <w:rFonts w:ascii="Times New Roman" w:hAnsi="Times New Roman" w:eastAsia="Times New Roman" w:cs="Times New Roman"/>
          <w:b w:val="0"/>
          <w:bCs w:val="0"/>
          <w:sz w:val="24"/>
          <w:szCs w:val="24"/>
        </w:rPr>
        <w:t xml:space="preserve"> </w:t>
      </w:r>
      <w:r w:rsidRPr="40E7DB1B" w:rsidR="770B959D">
        <w:rPr>
          <w:rFonts w:ascii="Times New Roman" w:hAnsi="Times New Roman" w:eastAsia="Times New Roman" w:cs="Times New Roman"/>
          <w:b w:val="0"/>
          <w:bCs w:val="0"/>
          <w:sz w:val="24"/>
          <w:szCs w:val="24"/>
        </w:rPr>
        <w:t xml:space="preserve">che </w:t>
      </w:r>
      <w:r w:rsidRPr="40E7DB1B" w:rsidR="411C9FBA">
        <w:rPr>
          <w:rFonts w:ascii="Times New Roman" w:hAnsi="Times New Roman" w:eastAsia="Times New Roman" w:cs="Times New Roman"/>
          <w:b w:val="0"/>
          <w:bCs w:val="0"/>
          <w:sz w:val="24"/>
          <w:szCs w:val="24"/>
        </w:rPr>
        <w:t xml:space="preserve"> introduce</w:t>
      </w:r>
      <w:r w:rsidRPr="40E7DB1B" w:rsidR="411C9FBA">
        <w:rPr>
          <w:rFonts w:ascii="Times New Roman" w:hAnsi="Times New Roman" w:eastAsia="Times New Roman" w:cs="Times New Roman"/>
          <w:b w:val="0"/>
          <w:bCs w:val="0"/>
          <w:sz w:val="24"/>
          <w:szCs w:val="24"/>
        </w:rPr>
        <w:t xml:space="preserve"> una deroga ai </w:t>
      </w:r>
      <w:r w:rsidRPr="40E7DB1B" w:rsidR="411C9FBA">
        <w:rPr>
          <w:rFonts w:ascii="Times New Roman" w:hAnsi="Times New Roman" w:eastAsia="Times New Roman" w:cs="Times New Roman"/>
          <w:b w:val="0"/>
          <w:bCs w:val="0"/>
          <w:sz w:val="24"/>
          <w:szCs w:val="24"/>
        </w:rPr>
        <w:t>tradizio</w:t>
      </w:r>
      <w:r w:rsidRPr="40E7DB1B" w:rsidR="411C9FBA">
        <w:rPr>
          <w:rFonts w:ascii="Times New Roman" w:hAnsi="Times New Roman" w:eastAsia="Times New Roman" w:cs="Times New Roman"/>
          <w:b w:val="0"/>
          <w:bCs w:val="0"/>
          <w:sz w:val="24"/>
          <w:szCs w:val="24"/>
        </w:rPr>
        <w:t>nali</w:t>
      </w:r>
      <w:r w:rsidRPr="40E7DB1B" w:rsidR="411C9FBA">
        <w:rPr>
          <w:rFonts w:ascii="Times New Roman" w:hAnsi="Times New Roman" w:eastAsia="Times New Roman" w:cs="Times New Roman"/>
          <w:b w:val="0"/>
          <w:bCs w:val="0"/>
          <w:sz w:val="24"/>
          <w:szCs w:val="24"/>
        </w:rPr>
        <w:t xml:space="preserve"> meccanismi di rogatoria, consentendo l’accesso transfrontaliero ai dati memorizzati</w:t>
      </w:r>
      <w:r w:rsidRPr="40E7DB1B" w:rsidR="52310199">
        <w:rPr>
          <w:rFonts w:ascii="Times New Roman" w:hAnsi="Times New Roman" w:eastAsia="Times New Roman" w:cs="Times New Roman"/>
          <w:b w:val="0"/>
          <w:bCs w:val="0"/>
          <w:sz w:val="24"/>
          <w:szCs w:val="24"/>
        </w:rPr>
        <w:t>, in supplenza delle obsolete</w:t>
      </w:r>
      <w:r w:rsidRPr="40E7DB1B" w:rsidR="7DA162E7">
        <w:rPr>
          <w:rFonts w:ascii="Times New Roman" w:hAnsi="Times New Roman" w:eastAsia="Times New Roman" w:cs="Times New Roman"/>
          <w:b w:val="0"/>
          <w:bCs w:val="0"/>
          <w:sz w:val="24"/>
          <w:szCs w:val="24"/>
        </w:rPr>
        <w:t xml:space="preserve"> procedure di assistenza giudiziaria reciproca</w:t>
      </w:r>
      <w:r w:rsidRPr="40E7DB1B" w:rsidR="2E62FFDF">
        <w:rPr>
          <w:rFonts w:ascii="Times New Roman" w:hAnsi="Times New Roman" w:eastAsia="Times New Roman" w:cs="Times New Roman"/>
          <w:b w:val="0"/>
          <w:bCs w:val="0"/>
          <w:sz w:val="24"/>
          <w:szCs w:val="24"/>
        </w:rPr>
        <w:t xml:space="preserve"> (MLAT), </w:t>
      </w:r>
      <w:r w:rsidRPr="40E7DB1B" w:rsidR="411C9FBA">
        <w:rPr>
          <w:rFonts w:ascii="Times New Roman" w:hAnsi="Times New Roman" w:eastAsia="Times New Roman" w:cs="Times New Roman"/>
          <w:b w:val="0"/>
          <w:bCs w:val="0"/>
          <w:sz w:val="24"/>
          <w:szCs w:val="24"/>
        </w:rPr>
        <w:t>quando questi sono accessibili al pubblico (</w:t>
      </w:r>
      <w:r w:rsidRPr="40E7DB1B" w:rsidR="411C9FBA">
        <w:rPr>
          <w:rFonts w:ascii="Times New Roman" w:hAnsi="Times New Roman" w:eastAsia="Times New Roman" w:cs="Times New Roman"/>
          <w:b w:val="0"/>
          <w:bCs w:val="0"/>
          <w:i w:val="1"/>
          <w:iCs w:val="1"/>
          <w:sz w:val="24"/>
          <w:szCs w:val="24"/>
        </w:rPr>
        <w:t>open source</w:t>
      </w:r>
      <w:r w:rsidRPr="40E7DB1B" w:rsidR="411C9FBA">
        <w:rPr>
          <w:rFonts w:ascii="Times New Roman" w:hAnsi="Times New Roman" w:eastAsia="Times New Roman" w:cs="Times New Roman"/>
          <w:b w:val="0"/>
          <w:bCs w:val="0"/>
          <w:sz w:val="24"/>
          <w:szCs w:val="24"/>
        </w:rPr>
        <w:t>) o quando si ottiene il consenso</w:t>
      </w:r>
      <w:r w:rsidRPr="40E7DB1B" w:rsidR="0B7A1097">
        <w:rPr>
          <w:rFonts w:ascii="Times New Roman" w:hAnsi="Times New Roman" w:eastAsia="Times New Roman" w:cs="Times New Roman"/>
          <w:b w:val="0"/>
          <w:bCs w:val="0"/>
          <w:sz w:val="24"/>
          <w:szCs w:val="24"/>
        </w:rPr>
        <w:t xml:space="preserve"> </w:t>
      </w:r>
      <w:r w:rsidRPr="40E7DB1B" w:rsidR="411C9FBA">
        <w:rPr>
          <w:rFonts w:ascii="Times New Roman" w:hAnsi="Times New Roman" w:eastAsia="Times New Roman" w:cs="Times New Roman"/>
          <w:b w:val="0"/>
          <w:bCs w:val="0"/>
          <w:sz w:val="24"/>
          <w:szCs w:val="24"/>
        </w:rPr>
        <w:t>volontario della persona che ha l’autorità legale di divulgare i dati.</w:t>
      </w:r>
      <w:r w:rsidRPr="40E7DB1B" w:rsidR="19F6A05F">
        <w:rPr>
          <w:rFonts w:ascii="Times New Roman" w:hAnsi="Times New Roman" w:eastAsia="Times New Roman" w:cs="Times New Roman"/>
          <w:b w:val="0"/>
          <w:bCs w:val="0"/>
          <w:sz w:val="24"/>
          <w:szCs w:val="24"/>
        </w:rPr>
        <w:t xml:space="preserve"> </w:t>
      </w:r>
      <w:r w:rsidRPr="40E7DB1B" w:rsidR="5B518355">
        <w:rPr>
          <w:rFonts w:ascii="Times New Roman" w:hAnsi="Times New Roman" w:eastAsia="Times New Roman" w:cs="Times New Roman"/>
          <w:b w:val="0"/>
          <w:bCs w:val="0"/>
          <w:sz w:val="24"/>
          <w:szCs w:val="24"/>
        </w:rPr>
        <w:t xml:space="preserve"> </w:t>
      </w:r>
    </w:p>
    <w:p w:rsidR="411C9FBA" w:rsidP="1E4A1C8B" w:rsidRDefault="411C9FBA" w14:paraId="1FC15427" w14:textId="3D78EF9C">
      <w:pPr>
        <w:pStyle w:val="Normal"/>
        <w:spacing w:before="0" w:beforeAutospacing="off" w:line="360" w:lineRule="auto"/>
        <w:jc w:val="both"/>
      </w:pPr>
      <w:r w:rsidRPr="1E4A1C8B" w:rsidR="411C9FBA">
        <w:rPr>
          <w:rFonts w:ascii="Times New Roman" w:hAnsi="Times New Roman" w:eastAsia="Times New Roman" w:cs="Times New Roman"/>
          <w:b w:val="0"/>
          <w:bCs w:val="0"/>
          <w:sz w:val="24"/>
          <w:szCs w:val="24"/>
        </w:rPr>
        <w:t xml:space="preserve">Questa disposizione, pur innovativa, ha sollevato dibattiti circa la tutela della </w:t>
      </w:r>
      <w:r w:rsidRPr="1E4A1C8B" w:rsidR="411C9FBA">
        <w:rPr>
          <w:rFonts w:ascii="Times New Roman" w:hAnsi="Times New Roman" w:eastAsia="Times New Roman" w:cs="Times New Roman"/>
          <w:b w:val="0"/>
          <w:bCs w:val="0"/>
          <w:i w:val="1"/>
          <w:iCs w:val="1"/>
          <w:sz w:val="24"/>
          <w:szCs w:val="24"/>
        </w:rPr>
        <w:t>pri</w:t>
      </w:r>
      <w:r w:rsidRPr="1E4A1C8B" w:rsidR="411C9FBA">
        <w:rPr>
          <w:rFonts w:ascii="Times New Roman" w:hAnsi="Times New Roman" w:eastAsia="Times New Roman" w:cs="Times New Roman"/>
          <w:b w:val="0"/>
          <w:bCs w:val="0"/>
          <w:i w:val="1"/>
          <w:iCs w:val="1"/>
          <w:sz w:val="24"/>
          <w:szCs w:val="24"/>
        </w:rPr>
        <w:t>vacy</w:t>
      </w:r>
      <w:r w:rsidRPr="1E4A1C8B" w:rsidR="411C9FBA">
        <w:rPr>
          <w:rFonts w:ascii="Times New Roman" w:hAnsi="Times New Roman" w:eastAsia="Times New Roman" w:cs="Times New Roman"/>
          <w:b w:val="0"/>
          <w:bCs w:val="0"/>
          <w:sz w:val="24"/>
          <w:szCs w:val="24"/>
        </w:rPr>
        <w:t xml:space="preserve"> e i diritti degli indagati, </w:t>
      </w:r>
      <w:r w:rsidRPr="1E4A1C8B" w:rsidR="1287F1EE">
        <w:rPr>
          <w:rFonts w:ascii="Times New Roman" w:hAnsi="Times New Roman" w:eastAsia="Times New Roman" w:cs="Times New Roman"/>
          <w:b w:val="0"/>
          <w:bCs w:val="0"/>
          <w:sz w:val="24"/>
          <w:szCs w:val="24"/>
        </w:rPr>
        <w:t xml:space="preserve">in particolare </w:t>
      </w:r>
      <w:r w:rsidRPr="1E4A1C8B" w:rsidR="1287F1EE">
        <w:rPr>
          <w:rFonts w:ascii="Times New Roman" w:hAnsi="Times New Roman" w:eastAsia="Times New Roman" w:cs="Times New Roman"/>
          <w:b w:val="0"/>
          <w:bCs w:val="0"/>
          <w:sz w:val="24"/>
          <w:szCs w:val="24"/>
        </w:rPr>
        <w:t>perchè</w:t>
      </w:r>
      <w:r w:rsidRPr="1E4A1C8B" w:rsidR="411C9FBA">
        <w:rPr>
          <w:rFonts w:ascii="Times New Roman" w:hAnsi="Times New Roman" w:eastAsia="Times New Roman" w:cs="Times New Roman"/>
          <w:b w:val="0"/>
          <w:bCs w:val="0"/>
          <w:sz w:val="24"/>
          <w:szCs w:val="24"/>
        </w:rPr>
        <w:t xml:space="preserve"> </w:t>
      </w:r>
      <w:r w:rsidRPr="1E4A1C8B" w:rsidR="113B1772">
        <w:rPr>
          <w:rFonts w:ascii="Times New Roman" w:hAnsi="Times New Roman" w:eastAsia="Times New Roman" w:cs="Times New Roman"/>
          <w:b w:val="0"/>
          <w:bCs w:val="0"/>
          <w:sz w:val="24"/>
          <w:szCs w:val="24"/>
        </w:rPr>
        <w:t xml:space="preserve">il concetto di "consenso volontario" appare spesso nebuloso: ci si chiede se il fornitore di servizi (ISP) possa validamente sostituirsi all'interessato o se la pressione esercitata dalle autorità inquirenti possa viziare la spontaneità dell'adesione </w:t>
      </w:r>
      <w:r w:rsidRPr="1E4A1C8B" w:rsidR="411C9FBA">
        <w:rPr>
          <w:rFonts w:ascii="Times New Roman" w:hAnsi="Times New Roman" w:eastAsia="Times New Roman" w:cs="Times New Roman"/>
          <w:b w:val="0"/>
          <w:bCs w:val="0"/>
          <w:sz w:val="24"/>
          <w:szCs w:val="24"/>
        </w:rPr>
        <w:t>i</w:t>
      </w:r>
      <w:r w:rsidRPr="1E4A1C8B" w:rsidR="7EF8C4F2">
        <w:rPr>
          <w:rFonts w:ascii="Times New Roman" w:hAnsi="Times New Roman" w:eastAsia="Times New Roman" w:cs="Times New Roman"/>
          <w:b w:val="0"/>
          <w:bCs w:val="0"/>
          <w:sz w:val="24"/>
          <w:szCs w:val="24"/>
        </w:rPr>
        <w:t>n un contesto in cui il</w:t>
      </w:r>
      <w:r w:rsidRPr="1E4A1C8B" w:rsidR="411C9FBA">
        <w:rPr>
          <w:rFonts w:ascii="Times New Roman" w:hAnsi="Times New Roman" w:eastAsia="Times New Roman" w:cs="Times New Roman"/>
          <w:b w:val="0"/>
          <w:bCs w:val="0"/>
          <w:sz w:val="24"/>
          <w:szCs w:val="24"/>
        </w:rPr>
        <w:t xml:space="preserve"> consenso viene fornito da </w:t>
      </w:r>
      <w:r w:rsidRPr="1E4A1C8B" w:rsidR="411C9FBA">
        <w:rPr>
          <w:rFonts w:ascii="Times New Roman" w:hAnsi="Times New Roman" w:eastAsia="Times New Roman" w:cs="Times New Roman"/>
          <w:b w:val="0"/>
          <w:bCs w:val="0"/>
          <w:i w:val="1"/>
          <w:iCs w:val="1"/>
          <w:sz w:val="24"/>
          <w:szCs w:val="24"/>
        </w:rPr>
        <w:t>service</w:t>
      </w:r>
      <w:r w:rsidRPr="1E4A1C8B" w:rsidR="2016A87F">
        <w:rPr>
          <w:rFonts w:ascii="Times New Roman" w:hAnsi="Times New Roman" w:eastAsia="Times New Roman" w:cs="Times New Roman"/>
          <w:b w:val="0"/>
          <w:bCs w:val="0"/>
          <w:i w:val="1"/>
          <w:iCs w:val="1"/>
          <w:sz w:val="24"/>
          <w:szCs w:val="24"/>
        </w:rPr>
        <w:t xml:space="preserve"> </w:t>
      </w:r>
      <w:r w:rsidRPr="1E4A1C8B" w:rsidR="411C9FBA">
        <w:rPr>
          <w:rFonts w:ascii="Times New Roman" w:hAnsi="Times New Roman" w:eastAsia="Times New Roman" w:cs="Times New Roman"/>
          <w:b w:val="0"/>
          <w:bCs w:val="0"/>
          <w:i w:val="1"/>
          <w:iCs w:val="1"/>
          <w:sz w:val="24"/>
          <w:szCs w:val="24"/>
        </w:rPr>
        <w:t>providers</w:t>
      </w:r>
      <w:r w:rsidRPr="1E4A1C8B" w:rsidR="411C9FBA">
        <w:rPr>
          <w:rFonts w:ascii="Times New Roman" w:hAnsi="Times New Roman" w:eastAsia="Times New Roman" w:cs="Times New Roman"/>
          <w:b w:val="0"/>
          <w:bCs w:val="0"/>
          <w:sz w:val="24"/>
          <w:szCs w:val="24"/>
        </w:rPr>
        <w:t xml:space="preserve"> esteri che potrebbero non essere vincolati dalle stesse garanzie costituzionali</w:t>
      </w:r>
      <w:r w:rsidRPr="1E4A1C8B" w:rsidR="31A20554">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 xml:space="preserve">dello Stato inquirente. </w:t>
      </w:r>
    </w:p>
    <w:p w:rsidR="411C9FBA" w:rsidP="1E4A1C8B" w:rsidRDefault="411C9FBA" w14:paraId="01D52C14" w14:textId="13F78B0B">
      <w:pPr>
        <w:pStyle w:val="Normal"/>
        <w:spacing w:before="0" w:beforeAutospacing="off" w:line="360" w:lineRule="auto"/>
        <w:jc w:val="both"/>
      </w:pPr>
      <w:r w:rsidRPr="77AB10F1" w:rsidR="411C9FBA">
        <w:rPr>
          <w:rFonts w:ascii="Times New Roman" w:hAnsi="Times New Roman" w:eastAsia="Times New Roman" w:cs="Times New Roman"/>
          <w:b w:val="0"/>
          <w:bCs w:val="0"/>
          <w:sz w:val="24"/>
          <w:szCs w:val="24"/>
        </w:rPr>
        <w:t>Inoltre, la recente adozione del Secondo Protocollo Addiziona</w:t>
      </w:r>
      <w:r w:rsidRPr="77AB10F1" w:rsidR="5B6F21C1">
        <w:rPr>
          <w:rFonts w:ascii="Times New Roman" w:hAnsi="Times New Roman" w:eastAsia="Times New Roman" w:cs="Times New Roman"/>
          <w:b w:val="0"/>
          <w:bCs w:val="0"/>
          <w:sz w:val="24"/>
          <w:szCs w:val="24"/>
        </w:rPr>
        <w:t>l</w:t>
      </w:r>
      <w:r w:rsidRPr="77AB10F1" w:rsidR="411C9FBA">
        <w:rPr>
          <w:rFonts w:ascii="Times New Roman" w:hAnsi="Times New Roman" w:eastAsia="Times New Roman" w:cs="Times New Roman"/>
          <w:b w:val="0"/>
          <w:bCs w:val="0"/>
          <w:sz w:val="24"/>
          <w:szCs w:val="24"/>
        </w:rPr>
        <w:t>e mira a rafforzare ulteriormente questa cooperazione, permettendo richieste dirette,</w:t>
      </w:r>
      <w:r w:rsidRPr="77AB10F1" w:rsidR="1D904CB6">
        <w:rPr>
          <w:rFonts w:ascii="Times New Roman" w:hAnsi="Times New Roman" w:eastAsia="Times New Roman" w:cs="Times New Roman"/>
          <w:b w:val="0"/>
          <w:bCs w:val="0"/>
          <w:sz w:val="24"/>
          <w:szCs w:val="24"/>
        </w:rPr>
        <w:t xml:space="preserve"> </w:t>
      </w:r>
      <w:r w:rsidRPr="77AB10F1" w:rsidR="411C9FBA">
        <w:rPr>
          <w:rFonts w:ascii="Times New Roman" w:hAnsi="Times New Roman" w:eastAsia="Times New Roman" w:cs="Times New Roman"/>
          <w:b w:val="0"/>
          <w:bCs w:val="0"/>
          <w:sz w:val="24"/>
          <w:szCs w:val="24"/>
        </w:rPr>
        <w:t>bypassando i canali diplomatici, ma accentuando la necessità di meccanismi di verifica</w:t>
      </w:r>
      <w:r w:rsidRPr="77AB10F1" w:rsidR="3F76B506">
        <w:rPr>
          <w:rFonts w:ascii="Times New Roman" w:hAnsi="Times New Roman" w:eastAsia="Times New Roman" w:cs="Times New Roman"/>
          <w:b w:val="0"/>
          <w:bCs w:val="0"/>
          <w:sz w:val="24"/>
          <w:szCs w:val="24"/>
        </w:rPr>
        <w:t xml:space="preserve"> </w:t>
      </w:r>
      <w:r w:rsidRPr="77AB10F1" w:rsidR="411C9FBA">
        <w:rPr>
          <w:rFonts w:ascii="Times New Roman" w:hAnsi="Times New Roman" w:eastAsia="Times New Roman" w:cs="Times New Roman"/>
          <w:b w:val="0"/>
          <w:bCs w:val="0"/>
          <w:sz w:val="24"/>
          <w:szCs w:val="24"/>
        </w:rPr>
        <w:t>dell’autenticità dei dati così acquisiti</w:t>
      </w:r>
      <w:r w:rsidRPr="77AB10F1">
        <w:rPr>
          <w:rStyle w:val="FootnoteReference"/>
          <w:rFonts w:ascii="Times New Roman" w:hAnsi="Times New Roman" w:eastAsia="Times New Roman" w:cs="Times New Roman"/>
          <w:b w:val="0"/>
          <w:bCs w:val="0"/>
          <w:sz w:val="24"/>
          <w:szCs w:val="24"/>
        </w:rPr>
        <w:footnoteReference w:id="32260"/>
      </w:r>
      <w:r w:rsidRPr="77AB10F1" w:rsidR="411C9FBA">
        <w:rPr>
          <w:rFonts w:ascii="Times New Roman" w:hAnsi="Times New Roman" w:eastAsia="Times New Roman" w:cs="Times New Roman"/>
          <w:b w:val="0"/>
          <w:bCs w:val="0"/>
          <w:sz w:val="24"/>
          <w:szCs w:val="24"/>
        </w:rPr>
        <w:t>.</w:t>
      </w:r>
      <w:r w:rsidRPr="77AB10F1" w:rsidR="777F4D2E">
        <w:rPr>
          <w:rFonts w:ascii="Times New Roman" w:hAnsi="Times New Roman" w:eastAsia="Times New Roman" w:cs="Times New Roman"/>
          <w:b w:val="0"/>
          <w:bCs w:val="0"/>
          <w:sz w:val="24"/>
          <w:szCs w:val="24"/>
        </w:rPr>
        <w:t xml:space="preserve"> </w:t>
      </w:r>
      <w:r w:rsidRPr="40E7DB1B" w:rsidR="557CCD62">
        <w:rPr>
          <w:rFonts w:ascii="Times New Roman" w:hAnsi="Times New Roman" w:eastAsia="Times New Roman" w:cs="Times New Roman"/>
          <w:noProof w:val="0"/>
          <w:sz w:val="24"/>
          <w:szCs w:val="24"/>
          <w:lang w:val="it-IT"/>
        </w:rPr>
        <w:t>Inoltre, il Protocollo introduce una base giuridica per modalità innovative di cooperazione rapida in situazioni di urgenza, includendo, tra l’altro, il ricorso a squadre investigative comuni e lo svolgimento di attività investigative congiunte. Sul piano dell’assistenza giudiziaria, vengono altresì previste soluzioni operative come l’impiego della videoconferenza per l’assunzione di testimoni o esperti, nonché ulteriori forme di collaborazione tra autorità nazionali.</w:t>
      </w:r>
      <w:r w:rsidRPr="40E7DB1B" w:rsidR="557CCD62">
        <w:rPr>
          <w:rFonts w:ascii="Times New Roman" w:hAnsi="Times New Roman" w:eastAsia="Times New Roman" w:cs="Times New Roman"/>
          <w:b w:val="0"/>
          <w:bCs w:val="0"/>
          <w:sz w:val="24"/>
          <w:szCs w:val="24"/>
        </w:rPr>
        <w:t xml:space="preserve"> </w:t>
      </w:r>
    </w:p>
    <w:p w:rsidR="411C9FBA" w:rsidP="1E4A1C8B" w:rsidRDefault="411C9FBA" w14:paraId="28F65C61" w14:textId="759139F0">
      <w:pPr>
        <w:pStyle w:val="Normal"/>
        <w:spacing w:before="0" w:beforeAutospacing="off" w:line="360" w:lineRule="auto"/>
        <w:jc w:val="both"/>
        <w:rPr>
          <w:rFonts w:ascii="Times New Roman" w:hAnsi="Times New Roman" w:eastAsia="Times New Roman" w:cs="Times New Roman"/>
          <w:b w:val="0"/>
          <w:bCs w:val="0"/>
          <w:sz w:val="24"/>
          <w:szCs w:val="24"/>
        </w:rPr>
      </w:pPr>
      <w:r w:rsidRPr="40E7DB1B" w:rsidR="777F4D2E">
        <w:rPr>
          <w:rFonts w:ascii="Times New Roman" w:hAnsi="Times New Roman" w:eastAsia="Times New Roman" w:cs="Times New Roman"/>
          <w:b w:val="0"/>
          <w:bCs w:val="0"/>
          <w:sz w:val="24"/>
          <w:szCs w:val="24"/>
        </w:rPr>
        <w:t xml:space="preserve">L’art. 32 ha la capacità di bypassare le lungaggini diplomatiche in favore di una "immediatezza digitale" che riflette la natura ubiqua del dato. </w:t>
      </w:r>
      <w:r w:rsidRPr="40E7DB1B" w:rsidR="64AB72F1">
        <w:rPr>
          <w:rFonts w:ascii="Times New Roman" w:hAnsi="Times New Roman" w:eastAsia="Times New Roman" w:cs="Times New Roman"/>
          <w:b w:val="0"/>
          <w:bCs w:val="0"/>
          <w:sz w:val="24"/>
          <w:szCs w:val="24"/>
        </w:rPr>
        <w:t xml:space="preserve">Il principio della territorialità </w:t>
      </w:r>
      <w:r w:rsidRPr="40E7DB1B" w:rsidR="64AB72F1">
        <w:rPr>
          <w:rFonts w:ascii="Times New Roman" w:hAnsi="Times New Roman" w:eastAsia="Times New Roman" w:cs="Times New Roman"/>
          <w:b w:val="0"/>
          <w:bCs w:val="0"/>
          <w:sz w:val="24"/>
          <w:szCs w:val="24"/>
        </w:rPr>
        <w:t>Westfaliano</w:t>
      </w:r>
      <w:r w:rsidRPr="40E7DB1B" w:rsidR="64AB72F1">
        <w:rPr>
          <w:rFonts w:ascii="Times New Roman" w:hAnsi="Times New Roman" w:eastAsia="Times New Roman" w:cs="Times New Roman"/>
          <w:b w:val="0"/>
          <w:bCs w:val="0"/>
          <w:sz w:val="24"/>
          <w:szCs w:val="24"/>
        </w:rPr>
        <w:t xml:space="preserve"> cede a favore di un criterio di giurisdizione funzionale </w:t>
      </w:r>
      <w:r w:rsidRPr="40E7DB1B" w:rsidR="7FB580A1">
        <w:rPr>
          <w:rFonts w:ascii="Times New Roman" w:hAnsi="Times New Roman" w:eastAsia="Times New Roman" w:cs="Times New Roman"/>
          <w:b w:val="0"/>
          <w:bCs w:val="0"/>
          <w:sz w:val="24"/>
          <w:szCs w:val="24"/>
        </w:rPr>
        <w:t xml:space="preserve">basato sul dogma del controllo logico del dato e non della sua collocazione </w:t>
      </w:r>
      <w:r w:rsidRPr="40E7DB1B" w:rsidR="5B185046">
        <w:rPr>
          <w:rFonts w:ascii="Times New Roman" w:hAnsi="Times New Roman" w:eastAsia="Times New Roman" w:cs="Times New Roman"/>
          <w:b w:val="0"/>
          <w:bCs w:val="0"/>
          <w:sz w:val="24"/>
          <w:szCs w:val="24"/>
        </w:rPr>
        <w:t xml:space="preserve">fisica. Di fronte a cotanta e nuova potestà investigativa </w:t>
      </w:r>
      <w:r w:rsidRPr="40E7DB1B" w:rsidR="7F059258">
        <w:rPr>
          <w:rFonts w:ascii="Times New Roman" w:hAnsi="Times New Roman" w:eastAsia="Times New Roman" w:cs="Times New Roman"/>
          <w:b w:val="0"/>
          <w:bCs w:val="0"/>
          <w:sz w:val="24"/>
          <w:szCs w:val="24"/>
        </w:rPr>
        <w:t xml:space="preserve">risulta urgente una riflessione sulla possibilità di abusi investigativi ai danni di cittadini residenti all’estero. </w:t>
      </w:r>
    </w:p>
    <w:p w:rsidR="77AB10F1" w:rsidP="1E4A1C8B" w:rsidRDefault="77AB10F1" w14:paraId="58F92E3F" w14:textId="37E3FB10">
      <w:pPr>
        <w:pStyle w:val="Normal"/>
        <w:spacing w:before="0" w:beforeAutospacing="off" w:line="360" w:lineRule="auto"/>
        <w:jc w:val="both"/>
        <w:rPr>
          <w:rFonts w:ascii="Times New Roman" w:hAnsi="Times New Roman" w:eastAsia="Times New Roman" w:cs="Times New Roman"/>
          <w:b w:val="0"/>
          <w:bCs w:val="0"/>
          <w:sz w:val="24"/>
          <w:szCs w:val="24"/>
        </w:rPr>
      </w:pPr>
    </w:p>
    <w:p w:rsidR="411C9FBA" w:rsidP="1E4A1C8B" w:rsidRDefault="411C9FBA" w14:paraId="3CB36898" w14:textId="588FDC61">
      <w:pPr>
        <w:pStyle w:val="Normal"/>
        <w:spacing w:before="0" w:beforeAutospacing="off" w:line="360" w:lineRule="auto"/>
        <w:jc w:val="both"/>
        <w:rPr>
          <w:rFonts w:ascii="Times New Roman" w:hAnsi="Times New Roman" w:eastAsia="Times New Roman" w:cs="Times New Roman"/>
          <w:b w:val="1"/>
          <w:bCs w:val="1"/>
          <w:sz w:val="24"/>
          <w:szCs w:val="24"/>
        </w:rPr>
      </w:pPr>
      <w:r w:rsidRPr="1E4A1C8B" w:rsidR="411C9FBA">
        <w:rPr>
          <w:rFonts w:ascii="Times New Roman" w:hAnsi="Times New Roman" w:eastAsia="Times New Roman" w:cs="Times New Roman"/>
          <w:b w:val="1"/>
          <w:bCs w:val="1"/>
          <w:sz w:val="24"/>
          <w:szCs w:val="24"/>
        </w:rPr>
        <w:t>2.2</w:t>
      </w:r>
      <w:r w:rsidRPr="1E4A1C8B" w:rsidR="5422DBE4">
        <w:rPr>
          <w:rFonts w:ascii="Times New Roman" w:hAnsi="Times New Roman" w:eastAsia="Times New Roman" w:cs="Times New Roman"/>
          <w:b w:val="1"/>
          <w:bCs w:val="1"/>
          <w:sz w:val="24"/>
          <w:szCs w:val="24"/>
        </w:rPr>
        <w:t xml:space="preserve"> </w:t>
      </w:r>
      <w:r w:rsidRPr="1E4A1C8B" w:rsidR="411C9FBA">
        <w:rPr>
          <w:rFonts w:ascii="Times New Roman" w:hAnsi="Times New Roman" w:eastAsia="Times New Roman" w:cs="Times New Roman"/>
          <w:b w:val="1"/>
          <w:bCs w:val="1"/>
          <w:sz w:val="24"/>
          <w:szCs w:val="24"/>
        </w:rPr>
        <w:t>Tecniche di acquisizione forense</w:t>
      </w:r>
    </w:p>
    <w:p w:rsidR="77AB10F1" w:rsidP="1E4A1C8B" w:rsidRDefault="77AB10F1" w14:paraId="17313798" w14:textId="26D844D2">
      <w:pPr>
        <w:pStyle w:val="Normal"/>
        <w:spacing w:before="0" w:beforeAutospacing="off" w:line="360" w:lineRule="auto"/>
        <w:jc w:val="both"/>
        <w:rPr>
          <w:rFonts w:ascii="Times New Roman" w:hAnsi="Times New Roman" w:eastAsia="Times New Roman" w:cs="Times New Roman"/>
          <w:b w:val="0"/>
          <w:bCs w:val="0"/>
          <w:sz w:val="24"/>
          <w:szCs w:val="24"/>
        </w:rPr>
      </w:pPr>
    </w:p>
    <w:p w:rsidR="411C9FBA" w:rsidP="1E4A1C8B" w:rsidRDefault="411C9FBA" w14:paraId="3ABD6C8F" w14:textId="1D2CF600">
      <w:pPr>
        <w:pStyle w:val="Normal"/>
        <w:spacing w:before="0" w:beforeAutospacing="off" w:line="360" w:lineRule="auto"/>
        <w:jc w:val="both"/>
      </w:pPr>
      <w:r w:rsidRPr="3DD49DB7" w:rsidR="411C9FBA">
        <w:rPr>
          <w:rFonts w:ascii="Times New Roman" w:hAnsi="Times New Roman" w:eastAsia="Times New Roman" w:cs="Times New Roman"/>
          <w:b w:val="0"/>
          <w:bCs w:val="0"/>
          <w:sz w:val="24"/>
          <w:szCs w:val="24"/>
        </w:rPr>
        <w:t>Il passaggio dalla norma astratta all’operatività concreta ci conduce nel campo della</w:t>
      </w:r>
      <w:r w:rsidRPr="3DD49DB7" w:rsidR="409FB93C">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i w:val="1"/>
          <w:iCs w:val="1"/>
          <w:sz w:val="24"/>
          <w:szCs w:val="24"/>
        </w:rPr>
        <w:t xml:space="preserve">Digital </w:t>
      </w:r>
      <w:r w:rsidRPr="3DD49DB7" w:rsidR="411C9FBA">
        <w:rPr>
          <w:rFonts w:ascii="Times New Roman" w:hAnsi="Times New Roman" w:eastAsia="Times New Roman" w:cs="Times New Roman"/>
          <w:b w:val="0"/>
          <w:bCs w:val="0"/>
          <w:i w:val="1"/>
          <w:iCs w:val="1"/>
          <w:sz w:val="24"/>
          <w:szCs w:val="24"/>
        </w:rPr>
        <w:t>Forensics</w:t>
      </w:r>
      <w:r w:rsidRPr="3DD49DB7" w:rsidR="411C9FBA">
        <w:rPr>
          <w:rFonts w:ascii="Times New Roman" w:hAnsi="Times New Roman" w:eastAsia="Times New Roman" w:cs="Times New Roman"/>
          <w:b w:val="0"/>
          <w:bCs w:val="0"/>
          <w:sz w:val="24"/>
          <w:szCs w:val="24"/>
        </w:rPr>
        <w:t xml:space="preserve">, disciplina interdisciplinare che coniuga i principi del diritto </w:t>
      </w:r>
      <w:r w:rsidRPr="3DD49DB7" w:rsidR="411C9FBA">
        <w:rPr>
          <w:rFonts w:ascii="Times New Roman" w:hAnsi="Times New Roman" w:eastAsia="Times New Roman" w:cs="Times New Roman"/>
          <w:b w:val="0"/>
          <w:bCs w:val="0"/>
          <w:sz w:val="24"/>
          <w:szCs w:val="24"/>
        </w:rPr>
        <w:t>proces</w:t>
      </w:r>
      <w:r w:rsidRPr="3DD49DB7" w:rsidR="411C9FBA">
        <w:rPr>
          <w:rFonts w:ascii="Times New Roman" w:hAnsi="Times New Roman" w:eastAsia="Times New Roman" w:cs="Times New Roman"/>
          <w:b w:val="0"/>
          <w:bCs w:val="0"/>
          <w:sz w:val="24"/>
          <w:szCs w:val="24"/>
        </w:rPr>
        <w:t>suale</w:t>
      </w:r>
      <w:r w:rsidRPr="3DD49DB7" w:rsidR="411C9FBA">
        <w:rPr>
          <w:rFonts w:ascii="Times New Roman" w:hAnsi="Times New Roman" w:eastAsia="Times New Roman" w:cs="Times New Roman"/>
          <w:b w:val="0"/>
          <w:bCs w:val="0"/>
          <w:sz w:val="24"/>
          <w:szCs w:val="24"/>
        </w:rPr>
        <w:t xml:space="preserve"> con le scienze informatiche. L’obiettivo fondamentale è garantire che il dato</w:t>
      </w:r>
      <w:r w:rsidRPr="3DD49DB7" w:rsidR="3F874541">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digitale, pur nella sua intangibilità, possa assumere pieno valore probatorio all’interno</w:t>
      </w:r>
      <w:r w:rsidRPr="3DD49DB7" w:rsidR="3465D682">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 xml:space="preserve">del processo penale. La fragilità intrinseca della prova informatica — soggetta a </w:t>
      </w:r>
      <w:r w:rsidRPr="3DD49DB7" w:rsidR="411C9FBA">
        <w:rPr>
          <w:rFonts w:ascii="Times New Roman" w:hAnsi="Times New Roman" w:eastAsia="Times New Roman" w:cs="Times New Roman"/>
          <w:b w:val="0"/>
          <w:bCs w:val="0"/>
          <w:sz w:val="24"/>
          <w:szCs w:val="24"/>
        </w:rPr>
        <w:t>mo</w:t>
      </w:r>
      <w:r w:rsidRPr="3DD49DB7" w:rsidR="411C9FBA">
        <w:rPr>
          <w:rFonts w:ascii="Times New Roman" w:hAnsi="Times New Roman" w:eastAsia="Times New Roman" w:cs="Times New Roman"/>
          <w:b w:val="0"/>
          <w:bCs w:val="0"/>
          <w:sz w:val="24"/>
          <w:szCs w:val="24"/>
        </w:rPr>
        <w:t>difiche</w:t>
      </w:r>
      <w:r w:rsidRPr="3DD49DB7" w:rsidR="411C9FBA">
        <w:rPr>
          <w:rFonts w:ascii="Times New Roman" w:hAnsi="Times New Roman" w:eastAsia="Times New Roman" w:cs="Times New Roman"/>
          <w:b w:val="0"/>
          <w:bCs w:val="0"/>
          <w:sz w:val="24"/>
          <w:szCs w:val="24"/>
        </w:rPr>
        <w:t xml:space="preserve"> impercettibili, degradazione o cancellazione — impone l’adozione di protocolli</w:t>
      </w:r>
      <w:r w:rsidRPr="3DD49DB7" w:rsidR="0F110977">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 xml:space="preserve">rigorosi e standardizzati fin dal primo contatto con la </w:t>
      </w:r>
      <w:r w:rsidRPr="3DD49DB7" w:rsidR="411C9FBA">
        <w:rPr>
          <w:rFonts w:ascii="Times New Roman" w:hAnsi="Times New Roman" w:eastAsia="Times New Roman" w:cs="Times New Roman"/>
          <w:b w:val="0"/>
          <w:bCs w:val="0"/>
          <w:i w:val="1"/>
          <w:iCs w:val="1"/>
          <w:sz w:val="24"/>
          <w:szCs w:val="24"/>
        </w:rPr>
        <w:t xml:space="preserve">scena </w:t>
      </w:r>
      <w:r w:rsidRPr="3DD49DB7" w:rsidR="411C9FBA">
        <w:rPr>
          <w:rFonts w:ascii="Times New Roman" w:hAnsi="Times New Roman" w:eastAsia="Times New Roman" w:cs="Times New Roman"/>
          <w:b w:val="0"/>
          <w:bCs w:val="0"/>
          <w:i w:val="1"/>
          <w:iCs w:val="1"/>
          <w:sz w:val="24"/>
          <w:szCs w:val="24"/>
        </w:rPr>
        <w:t>criminis</w:t>
      </w:r>
      <w:r w:rsidRPr="3DD49DB7" w:rsidR="411C9FBA">
        <w:rPr>
          <w:rFonts w:ascii="Times New Roman" w:hAnsi="Times New Roman" w:eastAsia="Times New Roman" w:cs="Times New Roman"/>
          <w:b w:val="0"/>
          <w:bCs w:val="0"/>
          <w:sz w:val="24"/>
          <w:szCs w:val="24"/>
        </w:rPr>
        <w:t xml:space="preserve"> digitale.</w:t>
      </w:r>
      <w:r w:rsidRPr="3DD49DB7">
        <w:rPr>
          <w:rStyle w:val="FootnoteReference"/>
          <w:rFonts w:ascii="Times New Roman" w:hAnsi="Times New Roman" w:eastAsia="Times New Roman" w:cs="Times New Roman"/>
          <w:b w:val="0"/>
          <w:bCs w:val="0"/>
          <w:sz w:val="24"/>
          <w:szCs w:val="24"/>
        </w:rPr>
        <w:footnoteReference w:id="24327"/>
      </w:r>
      <w:r w:rsidRPr="3DD49DB7" w:rsidR="0AB64A48">
        <w:rPr>
          <w:rFonts w:ascii="Times New Roman" w:hAnsi="Times New Roman" w:eastAsia="Times New Roman" w:cs="Times New Roman"/>
          <w:b w:val="0"/>
          <w:bCs w:val="0"/>
          <w:sz w:val="24"/>
          <w:szCs w:val="24"/>
        </w:rPr>
        <w:t xml:space="preserve"> Precisiamo in via preliminare che </w:t>
      </w:r>
      <w:r w:rsidRPr="3DD49DB7" w:rsidR="0AB64A48">
        <w:rPr>
          <w:rFonts w:ascii="Times New Roman" w:hAnsi="Times New Roman" w:eastAsia="Times New Roman" w:cs="Times New Roman"/>
          <w:b w:val="0"/>
          <w:bCs w:val="0"/>
          <w:sz w:val="24"/>
          <w:szCs w:val="24"/>
        </w:rPr>
        <w:t>ll</w:t>
      </w:r>
      <w:r w:rsidRPr="3DD49DB7" w:rsidR="0AB64A48">
        <w:rPr>
          <w:rFonts w:ascii="Times New Roman" w:hAnsi="Times New Roman" w:eastAsia="Times New Roman" w:cs="Times New Roman"/>
          <w:b w:val="0"/>
          <w:bCs w:val="0"/>
          <w:sz w:val="24"/>
          <w:szCs w:val="24"/>
        </w:rPr>
        <w:t xml:space="preserve"> documento informatico può essere definito come un documento privo di supporto cartaceo, generato mediante programmi (software) di un elaboratore elettronico e contestualmente memorizzato all’interno dello stesso, sia su dispositivi interni (hardware) sia su supporti digitali esterni, quali chiavette USB, DVD o CD-ROM. In termini più generali, esso consiste in qualsiasi file contenente un contenuto rappresentativo codificato in linguaggio binario: rientrano in tale nozione testi, immagini, suoni, nonché contenuti digitali come pagine web o messaggi di posta elettronica. Sotto il profilo teorico, la nozione tradizionale di documento conserva la propria validità anche in ambito digitale. Il documento, infatti, è lo strumento attraverso cui un fatto viene reso conoscibile, e tale funzione si estende senza difficoltà anche al documento informatico. Il processo conoscitivo si realizza mediante la rappresentazione: il soggetto non percepisce direttamente il fatto, ma lo apprende attraverso i segnali e le informazioni veicolate dal documento stesso.</w:t>
      </w:r>
      <w:r w:rsidRPr="3DD49DB7" w:rsidR="386CE18D">
        <w:rPr>
          <w:rFonts w:ascii="Times New Roman" w:hAnsi="Times New Roman" w:eastAsia="Times New Roman" w:cs="Times New Roman"/>
          <w:b w:val="0"/>
          <w:bCs w:val="0"/>
          <w:sz w:val="24"/>
          <w:szCs w:val="24"/>
        </w:rPr>
        <w:t xml:space="preserve"> </w:t>
      </w:r>
      <w:r w:rsidRPr="3DD49DB7" w:rsidR="0AB64A48">
        <w:rPr>
          <w:rFonts w:ascii="Times New Roman" w:hAnsi="Times New Roman" w:eastAsia="Times New Roman" w:cs="Times New Roman"/>
          <w:b w:val="0"/>
          <w:bCs w:val="0"/>
          <w:sz w:val="24"/>
          <w:szCs w:val="24"/>
        </w:rPr>
        <w:t>Questa impostazione è applicabile anche ai documenti informatici, pur con la peculiarità della loro natura “dematerializzata”, nel senso che essi non sono necessariamente legati a uno specifico supporto fisico. Ciò non esclude, tuttavia, l’esistenza di una base materiale, costituita dal dispositivo che ospita e conserva i dati, all’interno del quale la rappresentazione digitale di fatti e informazioni trova concreta espressione.</w:t>
      </w:r>
    </w:p>
    <w:p w:rsidR="411C9FBA" w:rsidP="1E4A1C8B" w:rsidRDefault="411C9FBA" w14:paraId="0A40345C" w14:textId="7D26B3BA">
      <w:pPr>
        <w:pStyle w:val="Normal"/>
        <w:spacing w:before="0" w:beforeAutospacing="off" w:line="360" w:lineRule="auto"/>
        <w:jc w:val="both"/>
      </w:pPr>
      <w:r w:rsidRPr="49E96B32" w:rsidR="411C9FBA">
        <w:rPr>
          <w:rFonts w:ascii="Times New Roman" w:hAnsi="Times New Roman" w:eastAsia="Times New Roman" w:cs="Times New Roman"/>
          <w:b w:val="0"/>
          <w:bCs w:val="0"/>
          <w:sz w:val="24"/>
          <w:szCs w:val="24"/>
        </w:rPr>
        <w:t>Nel contesto italiano, la ricezione dei principi della Convenzione di Budapest</w:t>
      </w:r>
      <w:r w:rsidRPr="49E96B32" w:rsidR="1634D579">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è</w:t>
      </w:r>
      <w:r w:rsidRPr="49E96B32" w:rsidR="2376C9CF">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avvenuta principalmente attraverso la Legge 18 marzo 2008, n. 48. Un punto nodale di</w:t>
      </w:r>
      <w:r w:rsidRPr="49E96B32" w:rsidR="57CBD0FB">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questa evoluzione normativa è il riconoscimento formale della natura dematerializzata</w:t>
      </w:r>
      <w:r w:rsidRPr="49E96B32" w:rsidR="0D440DE1">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 xml:space="preserve">della prova. </w:t>
      </w:r>
      <w:r w:rsidRPr="49E96B32" w:rsidR="626551A2">
        <w:rPr>
          <w:rFonts w:ascii="Times New Roman" w:hAnsi="Times New Roman" w:eastAsia="Times New Roman" w:cs="Times New Roman"/>
          <w:b w:val="0"/>
          <w:bCs w:val="0"/>
          <w:sz w:val="24"/>
          <w:szCs w:val="24"/>
        </w:rPr>
        <w:t>Il” documento</w:t>
      </w:r>
      <w:r w:rsidRPr="49E96B32" w:rsidR="411C9FBA">
        <w:rPr>
          <w:rFonts w:ascii="Times New Roman" w:hAnsi="Times New Roman" w:eastAsia="Times New Roman" w:cs="Times New Roman"/>
          <w:b w:val="0"/>
          <w:bCs w:val="0"/>
          <w:sz w:val="24"/>
          <w:szCs w:val="24"/>
        </w:rPr>
        <w:t xml:space="preserve"> informatico”, nell’attuale architettura del codice di rito, non</w:t>
      </w:r>
      <w:r w:rsidRPr="49E96B32" w:rsidR="3CA21959">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coincide più esclusivamente con il supporto fisico (sia esso un hard disk, uno smartphone</w:t>
      </w:r>
      <w:r w:rsidRPr="49E96B32" w:rsidR="5BFD5F4C">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o un server) che lo ospita, ma viene inteso come un’entità logica: una sequenza di bit</w:t>
      </w:r>
      <w:r w:rsidRPr="49E96B32" w:rsidR="140DEF42">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che rappresenta fatti, atti o dati giuridicamente rilevanti.</w:t>
      </w:r>
      <w:r w:rsidRPr="49E96B32" w:rsidR="2679EF75">
        <w:rPr>
          <w:rFonts w:ascii="Times New Roman" w:hAnsi="Times New Roman" w:eastAsia="Times New Roman" w:cs="Times New Roman"/>
          <w:b w:val="0"/>
          <w:bCs w:val="0"/>
          <w:sz w:val="24"/>
          <w:szCs w:val="24"/>
        </w:rPr>
        <w:t xml:space="preserve"> </w:t>
      </w:r>
    </w:p>
    <w:p w:rsidR="411C9FBA" w:rsidP="1E4A1C8B" w:rsidRDefault="411C9FBA" w14:paraId="6B62C6A5" w14:textId="21AF85D1">
      <w:pPr>
        <w:pStyle w:val="Normal"/>
        <w:spacing w:before="0" w:beforeAutospacing="off" w:line="360" w:lineRule="auto"/>
        <w:jc w:val="both"/>
      </w:pPr>
      <w:r w:rsidRPr="3DD49DB7" w:rsidR="0DDEF7F5">
        <w:rPr>
          <w:rFonts w:ascii="Times New Roman" w:hAnsi="Times New Roman" w:eastAsia="Times New Roman" w:cs="Times New Roman"/>
          <w:b w:val="0"/>
          <w:bCs w:val="0"/>
          <w:sz w:val="24"/>
          <w:szCs w:val="24"/>
        </w:rPr>
        <w:t xml:space="preserve">La Convenzione all’Art 1 da una connotazione volutamente “neutra” di documento </w:t>
      </w:r>
      <w:r w:rsidRPr="3DD49DB7" w:rsidR="0DDEF7F5">
        <w:rPr>
          <w:rFonts w:ascii="Times New Roman" w:hAnsi="Times New Roman" w:eastAsia="Times New Roman" w:cs="Times New Roman"/>
          <w:b w:val="0"/>
          <w:bCs w:val="0"/>
          <w:sz w:val="24"/>
          <w:szCs w:val="24"/>
        </w:rPr>
        <w:t xml:space="preserve">informatico: </w:t>
      </w:r>
    </w:p>
    <w:p w:rsidR="0DDEF7F5" w:rsidP="1E4A1C8B" w:rsidRDefault="0DDEF7F5" w14:paraId="2A06371B" w14:textId="367BBB24">
      <w:pPr>
        <w:pStyle w:val="Normal"/>
        <w:spacing w:before="0" w:beforeAutospacing="off" w:line="360" w:lineRule="auto"/>
        <w:jc w:val="both"/>
      </w:pPr>
      <w:r w:rsidRPr="3DD49DB7" w:rsidR="0DDEF7F5">
        <w:rPr>
          <w:rFonts w:ascii="Times New Roman" w:hAnsi="Times New Roman" w:eastAsia="Times New Roman" w:cs="Times New Roman"/>
          <w:b w:val="0"/>
          <w:bCs w:val="0"/>
          <w:i w:val="1"/>
          <w:iCs w:val="1"/>
          <w:sz w:val="24"/>
          <w:szCs w:val="24"/>
        </w:rPr>
        <w:t>“</w:t>
      </w:r>
      <w:r w:rsidRPr="3DD49DB7" w:rsidR="3A654FC0">
        <w:rPr>
          <w:rFonts w:ascii="Times New Roman" w:hAnsi="Times New Roman" w:eastAsia="Times New Roman" w:cs="Times New Roman"/>
          <w:b w:val="0"/>
          <w:bCs w:val="0"/>
          <w:i w:val="1"/>
          <w:iCs w:val="1"/>
          <w:sz w:val="24"/>
          <w:szCs w:val="24"/>
        </w:rPr>
        <w:t>Q</w:t>
      </w:r>
      <w:r w:rsidRPr="3DD49DB7" w:rsidR="0DDEF7F5">
        <w:rPr>
          <w:rFonts w:ascii="Times New Roman" w:hAnsi="Times New Roman" w:eastAsia="Times New Roman" w:cs="Times New Roman"/>
          <w:b w:val="0"/>
          <w:bCs w:val="0"/>
          <w:i w:val="1"/>
          <w:iCs w:val="1"/>
          <w:sz w:val="24"/>
          <w:szCs w:val="24"/>
        </w:rPr>
        <w:t>ualunque presentazione di fatti, informazioni o concetti in forma suscettibile di essere utilizzata in un sistema computerizzato, incluso un programma in grado di consentire ad un sistema computerizzato di svolgere una funzione”</w:t>
      </w:r>
    </w:p>
    <w:p w:rsidR="567FCD60" w:rsidP="1E4A1C8B" w:rsidRDefault="567FCD60" w14:paraId="0D061949" w14:textId="090AAD13">
      <w:pPr>
        <w:pStyle w:val="Normal"/>
        <w:spacing w:before="0" w:beforeAutospacing="off" w:line="360" w:lineRule="auto"/>
        <w:jc w:val="both"/>
      </w:pPr>
      <w:r w:rsidRPr="3DD49DB7" w:rsidR="567FCD60">
        <w:rPr>
          <w:rFonts w:ascii="Times New Roman" w:hAnsi="Times New Roman" w:eastAsia="Times New Roman" w:cs="Times New Roman"/>
          <w:b w:val="0"/>
          <w:bCs w:val="0"/>
          <w:i w:val="1"/>
          <w:iCs w:val="1"/>
          <w:sz w:val="24"/>
          <w:szCs w:val="24"/>
        </w:rPr>
        <w:t xml:space="preserve">Questa definizione si fonda su tre pilastri, ovvero astrattezza, suscettibilità d’uso e </w:t>
      </w:r>
      <w:r w:rsidRPr="3DD49DB7" w:rsidR="567FCD60">
        <w:rPr>
          <w:rFonts w:ascii="Times New Roman" w:hAnsi="Times New Roman" w:eastAsia="Times New Roman" w:cs="Times New Roman"/>
          <w:b w:val="0"/>
          <w:bCs w:val="0"/>
          <w:i w:val="1"/>
          <w:iCs w:val="1"/>
          <w:sz w:val="24"/>
          <w:szCs w:val="24"/>
        </w:rPr>
        <w:t>ominicom</w:t>
      </w:r>
      <w:r w:rsidRPr="3DD49DB7" w:rsidR="1971CFF3">
        <w:rPr>
          <w:rFonts w:ascii="Times New Roman" w:hAnsi="Times New Roman" w:eastAsia="Times New Roman" w:cs="Times New Roman"/>
          <w:b w:val="0"/>
          <w:bCs w:val="0"/>
          <w:i w:val="1"/>
          <w:iCs w:val="1"/>
          <w:sz w:val="24"/>
          <w:szCs w:val="24"/>
        </w:rPr>
        <w:t>prensività</w:t>
      </w:r>
      <w:r w:rsidRPr="3DD49DB7" w:rsidR="1971CFF3">
        <w:rPr>
          <w:rFonts w:ascii="Times New Roman" w:hAnsi="Times New Roman" w:eastAsia="Times New Roman" w:cs="Times New Roman"/>
          <w:b w:val="0"/>
          <w:bCs w:val="0"/>
          <w:i w:val="1"/>
          <w:iCs w:val="1"/>
          <w:sz w:val="24"/>
          <w:szCs w:val="24"/>
        </w:rPr>
        <w:t xml:space="preserve">. Il dato è una mera presentazione indipendente dal supporto, un </w:t>
      </w:r>
      <w:r w:rsidRPr="3DD49DB7" w:rsidR="40B949CB">
        <w:rPr>
          <w:rFonts w:ascii="Times New Roman" w:hAnsi="Times New Roman" w:eastAsia="Times New Roman" w:cs="Times New Roman"/>
          <w:b w:val="0"/>
          <w:bCs w:val="0"/>
          <w:i w:val="1"/>
          <w:iCs w:val="1"/>
          <w:sz w:val="24"/>
          <w:szCs w:val="24"/>
        </w:rPr>
        <w:t>contenuto logico diverso dal suo vettore</w:t>
      </w:r>
      <w:r w:rsidRPr="3DD49DB7" w:rsidR="0C6B8A7D">
        <w:rPr>
          <w:rFonts w:ascii="Times New Roman" w:hAnsi="Times New Roman" w:eastAsia="Times New Roman" w:cs="Times New Roman"/>
          <w:b w:val="0"/>
          <w:bCs w:val="0"/>
          <w:i w:val="1"/>
          <w:iCs w:val="1"/>
          <w:sz w:val="24"/>
          <w:szCs w:val="24"/>
        </w:rPr>
        <w:t xml:space="preserve"> che necessariamente deve essere suscettibile di </w:t>
      </w:r>
      <w:r w:rsidRPr="3DD49DB7" w:rsidR="59CD7DEA">
        <w:rPr>
          <w:rFonts w:ascii="Times New Roman" w:hAnsi="Times New Roman" w:eastAsia="Times New Roman" w:cs="Times New Roman"/>
          <w:b w:val="0"/>
          <w:bCs w:val="0"/>
          <w:i w:val="1"/>
          <w:iCs w:val="1"/>
          <w:sz w:val="24"/>
          <w:szCs w:val="24"/>
        </w:rPr>
        <w:t>elaborazione</w:t>
      </w:r>
      <w:r w:rsidRPr="3DD49DB7" w:rsidR="0C6B8A7D">
        <w:rPr>
          <w:rFonts w:ascii="Times New Roman" w:hAnsi="Times New Roman" w:eastAsia="Times New Roman" w:cs="Times New Roman"/>
          <w:b w:val="0"/>
          <w:bCs w:val="0"/>
          <w:i w:val="1"/>
          <w:iCs w:val="1"/>
          <w:sz w:val="24"/>
          <w:szCs w:val="24"/>
        </w:rPr>
        <w:t xml:space="preserve"> ad opera di un sistema informatico, cosa che rende la definizione maggiormen</w:t>
      </w:r>
      <w:r w:rsidRPr="3DD49DB7" w:rsidR="3A3DDF71">
        <w:rPr>
          <w:rFonts w:ascii="Times New Roman" w:hAnsi="Times New Roman" w:eastAsia="Times New Roman" w:cs="Times New Roman"/>
          <w:b w:val="0"/>
          <w:bCs w:val="0"/>
          <w:i w:val="1"/>
          <w:iCs w:val="1"/>
          <w:sz w:val="24"/>
          <w:szCs w:val="24"/>
        </w:rPr>
        <w:t xml:space="preserve">te funzionale e non ancorata a tecnicismi che </w:t>
      </w:r>
      <w:r w:rsidRPr="3DD49DB7" w:rsidR="5A520B55">
        <w:rPr>
          <w:rFonts w:ascii="Times New Roman" w:hAnsi="Times New Roman" w:eastAsia="Times New Roman" w:cs="Times New Roman"/>
          <w:b w:val="0"/>
          <w:bCs w:val="0"/>
          <w:i w:val="1"/>
          <w:iCs w:val="1"/>
          <w:sz w:val="24"/>
          <w:szCs w:val="24"/>
        </w:rPr>
        <w:t>facilmente</w:t>
      </w:r>
      <w:r w:rsidRPr="3DD49DB7" w:rsidR="3A3DDF71">
        <w:rPr>
          <w:rFonts w:ascii="Times New Roman" w:hAnsi="Times New Roman" w:eastAsia="Times New Roman" w:cs="Times New Roman"/>
          <w:b w:val="0"/>
          <w:bCs w:val="0"/>
          <w:i w:val="1"/>
          <w:iCs w:val="1"/>
          <w:sz w:val="24"/>
          <w:szCs w:val="24"/>
        </w:rPr>
        <w:t xml:space="preserve"> possono diventare </w:t>
      </w:r>
      <w:r w:rsidRPr="3DD49DB7" w:rsidR="3EAE35C6">
        <w:rPr>
          <w:rFonts w:ascii="Times New Roman" w:hAnsi="Times New Roman" w:eastAsia="Times New Roman" w:cs="Times New Roman"/>
          <w:b w:val="0"/>
          <w:bCs w:val="0"/>
          <w:i w:val="1"/>
          <w:iCs w:val="1"/>
          <w:sz w:val="24"/>
          <w:szCs w:val="24"/>
        </w:rPr>
        <w:t>obsoleti</w:t>
      </w:r>
      <w:r w:rsidRPr="3DD49DB7" w:rsidR="3A3DDF71">
        <w:rPr>
          <w:rFonts w:ascii="Times New Roman" w:hAnsi="Times New Roman" w:eastAsia="Times New Roman" w:cs="Times New Roman"/>
          <w:b w:val="0"/>
          <w:bCs w:val="0"/>
          <w:i w:val="1"/>
          <w:iCs w:val="1"/>
          <w:sz w:val="24"/>
          <w:szCs w:val="24"/>
        </w:rPr>
        <w:t xml:space="preserve">. </w:t>
      </w:r>
      <w:r w:rsidRPr="3DD49DB7" w:rsidR="2ABAC662">
        <w:rPr>
          <w:rFonts w:ascii="Times New Roman" w:hAnsi="Times New Roman" w:eastAsia="Times New Roman" w:cs="Times New Roman"/>
          <w:b w:val="0"/>
          <w:bCs w:val="0"/>
          <w:i w:val="1"/>
          <w:iCs w:val="1"/>
          <w:sz w:val="24"/>
          <w:szCs w:val="24"/>
        </w:rPr>
        <w:t>Nello stesso concetto ritroviamo dati-contenuto (es. il testo di una mail), ma anche i dati-programma (il software che esegue le funzioni) e, implicitamente, i dati di traffico e di sistema che permettono la ricostruzione dell'attività</w:t>
      </w:r>
      <w:r w:rsidRPr="3DD49DB7">
        <w:rPr>
          <w:rStyle w:val="FootnoteReference"/>
          <w:rFonts w:ascii="Times New Roman" w:hAnsi="Times New Roman" w:eastAsia="Times New Roman" w:cs="Times New Roman"/>
          <w:b w:val="0"/>
          <w:bCs w:val="0"/>
          <w:i w:val="1"/>
          <w:iCs w:val="1"/>
          <w:sz w:val="24"/>
          <w:szCs w:val="24"/>
        </w:rPr>
        <w:footnoteReference w:id="17245"/>
      </w:r>
      <w:r w:rsidRPr="3DD49DB7" w:rsidR="2ABAC662">
        <w:rPr>
          <w:rFonts w:ascii="Times New Roman" w:hAnsi="Times New Roman" w:eastAsia="Times New Roman" w:cs="Times New Roman"/>
          <w:b w:val="0"/>
          <w:bCs w:val="0"/>
          <w:i w:val="1"/>
          <w:iCs w:val="1"/>
          <w:sz w:val="24"/>
          <w:szCs w:val="24"/>
        </w:rPr>
        <w:t>.</w:t>
      </w:r>
    </w:p>
    <w:p w:rsidR="411C9FBA" w:rsidP="3DD49DB7" w:rsidRDefault="411C9FBA" w14:paraId="46C9BABD" w14:textId="2C2A13ED">
      <w:pPr>
        <w:pStyle w:val="Normal"/>
        <w:spacing w:before="0" w:beforeAutospacing="off" w:line="360" w:lineRule="auto"/>
        <w:jc w:val="both"/>
      </w:pPr>
      <w:r w:rsidRPr="3DD49DB7" w:rsidR="411C9FBA">
        <w:rPr>
          <w:rFonts w:ascii="Times New Roman" w:hAnsi="Times New Roman" w:eastAsia="Times New Roman" w:cs="Times New Roman"/>
          <w:b w:val="0"/>
          <w:bCs w:val="0"/>
          <w:sz w:val="24"/>
          <w:szCs w:val="24"/>
        </w:rPr>
        <w:t>Questa distinzione ontologica produce implicazioni profonde sul piano investigativo.</w:t>
      </w:r>
    </w:p>
    <w:p w:rsidR="768EB940" w:rsidP="1E4A1C8B" w:rsidRDefault="768EB940" w14:paraId="796FCBA3" w14:textId="69665841">
      <w:pPr>
        <w:pStyle w:val="Normal"/>
        <w:spacing w:before="0" w:beforeAutospacing="off" w:line="360" w:lineRule="auto"/>
        <w:jc w:val="both"/>
      </w:pPr>
      <w:r w:rsidRPr="3DD49DB7" w:rsidR="768EB940">
        <w:rPr>
          <w:rFonts w:ascii="Times New Roman" w:hAnsi="Times New Roman" w:eastAsia="Times New Roman" w:cs="Times New Roman"/>
          <w:b w:val="0"/>
          <w:bCs w:val="0"/>
          <w:sz w:val="24"/>
          <w:szCs w:val="24"/>
        </w:rPr>
        <w:t xml:space="preserve">Alla luce di questi sviluppi ermeneutici muta la natura di “prova digitale” </w:t>
      </w:r>
      <w:r w:rsidRPr="3DD49DB7" w:rsidR="6F17C3B6">
        <w:rPr>
          <w:rFonts w:ascii="Times New Roman" w:hAnsi="Times New Roman" w:eastAsia="Times New Roman" w:cs="Times New Roman"/>
          <w:b w:val="0"/>
          <w:bCs w:val="0"/>
          <w:sz w:val="24"/>
          <w:szCs w:val="24"/>
        </w:rPr>
        <w:t xml:space="preserve">che in questo contesto vede la sua valenza probatoria subordinata a tre condizioni </w:t>
      </w:r>
      <w:r w:rsidRPr="3DD49DB7" w:rsidR="5C7E75E6">
        <w:rPr>
          <w:rFonts w:ascii="Times New Roman" w:hAnsi="Times New Roman" w:eastAsia="Times New Roman" w:cs="Times New Roman"/>
          <w:b w:val="0"/>
          <w:bCs w:val="0"/>
          <w:sz w:val="24"/>
          <w:szCs w:val="24"/>
        </w:rPr>
        <w:t>necessarie:</w:t>
      </w:r>
      <w:r w:rsidRPr="3DD49DB7" w:rsidR="6F17C3B6">
        <w:rPr>
          <w:rFonts w:ascii="Times New Roman" w:hAnsi="Times New Roman" w:eastAsia="Times New Roman" w:cs="Times New Roman"/>
          <w:b w:val="0"/>
          <w:bCs w:val="0"/>
          <w:sz w:val="24"/>
          <w:szCs w:val="24"/>
        </w:rPr>
        <w:t xml:space="preserve"> </w:t>
      </w:r>
    </w:p>
    <w:p w:rsidR="71CCC3D8" w:rsidP="1E4A1C8B" w:rsidRDefault="71CCC3D8" w14:paraId="50B62A39" w14:textId="72095C1B">
      <w:pPr>
        <w:pStyle w:val="ListParagraph"/>
        <w:numPr>
          <w:ilvl w:val="0"/>
          <w:numId w:val="2"/>
        </w:numPr>
        <w:spacing w:before="0" w:beforeAutospacing="off" w:line="360" w:lineRule="auto"/>
        <w:contextualSpacing w:val="0"/>
        <w:jc w:val="both"/>
        <w:rPr>
          <w:rFonts w:ascii="Times New Roman" w:hAnsi="Times New Roman" w:eastAsia="Times New Roman" w:cs="Times New Roman"/>
          <w:b w:val="0"/>
          <w:bCs w:val="0"/>
          <w:sz w:val="24"/>
          <w:szCs w:val="24"/>
        </w:rPr>
      </w:pPr>
      <w:r w:rsidRPr="1E4A1C8B" w:rsidR="71CCC3D8">
        <w:rPr>
          <w:rFonts w:ascii="Times New Roman" w:hAnsi="Times New Roman" w:eastAsia="Times New Roman" w:cs="Times New Roman"/>
          <w:b w:val="0"/>
          <w:bCs w:val="0"/>
          <w:sz w:val="24"/>
          <w:szCs w:val="24"/>
        </w:rPr>
        <w:t>Autenticità, quindi la prova della provenienza e dell’attribuzione della sequenza binaria ad un autore ed a un sistema spe</w:t>
      </w:r>
      <w:r w:rsidRPr="1E4A1C8B" w:rsidR="4E9AA54D">
        <w:rPr>
          <w:rFonts w:ascii="Times New Roman" w:hAnsi="Times New Roman" w:eastAsia="Times New Roman" w:cs="Times New Roman"/>
          <w:b w:val="0"/>
          <w:bCs w:val="0"/>
          <w:sz w:val="24"/>
          <w:szCs w:val="24"/>
        </w:rPr>
        <w:t>cifico</w:t>
      </w:r>
    </w:p>
    <w:p w:rsidR="4E9AA54D" w:rsidP="1E4A1C8B" w:rsidRDefault="4E9AA54D" w14:paraId="78B76B80" w14:textId="4798CA36">
      <w:pPr>
        <w:pStyle w:val="ListParagraph"/>
        <w:numPr>
          <w:ilvl w:val="0"/>
          <w:numId w:val="2"/>
        </w:numPr>
        <w:spacing w:before="0" w:beforeAutospacing="off" w:line="360" w:lineRule="auto"/>
        <w:contextualSpacing w:val="0"/>
        <w:jc w:val="both"/>
        <w:rPr>
          <w:rFonts w:ascii="Times New Roman" w:hAnsi="Times New Roman" w:eastAsia="Times New Roman" w:cs="Times New Roman"/>
          <w:b w:val="0"/>
          <w:bCs w:val="0"/>
          <w:sz w:val="24"/>
          <w:szCs w:val="24"/>
        </w:rPr>
      </w:pPr>
      <w:r w:rsidRPr="1E4A1C8B" w:rsidR="4E9AA54D">
        <w:rPr>
          <w:rFonts w:ascii="Times New Roman" w:hAnsi="Times New Roman" w:eastAsia="Times New Roman" w:cs="Times New Roman"/>
          <w:b w:val="0"/>
          <w:bCs w:val="0"/>
          <w:sz w:val="24"/>
          <w:szCs w:val="24"/>
        </w:rPr>
        <w:t xml:space="preserve">Integrità documenta, quindi l’uso di tecniche crittografiche per </w:t>
      </w:r>
      <w:r w:rsidRPr="1E4A1C8B" w:rsidR="4E9AA54D">
        <w:rPr>
          <w:rFonts w:ascii="Times New Roman" w:hAnsi="Times New Roman" w:eastAsia="Times New Roman" w:cs="Times New Roman"/>
          <w:b w:val="0"/>
          <w:bCs w:val="0"/>
          <w:sz w:val="24"/>
          <w:szCs w:val="24"/>
        </w:rPr>
        <w:t>blin</w:t>
      </w:r>
      <w:r w:rsidRPr="1E4A1C8B" w:rsidR="4E9AA54D">
        <w:rPr>
          <w:rFonts w:ascii="Times New Roman" w:hAnsi="Times New Roman" w:eastAsia="Times New Roman" w:cs="Times New Roman"/>
          <w:b w:val="0"/>
          <w:bCs w:val="0"/>
          <w:sz w:val="24"/>
          <w:szCs w:val="24"/>
        </w:rPr>
        <w:t xml:space="preserve">dare il contenuto da possibili alterazioni </w:t>
      </w:r>
    </w:p>
    <w:p w:rsidR="4526FBB3" w:rsidP="1E4A1C8B" w:rsidRDefault="4526FBB3" w14:paraId="068D5C19" w14:textId="361FA10C">
      <w:pPr>
        <w:pStyle w:val="ListParagraph"/>
        <w:numPr>
          <w:ilvl w:val="0"/>
          <w:numId w:val="2"/>
        </w:numPr>
        <w:spacing w:before="0" w:beforeAutospacing="off" w:line="360" w:lineRule="auto"/>
        <w:contextualSpacing w:val="0"/>
        <w:jc w:val="both"/>
        <w:rPr>
          <w:rFonts w:ascii="Times New Roman" w:hAnsi="Times New Roman" w:eastAsia="Times New Roman" w:cs="Times New Roman"/>
          <w:b w:val="0"/>
          <w:bCs w:val="0"/>
          <w:sz w:val="24"/>
          <w:szCs w:val="24"/>
        </w:rPr>
      </w:pPr>
      <w:r w:rsidRPr="67C465D3" w:rsidR="4526FBB3">
        <w:rPr>
          <w:rFonts w:ascii="Times New Roman" w:hAnsi="Times New Roman" w:eastAsia="Times New Roman" w:cs="Times New Roman"/>
          <w:b w:val="0"/>
          <w:bCs w:val="0"/>
          <w:sz w:val="24"/>
          <w:szCs w:val="24"/>
        </w:rPr>
        <w:t>Affidabilità: Validare la procedura tecnica (ISO/IEC 27037) usata per l'estrazione</w:t>
      </w:r>
      <w:r w:rsidRPr="67C465D3">
        <w:rPr>
          <w:rStyle w:val="FootnoteReference"/>
          <w:rFonts w:ascii="Times New Roman" w:hAnsi="Times New Roman" w:eastAsia="Times New Roman" w:cs="Times New Roman"/>
          <w:b w:val="0"/>
          <w:bCs w:val="0"/>
          <w:sz w:val="24"/>
          <w:szCs w:val="24"/>
        </w:rPr>
        <w:footnoteReference w:id="13324"/>
      </w:r>
      <w:r w:rsidRPr="67C465D3" w:rsidR="4526FBB3">
        <w:rPr>
          <w:rFonts w:ascii="Times New Roman" w:hAnsi="Times New Roman" w:eastAsia="Times New Roman" w:cs="Times New Roman"/>
          <w:b w:val="0"/>
          <w:bCs w:val="0"/>
          <w:sz w:val="24"/>
          <w:szCs w:val="24"/>
        </w:rPr>
        <w:t>.</w:t>
      </w:r>
    </w:p>
    <w:p w:rsidR="71CCC3D8" w:rsidP="1E4A1C8B" w:rsidRDefault="71CCC3D8" w14:paraId="1D0DF979" w14:textId="7ACA5A7E">
      <w:pPr>
        <w:pStyle w:val="ListParagraph"/>
        <w:spacing w:before="0" w:beforeAutospacing="off" w:line="360" w:lineRule="auto"/>
        <w:ind w:left="720"/>
        <w:contextualSpacing w:val="0"/>
        <w:jc w:val="both"/>
        <w:rPr>
          <w:rFonts w:ascii="Times New Roman" w:hAnsi="Times New Roman" w:eastAsia="Times New Roman" w:cs="Times New Roman"/>
          <w:b w:val="0"/>
          <w:bCs w:val="0"/>
          <w:sz w:val="24"/>
          <w:szCs w:val="24"/>
        </w:rPr>
      </w:pPr>
      <w:r w:rsidRPr="1E4A1C8B" w:rsidR="71CCC3D8">
        <w:rPr>
          <w:rFonts w:ascii="Times New Roman" w:hAnsi="Times New Roman" w:eastAsia="Times New Roman" w:cs="Times New Roman"/>
          <w:b w:val="0"/>
          <w:bCs w:val="0"/>
          <w:sz w:val="24"/>
          <w:szCs w:val="24"/>
        </w:rPr>
        <w:t xml:space="preserve"> </w:t>
      </w:r>
    </w:p>
    <w:p w:rsidR="411C9FBA" w:rsidP="1E4A1C8B" w:rsidRDefault="411C9FBA" w14:paraId="604E6DF8" w14:textId="466AE2DB">
      <w:pPr>
        <w:pStyle w:val="Normal"/>
        <w:spacing w:before="0" w:beforeAutospacing="off" w:line="360" w:lineRule="auto"/>
        <w:jc w:val="both"/>
        <w:rPr>
          <w:rFonts w:ascii="Times New Roman" w:hAnsi="Times New Roman" w:eastAsia="Times New Roman" w:cs="Times New Roman"/>
          <w:b w:val="0"/>
          <w:bCs w:val="0"/>
          <w:sz w:val="24"/>
          <w:szCs w:val="24"/>
        </w:rPr>
      </w:pPr>
      <w:r w:rsidRPr="49E96B32" w:rsidR="411C9FBA">
        <w:rPr>
          <w:rFonts w:ascii="Times New Roman" w:hAnsi="Times New Roman" w:eastAsia="Times New Roman" w:cs="Times New Roman"/>
          <w:b w:val="0"/>
          <w:bCs w:val="0"/>
          <w:sz w:val="24"/>
          <w:szCs w:val="24"/>
        </w:rPr>
        <w:t xml:space="preserve">Mentre nel sequestro tradizionale l’apprensione fisica della res garantisce di per </w:t>
      </w:r>
      <w:r w:rsidRPr="49E96B32" w:rsidR="411C9FBA">
        <w:rPr>
          <w:rFonts w:ascii="Times New Roman" w:hAnsi="Times New Roman" w:eastAsia="Times New Roman" w:cs="Times New Roman"/>
          <w:b w:val="0"/>
          <w:bCs w:val="0"/>
          <w:sz w:val="24"/>
          <w:szCs w:val="24"/>
        </w:rPr>
        <w:t>sè</w:t>
      </w:r>
      <w:r w:rsidRPr="49E96B32" w:rsidR="411C9FBA">
        <w:rPr>
          <w:rFonts w:ascii="Times New Roman" w:hAnsi="Times New Roman" w:eastAsia="Times New Roman" w:cs="Times New Roman"/>
          <w:b w:val="0"/>
          <w:bCs w:val="0"/>
          <w:sz w:val="24"/>
          <w:szCs w:val="24"/>
        </w:rPr>
        <w:t xml:space="preserve"> la</w:t>
      </w:r>
      <w:r w:rsidRPr="49E96B32" w:rsidR="6F151FF1">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conservazione della prova, nel sequestro informatico l’apprensione del supporto è solo</w:t>
      </w:r>
      <w:r w:rsidRPr="49E96B32" w:rsidR="183C0397">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 xml:space="preserve">il </w:t>
      </w:r>
      <w:r w:rsidRPr="49E96B32" w:rsidR="411C9FBA">
        <w:rPr>
          <w:rFonts w:ascii="Times New Roman" w:hAnsi="Times New Roman" w:eastAsia="Times New Roman" w:cs="Times New Roman"/>
          <w:b w:val="0"/>
          <w:bCs w:val="0"/>
          <w:sz w:val="24"/>
          <w:szCs w:val="24"/>
        </w:rPr>
        <w:t>pactus</w:t>
      </w:r>
      <w:r w:rsidRPr="49E96B32" w:rsidR="411C9FBA">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praeludendi</w:t>
      </w:r>
      <w:r w:rsidRPr="49E96B32" w:rsidR="411C9FBA">
        <w:rPr>
          <w:rFonts w:ascii="Times New Roman" w:hAnsi="Times New Roman" w:eastAsia="Times New Roman" w:cs="Times New Roman"/>
          <w:b w:val="0"/>
          <w:bCs w:val="0"/>
          <w:sz w:val="24"/>
          <w:szCs w:val="24"/>
        </w:rPr>
        <w:t xml:space="preserve"> all’attività di indagine vera e propria. La prova reale risiede nel</w:t>
      </w:r>
      <w:r w:rsidRPr="49E96B32" w:rsidR="6FC7B0EB">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contenuto immateriale, il quale può essere alterato o corrotto anche involontariame</w:t>
      </w:r>
      <w:r w:rsidRPr="49E96B32" w:rsidR="73B26EA8">
        <w:rPr>
          <w:rFonts w:ascii="Times New Roman" w:hAnsi="Times New Roman" w:eastAsia="Times New Roman" w:cs="Times New Roman"/>
          <w:b w:val="0"/>
          <w:bCs w:val="0"/>
          <w:sz w:val="24"/>
          <w:szCs w:val="24"/>
        </w:rPr>
        <w:t xml:space="preserve">nte </w:t>
      </w:r>
      <w:r w:rsidRPr="49E96B32" w:rsidR="411C9FBA">
        <w:rPr>
          <w:rFonts w:ascii="Times New Roman" w:hAnsi="Times New Roman" w:eastAsia="Times New Roman" w:cs="Times New Roman"/>
          <w:b w:val="0"/>
          <w:bCs w:val="0"/>
          <w:sz w:val="24"/>
          <w:szCs w:val="24"/>
        </w:rPr>
        <w:t>durante le fasi di accensione, spegnimento o semplice esame del dispositivo. In assenza</w:t>
      </w:r>
      <w:r w:rsidRPr="49E96B32" w:rsidR="32ED8F04">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 xml:space="preserve">di cautele adeguate, l’attività di indagine rischia </w:t>
      </w:r>
      <w:r w:rsidRPr="49E96B32" w:rsidR="411C9FBA">
        <w:rPr>
          <w:rFonts w:ascii="Times New Roman" w:hAnsi="Times New Roman" w:eastAsia="Times New Roman" w:cs="Times New Roman"/>
          <w:b w:val="0"/>
          <w:bCs w:val="0"/>
          <w:sz w:val="24"/>
          <w:szCs w:val="24"/>
        </w:rPr>
        <w:t>di ”inquinare</w:t>
      </w:r>
      <w:r w:rsidRPr="49E96B32" w:rsidR="411C9FBA">
        <w:rPr>
          <w:rFonts w:ascii="Times New Roman" w:hAnsi="Times New Roman" w:eastAsia="Times New Roman" w:cs="Times New Roman"/>
          <w:b w:val="0"/>
          <w:bCs w:val="0"/>
          <w:sz w:val="24"/>
          <w:szCs w:val="24"/>
        </w:rPr>
        <w:t>” irrimediabilmente la</w:t>
      </w:r>
      <w:r w:rsidRPr="49E96B32" w:rsidR="51A107F9">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fonte di prova</w:t>
      </w:r>
      <w:r w:rsidRPr="49E96B32" w:rsidR="28A6387A">
        <w:rPr>
          <w:rFonts w:ascii="Times New Roman" w:hAnsi="Times New Roman" w:eastAsia="Times New Roman" w:cs="Times New Roman"/>
          <w:b w:val="0"/>
          <w:bCs w:val="0"/>
          <w:sz w:val="24"/>
          <w:szCs w:val="24"/>
        </w:rPr>
        <w:t>.</w:t>
      </w:r>
    </w:p>
    <w:p w:rsidR="411C9FBA" w:rsidP="1E4A1C8B" w:rsidRDefault="411C9FBA" w14:paraId="0A87CA04" w14:textId="3B793DD1">
      <w:pPr>
        <w:pStyle w:val="Normal"/>
        <w:spacing w:before="0" w:beforeAutospacing="off" w:line="360" w:lineRule="auto"/>
        <w:jc w:val="both"/>
      </w:pPr>
      <w:r w:rsidRPr="67C465D3" w:rsidR="411C9FBA">
        <w:rPr>
          <w:rFonts w:ascii="Times New Roman" w:hAnsi="Times New Roman" w:eastAsia="Times New Roman" w:cs="Times New Roman"/>
          <w:b w:val="0"/>
          <w:bCs w:val="0"/>
          <w:sz w:val="24"/>
          <w:szCs w:val="24"/>
        </w:rPr>
        <w:t>Per assicurare che il dato acquisito sia una copia speculare dell’originale, la tecnica</w:t>
      </w:r>
      <w:r w:rsidRPr="67C465D3" w:rsidR="522ACFF3">
        <w:rPr>
          <w:rFonts w:ascii="Times New Roman" w:hAnsi="Times New Roman" w:eastAsia="Times New Roman" w:cs="Times New Roman"/>
          <w:b w:val="0"/>
          <w:bCs w:val="0"/>
          <w:sz w:val="24"/>
          <w:szCs w:val="24"/>
        </w:rPr>
        <w:t xml:space="preserve"> </w:t>
      </w:r>
      <w:r w:rsidRPr="67C465D3" w:rsidR="411C9FBA">
        <w:rPr>
          <w:rFonts w:ascii="Times New Roman" w:hAnsi="Times New Roman" w:eastAsia="Times New Roman" w:cs="Times New Roman"/>
          <w:b w:val="0"/>
          <w:bCs w:val="0"/>
          <w:sz w:val="24"/>
          <w:szCs w:val="24"/>
        </w:rPr>
        <w:t xml:space="preserve">forense di elezione è la creazione della </w:t>
      </w:r>
      <w:r w:rsidRPr="67C465D3" w:rsidR="411C9FBA">
        <w:rPr>
          <w:rFonts w:ascii="Times New Roman" w:hAnsi="Times New Roman" w:eastAsia="Times New Roman" w:cs="Times New Roman"/>
          <w:b w:val="0"/>
          <w:bCs w:val="0"/>
          <w:sz w:val="24"/>
          <w:szCs w:val="24"/>
        </w:rPr>
        <w:t>cosiddetta ”copia</w:t>
      </w:r>
      <w:r w:rsidRPr="67C465D3" w:rsidR="411C9FBA">
        <w:rPr>
          <w:rFonts w:ascii="Times New Roman" w:hAnsi="Times New Roman" w:eastAsia="Times New Roman" w:cs="Times New Roman"/>
          <w:b w:val="0"/>
          <w:bCs w:val="0"/>
          <w:sz w:val="24"/>
          <w:szCs w:val="24"/>
        </w:rPr>
        <w:t xml:space="preserve"> forense” o bit-stream image</w:t>
      </w:r>
      <w:r w:rsidRPr="67C465D3">
        <w:rPr>
          <w:rStyle w:val="FootnoteReference"/>
          <w:rFonts w:ascii="Times New Roman" w:hAnsi="Times New Roman" w:eastAsia="Times New Roman" w:cs="Times New Roman"/>
          <w:b w:val="0"/>
          <w:bCs w:val="0"/>
          <w:sz w:val="24"/>
          <w:szCs w:val="24"/>
        </w:rPr>
        <w:footnoteReference w:id="16925"/>
      </w:r>
      <w:r w:rsidRPr="67C465D3" w:rsidR="411C9FBA">
        <w:rPr>
          <w:rFonts w:ascii="Times New Roman" w:hAnsi="Times New Roman" w:eastAsia="Times New Roman" w:cs="Times New Roman"/>
          <w:b w:val="0"/>
          <w:bCs w:val="0"/>
          <w:sz w:val="24"/>
          <w:szCs w:val="24"/>
        </w:rPr>
        <w:t>.</w:t>
      </w:r>
      <w:r w:rsidRPr="3DD49DB7" w:rsidR="767E36D8">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A differenza di una comune copia di file — operazione logica che altera i metadati del</w:t>
      </w:r>
      <w:r w:rsidRPr="3DD49DB7" w:rsidR="445AE7CC">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sistema (come le date di ultimo accesso) — la copia forense consiste in una duplicazione</w:t>
      </w:r>
      <w:r w:rsidRPr="3DD49DB7" w:rsidR="5B294D9F">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integrale, bit dopo bit, dell’intero supporto di memoria.</w:t>
      </w:r>
      <w:r w:rsidRPr="3DD49DB7" w:rsidR="7DFB8324">
        <w:rPr>
          <w:rFonts w:ascii="Times New Roman" w:hAnsi="Times New Roman" w:eastAsia="Times New Roman" w:cs="Times New Roman"/>
          <w:b w:val="0"/>
          <w:bCs w:val="0"/>
          <w:sz w:val="24"/>
          <w:szCs w:val="24"/>
        </w:rPr>
        <w:t xml:space="preserve"> In pratica viene letto per intero e in modo sequenziale il contenuto del supporto </w:t>
      </w:r>
      <w:r w:rsidRPr="3DD49DB7" w:rsidR="2C1F605A">
        <w:rPr>
          <w:rFonts w:ascii="Times New Roman" w:hAnsi="Times New Roman" w:eastAsia="Times New Roman" w:cs="Times New Roman"/>
          <w:b w:val="0"/>
          <w:bCs w:val="0"/>
          <w:sz w:val="24"/>
          <w:szCs w:val="24"/>
        </w:rPr>
        <w:t>sorgente la cui copia viene replicata su un supporto oppure su una immagine forense</w:t>
      </w:r>
      <w:r w:rsidRPr="3DD49DB7">
        <w:rPr>
          <w:rStyle w:val="FootnoteReference"/>
          <w:rFonts w:ascii="Times New Roman" w:hAnsi="Times New Roman" w:eastAsia="Times New Roman" w:cs="Times New Roman"/>
          <w:b w:val="0"/>
          <w:bCs w:val="0"/>
          <w:sz w:val="24"/>
          <w:szCs w:val="24"/>
        </w:rPr>
        <w:footnoteReference w:id="18083"/>
      </w:r>
      <w:r w:rsidRPr="3DD49DB7" w:rsidR="4F937CC2">
        <w:rPr>
          <w:rFonts w:ascii="Times New Roman" w:hAnsi="Times New Roman" w:eastAsia="Times New Roman" w:cs="Times New Roman"/>
          <w:b w:val="0"/>
          <w:bCs w:val="0"/>
          <w:sz w:val="24"/>
          <w:szCs w:val="24"/>
        </w:rPr>
        <w:t>.</w:t>
      </w:r>
      <w:r w:rsidRPr="3DD49DB7" w:rsidR="411C9FBA">
        <w:rPr>
          <w:rFonts w:ascii="Times New Roman" w:hAnsi="Times New Roman" w:eastAsia="Times New Roman" w:cs="Times New Roman"/>
          <w:b w:val="0"/>
          <w:bCs w:val="0"/>
          <w:sz w:val="24"/>
          <w:szCs w:val="24"/>
        </w:rPr>
        <w:t xml:space="preserve"> Tale procedura permette di</w:t>
      </w:r>
      <w:r w:rsidRPr="3DD49DB7" w:rsidR="21C2CC1B">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recuperare non solo i file visibili al sistema operativo, ma anche i frammenti di dati,</w:t>
      </w:r>
      <w:r w:rsidRPr="3DD49DB7" w:rsidR="7011C245">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lo spazio non allocato (</w:t>
      </w:r>
      <w:r w:rsidRPr="3DD49DB7" w:rsidR="411C9FBA">
        <w:rPr>
          <w:rFonts w:ascii="Times New Roman" w:hAnsi="Times New Roman" w:eastAsia="Times New Roman" w:cs="Times New Roman"/>
          <w:b w:val="0"/>
          <w:bCs w:val="0"/>
          <w:sz w:val="24"/>
          <w:szCs w:val="24"/>
        </w:rPr>
        <w:t>unallocated</w:t>
      </w:r>
      <w:r w:rsidRPr="3DD49DB7" w:rsidR="411C9FBA">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space</w:t>
      </w:r>
      <w:r w:rsidRPr="3DD49DB7" w:rsidR="411C9FBA">
        <w:rPr>
          <w:rFonts w:ascii="Times New Roman" w:hAnsi="Times New Roman" w:eastAsia="Times New Roman" w:cs="Times New Roman"/>
          <w:b w:val="0"/>
          <w:bCs w:val="0"/>
          <w:sz w:val="24"/>
          <w:szCs w:val="24"/>
        </w:rPr>
        <w:t xml:space="preserve">) e lo </w:t>
      </w:r>
      <w:r w:rsidRPr="3DD49DB7" w:rsidR="411C9FBA">
        <w:rPr>
          <w:rFonts w:ascii="Times New Roman" w:hAnsi="Times New Roman" w:eastAsia="Times New Roman" w:cs="Times New Roman"/>
          <w:b w:val="0"/>
          <w:bCs w:val="0"/>
          <w:sz w:val="24"/>
          <w:szCs w:val="24"/>
        </w:rPr>
        <w:t>slack</w:t>
      </w:r>
      <w:r w:rsidRPr="3DD49DB7" w:rsidR="411C9FBA">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space</w:t>
      </w:r>
      <w:r w:rsidRPr="3DD49DB7" w:rsidR="411C9FBA">
        <w:rPr>
          <w:rFonts w:ascii="Times New Roman" w:hAnsi="Times New Roman" w:eastAsia="Times New Roman" w:cs="Times New Roman"/>
          <w:b w:val="0"/>
          <w:bCs w:val="0"/>
          <w:sz w:val="24"/>
          <w:szCs w:val="24"/>
        </w:rPr>
        <w:t>, aree in cui spesso risiedono</w:t>
      </w:r>
      <w:r w:rsidRPr="3DD49DB7" w:rsidR="74871E68">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informazioni cancellate dall’utente ma non ancora sovrascritte</w:t>
      </w:r>
      <w:r w:rsidRPr="3DD49DB7">
        <w:rPr>
          <w:rStyle w:val="FootnoteReference"/>
          <w:rFonts w:ascii="Times New Roman" w:hAnsi="Times New Roman" w:eastAsia="Times New Roman" w:cs="Times New Roman"/>
          <w:b w:val="0"/>
          <w:bCs w:val="0"/>
          <w:sz w:val="24"/>
          <w:szCs w:val="24"/>
        </w:rPr>
        <w:footnoteReference w:id="22918"/>
      </w:r>
      <w:r w:rsidRPr="3DD49DB7" w:rsidR="411C9FBA">
        <w:rPr>
          <w:rFonts w:ascii="Times New Roman" w:hAnsi="Times New Roman" w:eastAsia="Times New Roman" w:cs="Times New Roman"/>
          <w:b w:val="0"/>
          <w:bCs w:val="0"/>
          <w:sz w:val="24"/>
          <w:szCs w:val="24"/>
        </w:rPr>
        <w:t>.</w:t>
      </w:r>
      <w:r w:rsidRPr="3DD49DB7" w:rsidR="76DCF7B2">
        <w:rPr>
          <w:rFonts w:ascii="Times New Roman" w:hAnsi="Times New Roman" w:eastAsia="Times New Roman" w:cs="Times New Roman"/>
          <w:b w:val="0"/>
          <w:bCs w:val="0"/>
          <w:sz w:val="24"/>
          <w:szCs w:val="24"/>
        </w:rPr>
        <w:t xml:space="preserve"> </w:t>
      </w:r>
    </w:p>
    <w:p w:rsidR="411C9FBA" w:rsidP="1E4A1C8B" w:rsidRDefault="411C9FBA" w14:paraId="6B7E9F8E" w14:textId="1F746482">
      <w:pPr>
        <w:pStyle w:val="Normal"/>
        <w:spacing w:before="0" w:beforeAutospacing="off" w:line="360" w:lineRule="auto"/>
        <w:jc w:val="both"/>
      </w:pPr>
      <w:r w:rsidRPr="3DD49DB7" w:rsidR="76DCF7B2">
        <w:rPr>
          <w:rFonts w:ascii="Times New Roman" w:hAnsi="Times New Roman" w:eastAsia="Times New Roman" w:cs="Times New Roman"/>
          <w:b w:val="0"/>
          <w:bCs w:val="0"/>
          <w:sz w:val="24"/>
          <w:szCs w:val="24"/>
        </w:rPr>
        <w:t>Nella fase di acquisizione della prova informatica risulta essenziale predisporre una relazione tecnica, al fine di permettere alle parti e al giudice di valutare i profili di ammissibilità, utilizzabilità e attendibilità del materiale raccolto. In un’ottica de iure condendo, si potrebbe ritenere opportuno introdurre un obbligo formale di verbalizzazione, la cui omissione comporti l’inutilizzabilità della prova documentale informatica.</w:t>
      </w:r>
    </w:p>
    <w:p w:rsidR="411C9FBA" w:rsidP="1E4A1C8B" w:rsidRDefault="411C9FBA" w14:paraId="27679CA3" w14:textId="2E28B52A">
      <w:pPr>
        <w:pStyle w:val="Normal"/>
        <w:spacing w:before="0" w:beforeAutospacing="off" w:line="360" w:lineRule="auto"/>
        <w:jc w:val="both"/>
      </w:pPr>
      <w:r w:rsidRPr="3DD49DB7" w:rsidR="76DCF7B2">
        <w:rPr>
          <w:rFonts w:ascii="Times New Roman" w:hAnsi="Times New Roman" w:eastAsia="Times New Roman" w:cs="Times New Roman"/>
          <w:b w:val="0"/>
          <w:bCs w:val="0"/>
          <w:sz w:val="24"/>
          <w:szCs w:val="24"/>
        </w:rPr>
        <w:t>Il verbale dovrebbe contenere una descrizione dettagliata delle operazioni compiute, tra cui il recupero del supporto digitale e le attività di analisi dei dati, lo stato del dispositivo al momento dell’intervento, l’indicazione della data e dell’orario di inizio e conclusione delle operazioni, nonché l’identificazione dei soggetti che vi hanno partecipato.</w:t>
      </w:r>
    </w:p>
    <w:p w:rsidR="411C9FBA" w:rsidP="1E4A1C8B" w:rsidRDefault="411C9FBA" w14:paraId="5346429A" w14:textId="23E4C060">
      <w:pPr>
        <w:pStyle w:val="Normal"/>
        <w:spacing w:before="0" w:beforeAutospacing="off" w:line="360" w:lineRule="auto"/>
        <w:jc w:val="both"/>
      </w:pPr>
      <w:r w:rsidRPr="3DD49DB7" w:rsidR="76DCF7B2">
        <w:rPr>
          <w:rFonts w:ascii="Times New Roman" w:hAnsi="Times New Roman" w:eastAsia="Times New Roman" w:cs="Times New Roman"/>
          <w:b w:val="0"/>
          <w:bCs w:val="0"/>
          <w:sz w:val="24"/>
          <w:szCs w:val="24"/>
        </w:rPr>
        <w:t>Un simile adempimento risponderebbe all’esigenza di garantire un controllo successivo sull’attività investigativa, sia da parte della difesa sia del giudice. In tale prospettiva, la difesa potrebbe avvalersi di un consulente tecnico oppure richiedere una perizia, al fine di verificare che le modalità di acquisizione e analisi non abbiano determinato alterazioni o compromissioni dei dati. Eventuali modifiche, infatti, inciderebbero negativamente sulla valutazione probatoria, mettendone a rischio l’affidabilità.</w:t>
      </w:r>
    </w:p>
    <w:p w:rsidR="411C9FBA" w:rsidP="1E4A1C8B" w:rsidRDefault="411C9FBA" w14:paraId="376B3E64" w14:textId="22C79091">
      <w:pPr>
        <w:pStyle w:val="Normal"/>
        <w:spacing w:before="0" w:beforeAutospacing="off" w:line="360" w:lineRule="auto"/>
        <w:jc w:val="both"/>
      </w:pPr>
      <w:r w:rsidRPr="3DD49DB7" w:rsidR="76DCF7B2">
        <w:rPr>
          <w:rFonts w:ascii="Times New Roman" w:hAnsi="Times New Roman" w:eastAsia="Times New Roman" w:cs="Times New Roman"/>
          <w:b w:val="0"/>
          <w:bCs w:val="0"/>
          <w:sz w:val="24"/>
          <w:szCs w:val="24"/>
        </w:rPr>
        <w:t>Dal canto suo, anche il giudice può disporre una perizia d’ufficio ai sensi dell’art. 507 c.p.p., al fine di accertare la correttezza delle operazioni svolte.</w:t>
      </w:r>
    </w:p>
    <w:p w:rsidR="411C9FBA" w:rsidP="3DD49DB7" w:rsidRDefault="411C9FBA" w14:paraId="585D480F" w14:textId="07CE80A8">
      <w:pPr>
        <w:pStyle w:val="Normal"/>
        <w:spacing w:before="0" w:beforeAutospacing="off" w:after="240" w:afterAutospacing="off" w:line="360" w:lineRule="auto"/>
        <w:jc w:val="both"/>
      </w:pPr>
      <w:r w:rsidRPr="3DD49DB7" w:rsidR="411C9FBA">
        <w:rPr>
          <w:rFonts w:ascii="Times New Roman" w:hAnsi="Times New Roman" w:eastAsia="Times New Roman" w:cs="Times New Roman"/>
          <w:b w:val="0"/>
          <w:bCs w:val="0"/>
          <w:sz w:val="24"/>
          <w:szCs w:val="24"/>
        </w:rPr>
        <w:t>L’art. 260 c.p.p., comma 2, come riformato dalla novella del 2008, recepisce questo</w:t>
      </w:r>
      <w:r w:rsidRPr="3DD49DB7" w:rsidR="50026BBD">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imperativo tecnico disponendo che, in caso di sequestro di dati informatici, la copia</w:t>
      </w:r>
      <w:r w:rsidRPr="3DD49DB7" w:rsidR="499FE1F2">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 xml:space="preserve">debba essere </w:t>
      </w:r>
      <w:r w:rsidRPr="3DD49DB7" w:rsidR="4776528C">
        <w:rPr>
          <w:rFonts w:ascii="Times New Roman" w:hAnsi="Times New Roman" w:eastAsia="Times New Roman" w:cs="Times New Roman"/>
          <w:b w:val="0"/>
          <w:bCs w:val="0"/>
          <w:sz w:val="24"/>
          <w:szCs w:val="24"/>
        </w:rPr>
        <w:t>realizzata” su</w:t>
      </w:r>
      <w:r w:rsidRPr="3DD49DB7" w:rsidR="411C9FBA">
        <w:rPr>
          <w:rFonts w:ascii="Times New Roman" w:hAnsi="Times New Roman" w:eastAsia="Times New Roman" w:cs="Times New Roman"/>
          <w:b w:val="0"/>
          <w:bCs w:val="0"/>
          <w:sz w:val="24"/>
          <w:szCs w:val="24"/>
        </w:rPr>
        <w:t xml:space="preserve"> adeguati supporti, mediante una procedura che assicuri la</w:t>
      </w:r>
      <w:r w:rsidRPr="3DD49DB7" w:rsidR="29DF1223">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conformità della copia all’originale e la sua immodificabilità”. Lo strumento matematico</w:t>
      </w:r>
      <w:r w:rsidRPr="3DD49DB7" w:rsidR="0A0DBD0D">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 xml:space="preserve">che garantisce tale conformità è la funzione di </w:t>
      </w:r>
      <w:r w:rsidRPr="3DD49DB7" w:rsidR="411C9FBA">
        <w:rPr>
          <w:rFonts w:ascii="Times New Roman" w:hAnsi="Times New Roman" w:eastAsia="Times New Roman" w:cs="Times New Roman"/>
          <w:b w:val="0"/>
          <w:bCs w:val="0"/>
          <w:sz w:val="24"/>
          <w:szCs w:val="24"/>
        </w:rPr>
        <w:t>hashing</w:t>
      </w:r>
      <w:r w:rsidRPr="3DD49DB7" w:rsidR="411C9FBA">
        <w:rPr>
          <w:rFonts w:ascii="Times New Roman" w:hAnsi="Times New Roman" w:eastAsia="Times New Roman" w:cs="Times New Roman"/>
          <w:b w:val="0"/>
          <w:bCs w:val="0"/>
          <w:sz w:val="24"/>
          <w:szCs w:val="24"/>
        </w:rPr>
        <w:t xml:space="preserve">. </w:t>
      </w:r>
      <w:r w:rsidRPr="3DD49DB7" w:rsidR="41264145">
        <w:rPr>
          <w:rFonts w:ascii="Times New Roman" w:hAnsi="Times New Roman" w:eastAsia="Times New Roman" w:cs="Times New Roman"/>
          <w:noProof w:val="0"/>
          <w:sz w:val="24"/>
          <w:szCs w:val="24"/>
          <w:lang w:val="it-IT"/>
        </w:rPr>
        <w:t>L’hash rappresenta lo strumento tecnico attraverso cui si dà concreta attuazione ai principi di integrità della prova digitale: il suo calcolo al momento dell’acquisizione consente di “fissare” lo stato del reperto, offrendo una garanzia matematica dell’assenza di modifiche nelle successive fasi di analisi e consultazione.</w:t>
      </w:r>
    </w:p>
    <w:p w:rsidR="411C9FBA" w:rsidP="3DD49DB7" w:rsidRDefault="411C9FBA" w14:paraId="2B193366" w14:textId="0A4638FC">
      <w:pPr>
        <w:spacing w:before="240" w:beforeAutospacing="off" w:after="240" w:afterAutospacing="off" w:line="360" w:lineRule="auto"/>
        <w:jc w:val="both"/>
      </w:pPr>
      <w:r w:rsidRPr="3DD49DB7" w:rsidR="41264145">
        <w:rPr>
          <w:rFonts w:ascii="Times New Roman" w:hAnsi="Times New Roman" w:eastAsia="Times New Roman" w:cs="Times New Roman"/>
          <w:noProof w:val="0"/>
          <w:sz w:val="24"/>
          <w:szCs w:val="24"/>
          <w:lang w:val="it-IT"/>
        </w:rPr>
        <w:t>Su tale presupposto si fonda la procedura standard di acquisizione forense dei dati digitali, che si articola secondo una sequenza logica basata sull’impiego dell’hash:</w:t>
      </w:r>
    </w:p>
    <w:p w:rsidR="411C9FBA" w:rsidP="3DD49DB7" w:rsidRDefault="411C9FBA" w14:paraId="3F5469F9" w14:textId="71BB53E6">
      <w:pPr>
        <w:pStyle w:val="ListParagraph"/>
        <w:numPr>
          <w:ilvl w:val="0"/>
          <w:numId w:val="7"/>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41264145">
        <w:rPr>
          <w:rFonts w:ascii="Times New Roman" w:hAnsi="Times New Roman" w:eastAsia="Times New Roman" w:cs="Times New Roman"/>
          <w:noProof w:val="0"/>
          <w:sz w:val="24"/>
          <w:szCs w:val="24"/>
          <w:lang w:val="it-IT"/>
        </w:rPr>
        <w:t>acquisizione del dato digitale;</w:t>
      </w:r>
    </w:p>
    <w:p w:rsidR="411C9FBA" w:rsidP="3DD49DB7" w:rsidRDefault="411C9FBA" w14:paraId="6CB6347C" w14:textId="2F2AB445">
      <w:pPr>
        <w:pStyle w:val="ListParagraph"/>
        <w:numPr>
          <w:ilvl w:val="0"/>
          <w:numId w:val="7"/>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41264145">
        <w:rPr>
          <w:rFonts w:ascii="Times New Roman" w:hAnsi="Times New Roman" w:eastAsia="Times New Roman" w:cs="Times New Roman"/>
          <w:noProof w:val="0"/>
          <w:sz w:val="24"/>
          <w:szCs w:val="24"/>
          <w:lang w:val="it-IT"/>
        </w:rPr>
        <w:t>generazione dell’hash: nella maggior parte degli strumenti di digital forensics, questa operazione avviene contestualmente all’acquisizione, sfruttando il flusso di dati in ingresso. Qualora il software utilizzato non consenta il calcolo simultaneo, i dati acquisiti vengono salvati in un contenitore logico (ad esempio un archivio compresso), sul quale viene successivamente calcolato l’hash, in conformità allo standard ISO/IEC 27037;</w:t>
      </w:r>
    </w:p>
    <w:p w:rsidR="411C9FBA" w:rsidP="3DD49DB7" w:rsidRDefault="411C9FBA" w14:paraId="25F3A238" w14:textId="0A99CBEE">
      <w:pPr>
        <w:pStyle w:val="ListParagraph"/>
        <w:numPr>
          <w:ilvl w:val="0"/>
          <w:numId w:val="7"/>
        </w:numPr>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41264145">
        <w:rPr>
          <w:rFonts w:ascii="Times New Roman" w:hAnsi="Times New Roman" w:eastAsia="Times New Roman" w:cs="Times New Roman"/>
          <w:noProof w:val="0"/>
          <w:sz w:val="24"/>
          <w:szCs w:val="24"/>
          <w:lang w:val="it-IT"/>
        </w:rPr>
        <w:t>verifica dell’hash: i software che supportano il calcolo in tempo reale consentono normalmente anche la verifica della copia forense. Al termine del processo, la copia viene riletta e sottoposta a un nuovo calcolo dell’hash, che viene confrontato con quello originariamente generato durante l’acquisizione. La coincidenza tra i due valori attesta la conformità della copia al dato originario, determinandone la validazione. Il valore hash così ottenuto viene poi riportato nella relazione tecnica e assume la funzione di identificativo univoco della prova.</w:t>
      </w:r>
    </w:p>
    <w:p w:rsidR="411C9FBA" w:rsidP="3DD49DB7" w:rsidRDefault="411C9FBA" w14:paraId="5E590F04" w14:textId="3181C3B6">
      <w:pPr>
        <w:spacing w:before="240" w:beforeAutospacing="off" w:after="240" w:afterAutospacing="off" w:line="360" w:lineRule="auto"/>
        <w:jc w:val="both"/>
      </w:pPr>
      <w:r w:rsidRPr="3DD49DB7" w:rsidR="41264145">
        <w:rPr>
          <w:rFonts w:ascii="Times New Roman" w:hAnsi="Times New Roman" w:eastAsia="Times New Roman" w:cs="Times New Roman"/>
          <w:noProof w:val="0"/>
          <w:sz w:val="24"/>
          <w:szCs w:val="24"/>
          <w:lang w:val="it-IT"/>
        </w:rPr>
        <w:t>Attraverso questo procedimento si assicura, pertanto, sia l’unicità sia l’affidabilità della copia digitale, in linea con i requisiti richiesti ai fini della sua utilizzabilità in sede processuale.</w:t>
      </w:r>
    </w:p>
    <w:p w:rsidR="411C9FBA" w:rsidP="3DD49DB7" w:rsidRDefault="411C9FBA" w14:paraId="53A361A2" w14:textId="0509F8E1">
      <w:pPr>
        <w:pStyle w:val="Normal"/>
        <w:suppressLineNumbers w:val="0"/>
        <w:bidi w:val="0"/>
        <w:spacing w:before="0" w:beforeAutospacing="off" w:after="160" w:afterAutospacing="off" w:line="360" w:lineRule="auto"/>
        <w:ind w:left="0" w:right="0"/>
        <w:jc w:val="both"/>
      </w:pPr>
      <w:r w:rsidRPr="3DD49DB7" w:rsidR="05C40C2F">
        <w:rPr>
          <w:rFonts w:ascii="Times New Roman" w:hAnsi="Times New Roman" w:eastAsia="Times New Roman" w:cs="Times New Roman"/>
          <w:b w:val="0"/>
          <w:bCs w:val="0"/>
          <w:sz w:val="24"/>
          <w:szCs w:val="24"/>
        </w:rPr>
        <w:t>L</w:t>
      </w:r>
      <w:r w:rsidRPr="3DD49DB7" w:rsidR="411C9FBA">
        <w:rPr>
          <w:rFonts w:ascii="Times New Roman" w:hAnsi="Times New Roman" w:eastAsia="Times New Roman" w:cs="Times New Roman"/>
          <w:b w:val="0"/>
          <w:bCs w:val="0"/>
          <w:sz w:val="24"/>
          <w:szCs w:val="24"/>
        </w:rPr>
        <w:t>’attività acquisitiva deve necessariamente adattarsi allo stato tecnologico</w:t>
      </w:r>
      <w:r w:rsidRPr="3DD49DB7" w:rsidR="11F724EF">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del dispositivo. La prassi distingue tra acquisizione post-</w:t>
      </w:r>
      <w:r w:rsidRPr="3DD49DB7" w:rsidR="411C9FBA">
        <w:rPr>
          <w:rFonts w:ascii="Times New Roman" w:hAnsi="Times New Roman" w:eastAsia="Times New Roman" w:cs="Times New Roman"/>
          <w:b w:val="0"/>
          <w:bCs w:val="0"/>
          <w:sz w:val="24"/>
          <w:szCs w:val="24"/>
        </w:rPr>
        <w:t>mortem</w:t>
      </w:r>
      <w:r w:rsidRPr="3DD49DB7" w:rsidR="411C9FBA">
        <w:rPr>
          <w:rFonts w:ascii="Times New Roman" w:hAnsi="Times New Roman" w:eastAsia="Times New Roman" w:cs="Times New Roman"/>
          <w:b w:val="0"/>
          <w:bCs w:val="0"/>
          <w:sz w:val="24"/>
          <w:szCs w:val="24"/>
        </w:rPr>
        <w:t xml:space="preserve"> (o statica), eseguita</w:t>
      </w:r>
      <w:r w:rsidRPr="3DD49DB7" w:rsidR="2F1CA7FC">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su dispositivi spenti, e acquisizione live (o dinamica). Quest’ultima si rende necessaria</w:t>
      </w:r>
      <w:r w:rsidRPr="3DD49DB7" w:rsidR="57ECAF46">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quando i dati risied</w:t>
      </w:r>
      <w:r w:rsidRPr="3DD49DB7" w:rsidR="1C4969F8">
        <w:rPr>
          <w:rFonts w:ascii="Times New Roman" w:hAnsi="Times New Roman" w:eastAsia="Times New Roman" w:cs="Times New Roman"/>
          <w:b w:val="0"/>
          <w:bCs w:val="0"/>
          <w:sz w:val="24"/>
          <w:szCs w:val="24"/>
        </w:rPr>
        <w:t>o</w:t>
      </w:r>
      <w:r w:rsidRPr="3DD49DB7" w:rsidR="411C9FBA">
        <w:rPr>
          <w:rFonts w:ascii="Times New Roman" w:hAnsi="Times New Roman" w:eastAsia="Times New Roman" w:cs="Times New Roman"/>
          <w:b w:val="0"/>
          <w:bCs w:val="0"/>
          <w:sz w:val="24"/>
          <w:szCs w:val="24"/>
        </w:rPr>
        <w:t>no nella memoria volatile (RAM), in ambienti cloud o su disposi</w:t>
      </w:r>
      <w:r w:rsidRPr="3DD49DB7" w:rsidR="411C9FBA">
        <w:rPr>
          <w:rFonts w:ascii="Times New Roman" w:hAnsi="Times New Roman" w:eastAsia="Times New Roman" w:cs="Times New Roman"/>
          <w:b w:val="0"/>
          <w:bCs w:val="0"/>
          <w:sz w:val="24"/>
          <w:szCs w:val="24"/>
        </w:rPr>
        <w:t>tivi</w:t>
      </w:r>
      <w:r w:rsidRPr="3DD49DB7" w:rsidR="411C9FBA">
        <w:rPr>
          <w:rFonts w:ascii="Times New Roman" w:hAnsi="Times New Roman" w:eastAsia="Times New Roman" w:cs="Times New Roman"/>
          <w:b w:val="0"/>
          <w:bCs w:val="0"/>
          <w:sz w:val="24"/>
          <w:szCs w:val="24"/>
        </w:rPr>
        <w:t xml:space="preserve"> mobili moderni dotati di crittografia hardware. Se l’acquisizione statica permette</w:t>
      </w:r>
      <w:r w:rsidRPr="3DD49DB7" w:rsidR="71B7D737">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la ripetibilità dell’accertamento, l’acquisizione live comporta un’interazione inevitabile</w:t>
      </w:r>
      <w:r w:rsidRPr="3DD49DB7" w:rsidR="7E8FD5B3">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con il sistema operativo, modificandone lo stato interno. Tale circostanza trasla l’ope</w:t>
      </w:r>
      <w:r w:rsidRPr="3DD49DB7" w:rsidR="411C9FBA">
        <w:rPr>
          <w:rFonts w:ascii="Times New Roman" w:hAnsi="Times New Roman" w:eastAsia="Times New Roman" w:cs="Times New Roman"/>
          <w:b w:val="0"/>
          <w:bCs w:val="0"/>
          <w:sz w:val="24"/>
          <w:szCs w:val="24"/>
        </w:rPr>
        <w:t>razione tecnica nell’alveo degli accertamenti irripetibili ex art. 360 c.p.p., imponendo</w:t>
      </w:r>
      <w:r w:rsidRPr="3DD49DB7" w:rsidR="06CAB532">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 xml:space="preserve">il rispetto rigoroso delle garanzie difensive e del contraddittorio sin dalla fase </w:t>
      </w:r>
      <w:r w:rsidRPr="3DD49DB7" w:rsidR="411C9FBA">
        <w:rPr>
          <w:rFonts w:ascii="Times New Roman" w:hAnsi="Times New Roman" w:eastAsia="Times New Roman" w:cs="Times New Roman"/>
          <w:b w:val="0"/>
          <w:bCs w:val="0"/>
          <w:sz w:val="24"/>
          <w:szCs w:val="24"/>
        </w:rPr>
        <w:t>delle</w:t>
      </w:r>
      <w:r w:rsidRPr="3DD49DB7" w:rsidR="3BB2642E">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indagini</w:t>
      </w:r>
      <w:r w:rsidRPr="3DD49DB7" w:rsidR="411C9FBA">
        <w:rPr>
          <w:rFonts w:ascii="Times New Roman" w:hAnsi="Times New Roman" w:eastAsia="Times New Roman" w:cs="Times New Roman"/>
          <w:b w:val="0"/>
          <w:bCs w:val="0"/>
          <w:sz w:val="24"/>
          <w:szCs w:val="24"/>
        </w:rPr>
        <w:t xml:space="preserve"> preli</w:t>
      </w:r>
      <w:r w:rsidRPr="3DD49DB7" w:rsidR="21973173">
        <w:rPr>
          <w:rFonts w:ascii="Times New Roman" w:hAnsi="Times New Roman" w:eastAsia="Times New Roman" w:cs="Times New Roman"/>
          <w:b w:val="0"/>
          <w:bCs w:val="0"/>
          <w:sz w:val="24"/>
          <w:szCs w:val="24"/>
        </w:rPr>
        <w:t>minari.</w:t>
      </w:r>
      <w:r w:rsidRPr="3DD49DB7" w:rsidR="1C822F00">
        <w:rPr>
          <w:rFonts w:ascii="Times New Roman" w:hAnsi="Times New Roman" w:eastAsia="Times New Roman" w:cs="Times New Roman"/>
          <w:b w:val="0"/>
          <w:bCs w:val="0"/>
          <w:sz w:val="24"/>
          <w:szCs w:val="24"/>
        </w:rPr>
        <w:t xml:space="preserve"> </w:t>
      </w:r>
    </w:p>
    <w:p w:rsidR="13760F76" w:rsidP="3DD49DB7" w:rsidRDefault="13760F76" w14:paraId="1DB5321D" w14:textId="28D557A5">
      <w:pPr>
        <w:bidi w:val="0"/>
        <w:spacing w:before="0" w:beforeAutospacing="off" w:after="240" w:afterAutospacing="off" w:line="360" w:lineRule="auto"/>
        <w:jc w:val="both"/>
      </w:pPr>
      <w:r w:rsidRPr="3DD49DB7" w:rsidR="13760F76">
        <w:rPr>
          <w:rFonts w:ascii="Times New Roman" w:hAnsi="Times New Roman" w:eastAsia="Times New Roman" w:cs="Times New Roman"/>
          <w:noProof w:val="0"/>
          <w:sz w:val="24"/>
          <w:szCs w:val="24"/>
          <w:lang w:val="it-IT"/>
        </w:rPr>
        <w:t>L’evoluzione giurisprudenziale, unita al significativo incremento delle capacità di memorizzazione dei dispositivi digitali, ha condotto alla distinzione, sia sul piano teorico sia operativo, tra “copia mezzo” e “copia fine”. In questo contesto, l’hash svolge una funzione di collegamento essenziale tra le due, assicurando la tracciabilità e la coerenza della prova.</w:t>
      </w:r>
    </w:p>
    <w:p w:rsidR="13760F76" w:rsidP="3DD49DB7" w:rsidRDefault="13760F76" w14:paraId="790428D5" w14:textId="7E98E0C7">
      <w:pPr>
        <w:bidi w:val="0"/>
        <w:spacing w:before="240" w:beforeAutospacing="off" w:after="240" w:afterAutospacing="off" w:line="360" w:lineRule="auto"/>
        <w:jc w:val="both"/>
      </w:pPr>
      <w:r w:rsidRPr="3DD49DB7" w:rsidR="13760F76">
        <w:rPr>
          <w:rFonts w:ascii="Times New Roman" w:hAnsi="Times New Roman" w:eastAsia="Times New Roman" w:cs="Times New Roman"/>
          <w:noProof w:val="0"/>
          <w:sz w:val="24"/>
          <w:szCs w:val="24"/>
          <w:lang w:val="it-IT"/>
        </w:rPr>
        <w:t>La copia mezzo consiste nella duplicazione forense integrale del supporto acquisito — che può essere, ad esempio, uno smartphone, un computer o uno spazio di archiviazione cloud — e rappresenta lo strumento attraverso cui si procede alla ricerca degli elementi rilevanti.</w:t>
      </w:r>
      <w:r w:rsidRPr="3DD49DB7">
        <w:rPr>
          <w:rStyle w:val="FootnoteReference"/>
          <w:rFonts w:ascii="Times New Roman" w:hAnsi="Times New Roman" w:eastAsia="Times New Roman" w:cs="Times New Roman"/>
          <w:noProof w:val="0"/>
          <w:sz w:val="24"/>
          <w:szCs w:val="24"/>
          <w:lang w:val="it-IT"/>
        </w:rPr>
        <w:footnoteReference w:id="27159"/>
      </w:r>
      <w:r w:rsidRPr="3DD49DB7" w:rsidR="5ABDCE2B">
        <w:rPr>
          <w:rFonts w:ascii="Times New Roman" w:hAnsi="Times New Roman" w:eastAsia="Times New Roman" w:cs="Times New Roman"/>
          <w:noProof w:val="0"/>
          <w:sz w:val="24"/>
          <w:szCs w:val="24"/>
          <w:lang w:val="it-IT"/>
        </w:rPr>
        <w:t xml:space="preserve"> </w:t>
      </w:r>
      <w:r w:rsidRPr="3DD49DB7" w:rsidR="13760F76">
        <w:rPr>
          <w:rFonts w:ascii="Times New Roman" w:hAnsi="Times New Roman" w:eastAsia="Times New Roman" w:cs="Times New Roman"/>
          <w:noProof w:val="0"/>
          <w:sz w:val="24"/>
          <w:szCs w:val="24"/>
          <w:lang w:val="it-IT"/>
        </w:rPr>
        <w:t xml:space="preserve"> Essa, tuttavia, non coincide necessariamente con la prova in senso stretto, poiché include una grande quantità di dati privi di interesse investigativo, come componenti del sistema operativo, software leciti o informazioni personali non pertinenti ai fatti oggetto di indagine e spesso meritevoli di tutela sotto il profilo della riservatezza.</w:t>
      </w:r>
    </w:p>
    <w:p w:rsidR="13760F76" w:rsidP="3DD49DB7" w:rsidRDefault="13760F76" w14:paraId="693D7A42" w14:textId="479AEA2B">
      <w:pPr>
        <w:bidi w:val="0"/>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13760F76">
        <w:rPr>
          <w:rFonts w:ascii="Times New Roman" w:hAnsi="Times New Roman" w:eastAsia="Times New Roman" w:cs="Times New Roman"/>
          <w:noProof w:val="0"/>
          <w:sz w:val="24"/>
          <w:szCs w:val="24"/>
          <w:lang w:val="it-IT"/>
        </w:rPr>
        <w:t>Proprio per evitare un utilizzo indiscriminato di tali informazioni, si ricorre alla cosiddetta copia fine, che è costituita da una selezione mirata dei dati ritenuti rilevanti ai fini probatori. Tali elementi vengono estratti dalla copia mezzo e destinati all’utilizzo nel processo, limitando così l’esposizione di dati estranei o sensibili.</w:t>
      </w:r>
      <w:r w:rsidRPr="3DD49DB7">
        <w:rPr>
          <w:rStyle w:val="FootnoteReference"/>
          <w:rFonts w:ascii="Times New Roman" w:hAnsi="Times New Roman" w:eastAsia="Times New Roman" w:cs="Times New Roman"/>
          <w:noProof w:val="0"/>
          <w:sz w:val="24"/>
          <w:szCs w:val="24"/>
          <w:lang w:val="it-IT"/>
        </w:rPr>
        <w:footnoteReference w:id="26680"/>
      </w:r>
    </w:p>
    <w:p w:rsidR="13760F76" w:rsidP="3DD49DB7" w:rsidRDefault="13760F76" w14:paraId="1D9BB8C5" w14:textId="3A1A694E">
      <w:pPr>
        <w:bidi w:val="0"/>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13760F76">
        <w:rPr>
          <w:rFonts w:ascii="Times New Roman" w:hAnsi="Times New Roman" w:eastAsia="Times New Roman" w:cs="Times New Roman"/>
          <w:noProof w:val="0"/>
          <w:sz w:val="24"/>
          <w:szCs w:val="24"/>
          <w:lang w:val="it-IT"/>
        </w:rPr>
        <w:t xml:space="preserve">In questo passaggio selettivo, </w:t>
      </w:r>
      <w:r w:rsidRPr="3DD49DB7" w:rsidR="13760F76">
        <w:rPr>
          <w:rFonts w:ascii="Times New Roman" w:hAnsi="Times New Roman" w:eastAsia="Times New Roman" w:cs="Times New Roman"/>
          <w:noProof w:val="0"/>
          <w:sz w:val="24"/>
          <w:szCs w:val="24"/>
          <w:lang w:val="it-IT"/>
        </w:rPr>
        <w:t>l’hash</w:t>
      </w:r>
      <w:r w:rsidRPr="3DD49DB7" w:rsidR="13760F76">
        <w:rPr>
          <w:rFonts w:ascii="Times New Roman" w:hAnsi="Times New Roman" w:eastAsia="Times New Roman" w:cs="Times New Roman"/>
          <w:noProof w:val="0"/>
          <w:sz w:val="24"/>
          <w:szCs w:val="24"/>
          <w:lang w:val="it-IT"/>
        </w:rPr>
        <w:t xml:space="preserve"> assume un ruolo determinante quale strumento di verifica dell’autenticità derivata. Quando un dato viene prelevato dalla copia mezzo e trasferito nella copia fine, occorre dimostrare che esso non abbia subito modifiche e che non sia stato artificiosamente creato. Tale accertamento avviene mediante il confronto dei valori </w:t>
      </w:r>
      <w:r w:rsidRPr="3DD49DB7" w:rsidR="13760F76">
        <w:rPr>
          <w:rFonts w:ascii="Times New Roman" w:hAnsi="Times New Roman" w:eastAsia="Times New Roman" w:cs="Times New Roman"/>
          <w:noProof w:val="0"/>
          <w:sz w:val="24"/>
          <w:szCs w:val="24"/>
          <w:lang w:val="it-IT"/>
        </w:rPr>
        <w:t>hash</w:t>
      </w:r>
      <w:r w:rsidRPr="3DD49DB7" w:rsidR="13760F76">
        <w:rPr>
          <w:rFonts w:ascii="Times New Roman" w:hAnsi="Times New Roman" w:eastAsia="Times New Roman" w:cs="Times New Roman"/>
          <w:noProof w:val="0"/>
          <w:sz w:val="24"/>
          <w:szCs w:val="24"/>
          <w:lang w:val="it-IT"/>
        </w:rPr>
        <w:t xml:space="preserve">: la coincidenza tra </w:t>
      </w:r>
      <w:r w:rsidRPr="3DD49DB7" w:rsidR="13760F76">
        <w:rPr>
          <w:rFonts w:ascii="Times New Roman" w:hAnsi="Times New Roman" w:eastAsia="Times New Roman" w:cs="Times New Roman"/>
          <w:noProof w:val="0"/>
          <w:sz w:val="24"/>
          <w:szCs w:val="24"/>
          <w:lang w:val="it-IT"/>
        </w:rPr>
        <w:t>l’hash</w:t>
      </w:r>
      <w:r w:rsidRPr="3DD49DB7" w:rsidR="13760F76">
        <w:rPr>
          <w:rFonts w:ascii="Times New Roman" w:hAnsi="Times New Roman" w:eastAsia="Times New Roman" w:cs="Times New Roman"/>
          <w:noProof w:val="0"/>
          <w:sz w:val="24"/>
          <w:szCs w:val="24"/>
          <w:lang w:val="it-IT"/>
        </w:rPr>
        <w:t xml:space="preserve"> del dato nella copia fine e quello corrispondente nella copia mezzo consente di attestare l’integrità e l’autenticità del contenuto. In questo modo, si realizza un collegamento certo tra il singolo elemento probatorio e il supporto originario da cui esso proviene.</w:t>
      </w:r>
      <w:r w:rsidRPr="3DD49DB7">
        <w:rPr>
          <w:rStyle w:val="FootnoteReference"/>
          <w:rFonts w:ascii="Times New Roman" w:hAnsi="Times New Roman" w:eastAsia="Times New Roman" w:cs="Times New Roman"/>
          <w:noProof w:val="0"/>
          <w:sz w:val="24"/>
          <w:szCs w:val="24"/>
          <w:lang w:val="it-IT"/>
        </w:rPr>
        <w:footnoteReference w:id="32655"/>
      </w:r>
    </w:p>
    <w:p w:rsidR="13760F76" w:rsidP="3DD49DB7" w:rsidRDefault="13760F76" w14:paraId="0B4F671A" w14:textId="21C84756">
      <w:pPr>
        <w:bidi w:val="0"/>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13760F76">
        <w:rPr>
          <w:rFonts w:ascii="Times New Roman" w:hAnsi="Times New Roman" w:eastAsia="Times New Roman" w:cs="Times New Roman"/>
          <w:noProof w:val="0"/>
          <w:sz w:val="24"/>
          <w:szCs w:val="24"/>
          <w:lang w:val="it-IT"/>
        </w:rPr>
        <w:t xml:space="preserve">Le proprietà proprie delle funzioni di </w:t>
      </w:r>
      <w:r w:rsidRPr="3DD49DB7" w:rsidR="13760F76">
        <w:rPr>
          <w:rFonts w:ascii="Times New Roman" w:hAnsi="Times New Roman" w:eastAsia="Times New Roman" w:cs="Times New Roman"/>
          <w:noProof w:val="0"/>
          <w:sz w:val="24"/>
          <w:szCs w:val="24"/>
          <w:lang w:val="it-IT"/>
        </w:rPr>
        <w:t>hashing</w:t>
      </w:r>
      <w:r w:rsidRPr="3DD49DB7" w:rsidR="13760F76">
        <w:rPr>
          <w:rFonts w:ascii="Times New Roman" w:hAnsi="Times New Roman" w:eastAsia="Times New Roman" w:cs="Times New Roman"/>
          <w:noProof w:val="0"/>
          <w:sz w:val="24"/>
          <w:szCs w:val="24"/>
          <w:lang w:val="it-IT"/>
        </w:rPr>
        <w:t xml:space="preserve"> permettono, inoltre, di effettuare tale verifica senza necessità di esaminare direttamente il contenuto dei dati. Ne deriva un duplice vantaggio: da un lato, una significativa riduzione dei tempi delle operazioni di controllo; dall’altro, la possibilità di fondare la verifica su criteri oggettivi e matematici, sottraendola a valutazioni percettive potenzialmente fallibili.</w:t>
      </w:r>
      <w:r w:rsidRPr="3DD49DB7">
        <w:rPr>
          <w:rStyle w:val="FootnoteReference"/>
          <w:rFonts w:ascii="Times New Roman" w:hAnsi="Times New Roman" w:eastAsia="Times New Roman" w:cs="Times New Roman"/>
          <w:noProof w:val="0"/>
          <w:sz w:val="24"/>
          <w:szCs w:val="24"/>
          <w:lang w:val="it-IT"/>
        </w:rPr>
        <w:footnoteReference w:id="1446"/>
      </w:r>
    </w:p>
    <w:p w:rsidR="7CCCDFA0" w:rsidP="3DD49DB7" w:rsidRDefault="7CCCDFA0" w14:paraId="1BC73DE1" w14:textId="7745899C">
      <w:pPr>
        <w:bidi w:val="0"/>
        <w:spacing w:before="0" w:beforeAutospacing="off" w:after="240" w:afterAutospacing="off" w:line="360" w:lineRule="auto"/>
        <w:jc w:val="both"/>
      </w:pPr>
      <w:r w:rsidRPr="3DD49DB7" w:rsidR="7CCCDFA0">
        <w:rPr>
          <w:rFonts w:ascii="Times New Roman" w:hAnsi="Times New Roman" w:eastAsia="Times New Roman" w:cs="Times New Roman"/>
          <w:noProof w:val="0"/>
          <w:sz w:val="24"/>
          <w:szCs w:val="24"/>
          <w:lang w:val="it-IT"/>
        </w:rPr>
        <w:t>Successivamente alla fase di acquisizione, i valori hash mantengono un ruolo centrale anche nell’attività di analisi forense. In presenza di quantità di dati estremamente elevate — che possono raggiungere diversi terabyte — risulta infatti impraticabile per l’analista esaminare manualmente ogni singolo file contenuto nella copia mezzo al fine di individuare quelli rilevanti.</w:t>
      </w:r>
    </w:p>
    <w:p w:rsidR="7CCCDFA0" w:rsidP="3DD49DB7" w:rsidRDefault="7CCCDFA0" w14:paraId="20058C73" w14:textId="3E0FF654">
      <w:pPr>
        <w:bidi w:val="0"/>
        <w:spacing w:before="240" w:beforeAutospacing="off" w:after="240" w:afterAutospacing="off" w:line="360" w:lineRule="auto"/>
        <w:jc w:val="both"/>
      </w:pPr>
      <w:r w:rsidRPr="3DD49DB7" w:rsidR="7CCCDFA0">
        <w:rPr>
          <w:rFonts w:ascii="Times New Roman" w:hAnsi="Times New Roman" w:eastAsia="Times New Roman" w:cs="Times New Roman"/>
          <w:noProof w:val="0"/>
          <w:sz w:val="24"/>
          <w:szCs w:val="24"/>
          <w:lang w:val="it-IT"/>
        </w:rPr>
        <w:t>In tale contesto, l’impiego degli hash permette di automatizzare i processi di individuazione e selezione dei dati di interesse, rendendo più efficiente sia l’identificazione delle evidenze utili sia l’esclusione dei contenuti irrilevanti, a prescindere da eventuali denominazioni o estensioni dei file che potrebbero risultare ingannevoli.</w:t>
      </w:r>
    </w:p>
    <w:p w:rsidR="7CCCDFA0" w:rsidP="3DD49DB7" w:rsidRDefault="7CCCDFA0" w14:paraId="1E34E089" w14:textId="7368CB88">
      <w:pPr>
        <w:bidi w:val="0"/>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7CCCDFA0">
        <w:rPr>
          <w:rFonts w:ascii="Times New Roman" w:hAnsi="Times New Roman" w:eastAsia="Times New Roman" w:cs="Times New Roman"/>
          <w:noProof w:val="0"/>
          <w:sz w:val="24"/>
          <w:szCs w:val="24"/>
          <w:lang w:val="it-IT"/>
        </w:rPr>
        <w:t xml:space="preserve">Ciò è reso possibile dalla natura deterministica delle funzioni di </w:t>
      </w:r>
      <w:r w:rsidRPr="3DD49DB7" w:rsidR="7CCCDFA0">
        <w:rPr>
          <w:rFonts w:ascii="Times New Roman" w:hAnsi="Times New Roman" w:eastAsia="Times New Roman" w:cs="Times New Roman"/>
          <w:noProof w:val="0"/>
          <w:sz w:val="24"/>
          <w:szCs w:val="24"/>
          <w:lang w:val="it-IT"/>
        </w:rPr>
        <w:t>hashing</w:t>
      </w:r>
      <w:r w:rsidRPr="3DD49DB7" w:rsidR="7CCCDFA0">
        <w:rPr>
          <w:rFonts w:ascii="Times New Roman" w:hAnsi="Times New Roman" w:eastAsia="Times New Roman" w:cs="Times New Roman"/>
          <w:noProof w:val="0"/>
          <w:sz w:val="24"/>
          <w:szCs w:val="24"/>
          <w:lang w:val="it-IT"/>
        </w:rPr>
        <w:t xml:space="preserve">, che consente di riconoscere file identici senza necessità di analizzarne direttamente il contenuto. Su questa base si fondano due approcci operativi tra loro complementari: da un lato il </w:t>
      </w:r>
      <w:r w:rsidRPr="3DD49DB7" w:rsidR="7CCCDFA0">
        <w:rPr>
          <w:rFonts w:ascii="Times New Roman" w:hAnsi="Times New Roman" w:eastAsia="Times New Roman" w:cs="Times New Roman"/>
          <w:i w:val="1"/>
          <w:iCs w:val="1"/>
          <w:noProof w:val="0"/>
          <w:sz w:val="24"/>
          <w:szCs w:val="24"/>
          <w:lang w:val="it-IT"/>
        </w:rPr>
        <w:t>whitelisting</w:t>
      </w:r>
      <w:r w:rsidRPr="3DD49DB7" w:rsidR="7CCCDFA0">
        <w:rPr>
          <w:rFonts w:ascii="Times New Roman" w:hAnsi="Times New Roman" w:eastAsia="Times New Roman" w:cs="Times New Roman"/>
          <w:noProof w:val="0"/>
          <w:sz w:val="24"/>
          <w:szCs w:val="24"/>
          <w:lang w:val="it-IT"/>
        </w:rPr>
        <w:t xml:space="preserve">, volto a escludere i file noti e ritenuti leciti; dall’altro il </w:t>
      </w:r>
      <w:r w:rsidRPr="3DD49DB7" w:rsidR="7CCCDFA0">
        <w:rPr>
          <w:rFonts w:ascii="Times New Roman" w:hAnsi="Times New Roman" w:eastAsia="Times New Roman" w:cs="Times New Roman"/>
          <w:i w:val="1"/>
          <w:iCs w:val="1"/>
          <w:noProof w:val="0"/>
          <w:sz w:val="24"/>
          <w:szCs w:val="24"/>
          <w:lang w:val="it-IT"/>
        </w:rPr>
        <w:t>blacklisting</w:t>
      </w:r>
      <w:r w:rsidRPr="3DD49DB7" w:rsidR="7CCCDFA0">
        <w:rPr>
          <w:rFonts w:ascii="Times New Roman" w:hAnsi="Times New Roman" w:eastAsia="Times New Roman" w:cs="Times New Roman"/>
          <w:noProof w:val="0"/>
          <w:sz w:val="24"/>
          <w:szCs w:val="24"/>
          <w:lang w:val="it-IT"/>
        </w:rPr>
        <w:t>, finalizzato all’individuazione di contenuti già identificati come illeciti.</w:t>
      </w:r>
      <w:r w:rsidRPr="3DD49DB7">
        <w:rPr>
          <w:rStyle w:val="FootnoteReference"/>
          <w:rFonts w:ascii="Times New Roman" w:hAnsi="Times New Roman" w:eastAsia="Times New Roman" w:cs="Times New Roman"/>
          <w:noProof w:val="0"/>
          <w:sz w:val="24"/>
          <w:szCs w:val="24"/>
          <w:lang w:val="it-IT"/>
        </w:rPr>
        <w:footnoteReference w:id="2319"/>
      </w:r>
    </w:p>
    <w:p w:rsidR="42BE3688" w:rsidP="3DD49DB7" w:rsidRDefault="42BE3688" w14:paraId="55168A3A" w14:textId="0812EBD6">
      <w:pPr>
        <w:bidi w:val="0"/>
        <w:spacing w:before="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42BE3688">
        <w:rPr>
          <w:rFonts w:ascii="Times New Roman" w:hAnsi="Times New Roman" w:eastAsia="Times New Roman" w:cs="Times New Roman"/>
          <w:noProof w:val="0"/>
          <w:sz w:val="24"/>
          <w:szCs w:val="24"/>
          <w:lang w:val="it-IT"/>
        </w:rPr>
        <w:t>All’interno della copia mezzo di un sistema informatico, la maggior parte dei file è generalmente costituita da componenti del sistema operativo e applicazioni di uso comune — come suite Office o software Adobe — che non presentano alcun interesse ai fini investigativi e, nella maggioranza dei casi, non sono stati generati direttamente dall’utente. Un’analisi puntuale di tali contenuti comporterebbe quindi un impiego inutile di tempo e risorse.</w:t>
      </w:r>
      <w:r w:rsidRPr="3DD49DB7">
        <w:rPr>
          <w:rStyle w:val="FootnoteReference"/>
          <w:rFonts w:ascii="Times New Roman" w:hAnsi="Times New Roman" w:eastAsia="Times New Roman" w:cs="Times New Roman"/>
          <w:noProof w:val="0"/>
          <w:sz w:val="24"/>
          <w:szCs w:val="24"/>
          <w:lang w:val="it-IT"/>
        </w:rPr>
        <w:footnoteReference w:id="17608"/>
      </w:r>
    </w:p>
    <w:p w:rsidR="42BE3688" w:rsidP="3DD49DB7" w:rsidRDefault="42BE3688" w14:paraId="103981F3" w14:textId="679148F1">
      <w:pPr>
        <w:bidi w:val="0"/>
        <w:spacing w:before="240" w:beforeAutospacing="off" w:after="240" w:afterAutospacing="off" w:line="360" w:lineRule="auto"/>
        <w:jc w:val="both"/>
      </w:pPr>
      <w:r w:rsidRPr="3DD49DB7" w:rsidR="42BE3688">
        <w:rPr>
          <w:rFonts w:ascii="Times New Roman" w:hAnsi="Times New Roman" w:eastAsia="Times New Roman" w:cs="Times New Roman"/>
          <w:noProof w:val="0"/>
          <w:sz w:val="24"/>
          <w:szCs w:val="24"/>
          <w:lang w:val="it-IT"/>
        </w:rPr>
        <w:t>Per superare questa criticità si ricorre a database di file noti, tra cui la NSRL (National Software Reference Library), gestita dal NIST (National Institute of Standards and Technology), che rappresenta uno standard di riferimento a livello internazionale. Da tale strumento prende nome anche il processo di esclusione dei file noti, comunemente definito De-NISTing. Il meccanismo di whitelisting, integrato nei principali software di digital forensics, si articola in tre passaggi fondamentali:</w:t>
      </w:r>
    </w:p>
    <w:p w:rsidR="42BE3688" w:rsidP="3DD49DB7" w:rsidRDefault="42BE3688" w14:paraId="1B4A0760" w14:textId="2BA7FE5D">
      <w:pPr>
        <w:pStyle w:val="ListParagraph"/>
        <w:numPr>
          <w:ilvl w:val="0"/>
          <w:numId w:val="8"/>
        </w:numPr>
        <w:bidi w:val="0"/>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42BE3688">
        <w:rPr>
          <w:rFonts w:ascii="Times New Roman" w:hAnsi="Times New Roman" w:eastAsia="Times New Roman" w:cs="Times New Roman"/>
          <w:noProof w:val="0"/>
          <w:sz w:val="24"/>
          <w:szCs w:val="24"/>
          <w:lang w:val="it-IT"/>
        </w:rPr>
        <w:t>calcolo sistematico dell’hash per ciascun file presente nella copia mezzo;</w:t>
      </w:r>
    </w:p>
    <w:p w:rsidR="42BE3688" w:rsidP="3DD49DB7" w:rsidRDefault="42BE3688" w14:paraId="732F0A9D" w14:textId="109E12D8">
      <w:pPr>
        <w:pStyle w:val="ListParagraph"/>
        <w:numPr>
          <w:ilvl w:val="0"/>
          <w:numId w:val="8"/>
        </w:numPr>
        <w:bidi w:val="0"/>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42BE3688">
        <w:rPr>
          <w:rFonts w:ascii="Times New Roman" w:hAnsi="Times New Roman" w:eastAsia="Times New Roman" w:cs="Times New Roman"/>
          <w:noProof w:val="0"/>
          <w:sz w:val="24"/>
          <w:szCs w:val="24"/>
          <w:lang w:val="it-IT"/>
        </w:rPr>
        <w:t>confronto dei valori ottenuti con quelli contenuti in database di riferimento, come la NSRL;</w:t>
      </w:r>
    </w:p>
    <w:p w:rsidR="42BE3688" w:rsidP="3DD49DB7" w:rsidRDefault="42BE3688" w14:paraId="09ADCB65" w14:textId="61C8C904">
      <w:pPr>
        <w:pStyle w:val="ListParagraph"/>
        <w:numPr>
          <w:ilvl w:val="0"/>
          <w:numId w:val="8"/>
        </w:numPr>
        <w:bidi w:val="0"/>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42BE3688">
        <w:rPr>
          <w:rFonts w:ascii="Times New Roman" w:hAnsi="Times New Roman" w:eastAsia="Times New Roman" w:cs="Times New Roman"/>
          <w:noProof w:val="0"/>
          <w:sz w:val="24"/>
          <w:szCs w:val="24"/>
          <w:lang w:val="it-IT"/>
        </w:rPr>
        <w:t>esclusione automatica dall’analisi dei file per i quali si riscontra una corrispondenza, qualificati come legittimi.</w:t>
      </w:r>
    </w:p>
    <w:p w:rsidR="42BE3688" w:rsidP="3DD49DB7" w:rsidRDefault="42BE3688" w14:paraId="6FA413E7" w14:textId="439113C5">
      <w:pPr>
        <w:bidi w:val="0"/>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42BE3688">
        <w:rPr>
          <w:rFonts w:ascii="Times New Roman" w:hAnsi="Times New Roman" w:eastAsia="Times New Roman" w:cs="Times New Roman"/>
          <w:noProof w:val="0"/>
          <w:sz w:val="24"/>
          <w:szCs w:val="24"/>
          <w:lang w:val="it-IT"/>
        </w:rPr>
        <w:t xml:space="preserve">Una volta completata questa fase, l’attività di analisi può concentrarsi esclusivamente sui file non riconosciuti, con un notevole risparmio di tempo e risorse. In modo complementare, gli </w:t>
      </w:r>
      <w:r w:rsidRPr="3DD49DB7" w:rsidR="42BE3688">
        <w:rPr>
          <w:rFonts w:ascii="Times New Roman" w:hAnsi="Times New Roman" w:eastAsia="Times New Roman" w:cs="Times New Roman"/>
          <w:noProof w:val="0"/>
          <w:sz w:val="24"/>
          <w:szCs w:val="24"/>
          <w:lang w:val="it-IT"/>
        </w:rPr>
        <w:t>hash</w:t>
      </w:r>
      <w:r w:rsidRPr="3DD49DB7" w:rsidR="42BE3688">
        <w:rPr>
          <w:rFonts w:ascii="Times New Roman" w:hAnsi="Times New Roman" w:eastAsia="Times New Roman" w:cs="Times New Roman"/>
          <w:noProof w:val="0"/>
          <w:sz w:val="24"/>
          <w:szCs w:val="24"/>
          <w:lang w:val="it-IT"/>
        </w:rPr>
        <w:t xml:space="preserve"> consentono anche l’individuazione immediata di contenuti illeciti già noti. Le autorità investigative e organismi internazionali mettono infatti a disposizione database aggiornati — i cosiddetti </w:t>
      </w:r>
      <w:r w:rsidRPr="3DD49DB7" w:rsidR="42BE3688">
        <w:rPr>
          <w:rFonts w:ascii="Times New Roman" w:hAnsi="Times New Roman" w:eastAsia="Times New Roman" w:cs="Times New Roman"/>
          <w:noProof w:val="0"/>
          <w:sz w:val="24"/>
          <w:szCs w:val="24"/>
          <w:lang w:val="it-IT"/>
        </w:rPr>
        <w:t>hash</w:t>
      </w:r>
      <w:r w:rsidRPr="3DD49DB7" w:rsidR="42BE3688">
        <w:rPr>
          <w:rFonts w:ascii="Times New Roman" w:hAnsi="Times New Roman" w:eastAsia="Times New Roman" w:cs="Times New Roman"/>
          <w:noProof w:val="0"/>
          <w:sz w:val="24"/>
          <w:szCs w:val="24"/>
          <w:lang w:val="it-IT"/>
        </w:rPr>
        <w:t xml:space="preserve"> set — relativi a specifiche categorie di interesse.</w:t>
      </w:r>
      <w:r w:rsidRPr="3DD49DB7">
        <w:rPr>
          <w:rStyle w:val="FootnoteReference"/>
          <w:rFonts w:ascii="Times New Roman" w:hAnsi="Times New Roman" w:eastAsia="Times New Roman" w:cs="Times New Roman"/>
          <w:noProof w:val="0"/>
          <w:sz w:val="24"/>
          <w:szCs w:val="24"/>
          <w:lang w:val="it-IT"/>
        </w:rPr>
        <w:footnoteReference w:id="31660"/>
      </w:r>
    </w:p>
    <w:p w:rsidR="42BE3688" w:rsidP="3DD49DB7" w:rsidRDefault="42BE3688" w14:paraId="2067D01C" w14:textId="0D53C475">
      <w:pPr>
        <w:bidi w:val="0"/>
        <w:spacing w:before="240" w:beforeAutospacing="off" w:after="240" w:afterAutospacing="off" w:line="360" w:lineRule="auto"/>
        <w:jc w:val="both"/>
      </w:pPr>
      <w:r w:rsidRPr="3DD49DB7" w:rsidR="42BE3688">
        <w:rPr>
          <w:rFonts w:ascii="Times New Roman" w:hAnsi="Times New Roman" w:eastAsia="Times New Roman" w:cs="Times New Roman"/>
          <w:noProof w:val="0"/>
          <w:sz w:val="24"/>
          <w:szCs w:val="24"/>
          <w:lang w:val="it-IT"/>
        </w:rPr>
        <w:t>Un esempio significativo è rappresentato dai database CSAM, contenenti impronte hash associate a materiale pedopornografico: attraverso una scansione automatizzata, è possibile rilevare in tempi rapidi la presenza di file già classificati, anche nel caso in cui siano stati rinominati o collocati in directory non visibili. Analogamente, esistono raccolte di hash riferite a malware o trojan conosciuti, utili per individuare eventuali compromissioni del sistema analizzato.</w:t>
      </w:r>
    </w:p>
    <w:p w:rsidR="42BE3688" w:rsidP="3DD49DB7" w:rsidRDefault="42BE3688" w14:paraId="1BAE0C33" w14:textId="15D817CB">
      <w:pPr>
        <w:bidi w:val="0"/>
        <w:spacing w:before="240" w:beforeAutospacing="off" w:after="240" w:afterAutospacing="off" w:line="360" w:lineRule="auto"/>
        <w:jc w:val="both"/>
        <w:rPr>
          <w:rFonts w:ascii="Times New Roman" w:hAnsi="Times New Roman" w:eastAsia="Times New Roman" w:cs="Times New Roman"/>
          <w:noProof w:val="0"/>
          <w:sz w:val="24"/>
          <w:szCs w:val="24"/>
          <w:lang w:val="it-IT"/>
        </w:rPr>
      </w:pPr>
      <w:r w:rsidRPr="3DD49DB7" w:rsidR="42BE3688">
        <w:rPr>
          <w:rFonts w:ascii="Times New Roman" w:hAnsi="Times New Roman" w:eastAsia="Times New Roman" w:cs="Times New Roman"/>
          <w:noProof w:val="0"/>
          <w:sz w:val="24"/>
          <w:szCs w:val="24"/>
          <w:lang w:val="it-IT"/>
        </w:rPr>
        <w:t xml:space="preserve">L’utilità degli </w:t>
      </w:r>
      <w:r w:rsidRPr="3DD49DB7" w:rsidR="42BE3688">
        <w:rPr>
          <w:rFonts w:ascii="Times New Roman" w:hAnsi="Times New Roman" w:eastAsia="Times New Roman" w:cs="Times New Roman"/>
          <w:noProof w:val="0"/>
          <w:sz w:val="24"/>
          <w:szCs w:val="24"/>
          <w:lang w:val="it-IT"/>
        </w:rPr>
        <w:t>hash</w:t>
      </w:r>
      <w:r w:rsidRPr="3DD49DB7" w:rsidR="42BE3688">
        <w:rPr>
          <w:rFonts w:ascii="Times New Roman" w:hAnsi="Times New Roman" w:eastAsia="Times New Roman" w:cs="Times New Roman"/>
          <w:noProof w:val="0"/>
          <w:sz w:val="24"/>
          <w:szCs w:val="24"/>
          <w:lang w:val="it-IT"/>
        </w:rPr>
        <w:t xml:space="preserve"> set emerge anche in ambito aziendale, ad esempio nelle indagini relative a possibili sottrazioni di dati da parte di dipendenti. In tali casi, l’organizzazione può fornire un insieme di </w:t>
      </w:r>
      <w:r w:rsidRPr="3DD49DB7" w:rsidR="42BE3688">
        <w:rPr>
          <w:rFonts w:ascii="Times New Roman" w:hAnsi="Times New Roman" w:eastAsia="Times New Roman" w:cs="Times New Roman"/>
          <w:noProof w:val="0"/>
          <w:sz w:val="24"/>
          <w:szCs w:val="24"/>
          <w:lang w:val="it-IT"/>
        </w:rPr>
        <w:t>hash</w:t>
      </w:r>
      <w:r w:rsidRPr="3DD49DB7" w:rsidR="42BE3688">
        <w:rPr>
          <w:rFonts w:ascii="Times New Roman" w:hAnsi="Times New Roman" w:eastAsia="Times New Roman" w:cs="Times New Roman"/>
          <w:noProof w:val="0"/>
          <w:sz w:val="24"/>
          <w:szCs w:val="24"/>
          <w:lang w:val="it-IT"/>
        </w:rPr>
        <w:t xml:space="preserve"> corrispondenti ai documenti riservati (know-how), permettendo così di effettuare una ricerca automatizzata all’interno dei dispositivi in uso al soggetto interessato, al fine di verificare la presenza di tali contenuti.</w:t>
      </w:r>
      <w:r w:rsidRPr="3DD49DB7">
        <w:rPr>
          <w:rStyle w:val="FootnoteReference"/>
          <w:rFonts w:ascii="Times New Roman" w:hAnsi="Times New Roman" w:eastAsia="Times New Roman" w:cs="Times New Roman"/>
          <w:noProof w:val="0"/>
          <w:sz w:val="24"/>
          <w:szCs w:val="24"/>
          <w:lang w:val="it-IT"/>
        </w:rPr>
        <w:footnoteReference w:id="5478"/>
      </w:r>
    </w:p>
    <w:p w:rsidR="67C465D3" w:rsidP="1E4A1C8B" w:rsidRDefault="67C465D3" w14:paraId="7927B0A1" w14:textId="1ADB9622">
      <w:pPr>
        <w:pStyle w:val="Normal"/>
        <w:spacing w:before="0" w:beforeAutospacing="off" w:line="360" w:lineRule="auto"/>
        <w:jc w:val="both"/>
        <w:rPr>
          <w:rFonts w:ascii="Times New Roman" w:hAnsi="Times New Roman" w:eastAsia="Times New Roman" w:cs="Times New Roman"/>
          <w:b w:val="0"/>
          <w:bCs w:val="0"/>
          <w:sz w:val="24"/>
          <w:szCs w:val="24"/>
        </w:rPr>
      </w:pPr>
    </w:p>
    <w:p w:rsidR="411C9FBA" w:rsidP="1E4A1C8B" w:rsidRDefault="411C9FBA" w14:paraId="6F2717E1" w14:textId="48A16E7F">
      <w:pPr>
        <w:pStyle w:val="Normal"/>
        <w:spacing w:before="0" w:beforeAutospacing="off" w:line="360" w:lineRule="auto"/>
        <w:jc w:val="both"/>
        <w:rPr>
          <w:rFonts w:ascii="Times New Roman" w:hAnsi="Times New Roman" w:eastAsia="Times New Roman" w:cs="Times New Roman"/>
          <w:b w:val="1"/>
          <w:bCs w:val="1"/>
          <w:sz w:val="24"/>
          <w:szCs w:val="24"/>
        </w:rPr>
      </w:pPr>
      <w:r w:rsidRPr="1E4A1C8B" w:rsidR="411C9FBA">
        <w:rPr>
          <w:rFonts w:ascii="Times New Roman" w:hAnsi="Times New Roman" w:eastAsia="Times New Roman" w:cs="Times New Roman"/>
          <w:b w:val="1"/>
          <w:bCs w:val="1"/>
          <w:sz w:val="24"/>
          <w:szCs w:val="24"/>
        </w:rPr>
        <w:t>2.3</w:t>
      </w:r>
      <w:r w:rsidRPr="1E4A1C8B" w:rsidR="68E1EAFE">
        <w:rPr>
          <w:rFonts w:ascii="Times New Roman" w:hAnsi="Times New Roman" w:eastAsia="Times New Roman" w:cs="Times New Roman"/>
          <w:b w:val="1"/>
          <w:bCs w:val="1"/>
          <w:sz w:val="24"/>
          <w:szCs w:val="24"/>
        </w:rPr>
        <w:t xml:space="preserve"> </w:t>
      </w:r>
      <w:r w:rsidRPr="1E4A1C8B" w:rsidR="411C9FBA">
        <w:rPr>
          <w:rFonts w:ascii="Times New Roman" w:hAnsi="Times New Roman" w:eastAsia="Times New Roman" w:cs="Times New Roman"/>
          <w:b w:val="1"/>
          <w:bCs w:val="1"/>
          <w:sz w:val="24"/>
          <w:szCs w:val="24"/>
        </w:rPr>
        <w:t>Frattura tra atto tecnico e gestione procedurale</w:t>
      </w:r>
    </w:p>
    <w:p w:rsidR="67C465D3" w:rsidP="1E4A1C8B" w:rsidRDefault="67C465D3" w14:paraId="5471059C" w14:textId="254B1335">
      <w:pPr>
        <w:pStyle w:val="Normal"/>
        <w:spacing w:before="0" w:beforeAutospacing="off" w:line="360" w:lineRule="auto"/>
        <w:jc w:val="both"/>
        <w:rPr>
          <w:rFonts w:ascii="Times New Roman" w:hAnsi="Times New Roman" w:eastAsia="Times New Roman" w:cs="Times New Roman"/>
          <w:b w:val="0"/>
          <w:bCs w:val="0"/>
          <w:sz w:val="24"/>
          <w:szCs w:val="24"/>
        </w:rPr>
      </w:pPr>
    </w:p>
    <w:p w:rsidR="411C9FBA" w:rsidP="1E4A1C8B" w:rsidRDefault="411C9FBA" w14:paraId="464E4F28" w14:textId="1533768A">
      <w:pPr>
        <w:pStyle w:val="Normal"/>
        <w:spacing w:before="0" w:beforeAutospacing="off" w:line="360" w:lineRule="auto"/>
        <w:jc w:val="both"/>
      </w:pPr>
      <w:r w:rsidRPr="49E96B32" w:rsidR="411C9FBA">
        <w:rPr>
          <w:rFonts w:ascii="Times New Roman" w:hAnsi="Times New Roman" w:eastAsia="Times New Roman" w:cs="Times New Roman"/>
          <w:b w:val="0"/>
          <w:bCs w:val="0"/>
          <w:sz w:val="24"/>
          <w:szCs w:val="24"/>
        </w:rPr>
        <w:t>Nonostante l’evoluzione normativa e la disponibilità di sofisticate tecniche forensi, l’o</w:t>
      </w:r>
      <w:r w:rsidRPr="49E96B32" w:rsidR="411C9FBA">
        <w:rPr>
          <w:rFonts w:ascii="Times New Roman" w:hAnsi="Times New Roman" w:eastAsia="Times New Roman" w:cs="Times New Roman"/>
          <w:b w:val="0"/>
          <w:bCs w:val="0"/>
          <w:sz w:val="24"/>
          <w:szCs w:val="24"/>
        </w:rPr>
        <w:t xml:space="preserve">biettivo di garantire una chain of </w:t>
      </w:r>
      <w:r w:rsidRPr="49E96B32" w:rsidR="411C9FBA">
        <w:rPr>
          <w:rFonts w:ascii="Times New Roman" w:hAnsi="Times New Roman" w:eastAsia="Times New Roman" w:cs="Times New Roman"/>
          <w:b w:val="0"/>
          <w:bCs w:val="0"/>
          <w:sz w:val="24"/>
          <w:szCs w:val="24"/>
        </w:rPr>
        <w:t>custody</w:t>
      </w:r>
      <w:r w:rsidRPr="49E96B32" w:rsidR="411C9FBA">
        <w:rPr>
          <w:rFonts w:ascii="Times New Roman" w:hAnsi="Times New Roman" w:eastAsia="Times New Roman" w:cs="Times New Roman"/>
          <w:b w:val="0"/>
          <w:bCs w:val="0"/>
          <w:sz w:val="24"/>
          <w:szCs w:val="24"/>
        </w:rPr>
        <w:t xml:space="preserve"> perfetta nel processo penale italiano appare,</w:t>
      </w:r>
      <w:r w:rsidRPr="49E96B32" w:rsidR="26492A18">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ad oggi, un traguardo non ancora pienamente raggiunto. Si assiste, infatti, a una pro</w:t>
      </w:r>
      <w:r w:rsidRPr="49E96B32" w:rsidR="411C9FBA">
        <w:rPr>
          <w:rFonts w:ascii="Times New Roman" w:hAnsi="Times New Roman" w:eastAsia="Times New Roman" w:cs="Times New Roman"/>
          <w:b w:val="0"/>
          <w:bCs w:val="0"/>
          <w:sz w:val="24"/>
          <w:szCs w:val="24"/>
        </w:rPr>
        <w:t>fonda frattura tra il rigore scientifico richiesto dall’atto tecnico e la gestione procedurale</w:t>
      </w:r>
      <w:r w:rsidRPr="49E96B32" w:rsidR="002C3232">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delle eventuali irregolarità, spesso risolte in senso sfavorevole alla pienezza del diritto</w:t>
      </w:r>
      <w:r w:rsidRPr="49E96B32" w:rsidR="41E68FF8">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di difesa.</w:t>
      </w:r>
    </w:p>
    <w:p w:rsidR="411C9FBA" w:rsidP="1E4A1C8B" w:rsidRDefault="411C9FBA" w14:paraId="3EE977C5" w14:textId="30363C5C">
      <w:pPr>
        <w:pStyle w:val="Normal"/>
        <w:spacing w:before="0" w:beforeAutospacing="off" w:line="360" w:lineRule="auto"/>
        <w:jc w:val="both"/>
        <w:rPr>
          <w:rFonts w:ascii="Times New Roman" w:hAnsi="Times New Roman" w:eastAsia="Times New Roman" w:cs="Times New Roman"/>
          <w:b w:val="0"/>
          <w:bCs w:val="0"/>
          <w:sz w:val="24"/>
          <w:szCs w:val="24"/>
        </w:rPr>
      </w:pPr>
      <w:r w:rsidRPr="3DD49DB7" w:rsidR="411C9FBA">
        <w:rPr>
          <w:rFonts w:ascii="Times New Roman" w:hAnsi="Times New Roman" w:eastAsia="Times New Roman" w:cs="Times New Roman"/>
          <w:b w:val="0"/>
          <w:bCs w:val="0"/>
          <w:sz w:val="24"/>
          <w:szCs w:val="24"/>
        </w:rPr>
        <w:t>Il primo profilo critico risiede nella risposta dell’ordinamento alla violazione delle</w:t>
      </w:r>
      <w:r w:rsidRPr="3DD49DB7" w:rsidR="1DCE2B44">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 xml:space="preserve">regole tecniche di acquisizione. </w:t>
      </w:r>
      <w:r w:rsidRPr="3DD49DB7" w:rsidR="4B4D5DAD">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 xml:space="preserve">Sebbene la Legge 48/2008 abbia introdotto precisi </w:t>
      </w:r>
      <w:r w:rsidRPr="3DD49DB7" w:rsidR="411C9FBA">
        <w:rPr>
          <w:rFonts w:ascii="Times New Roman" w:hAnsi="Times New Roman" w:eastAsia="Times New Roman" w:cs="Times New Roman"/>
          <w:b w:val="0"/>
          <w:bCs w:val="0"/>
          <w:sz w:val="24"/>
          <w:szCs w:val="24"/>
        </w:rPr>
        <w:t>ob</w:t>
      </w:r>
      <w:r w:rsidRPr="3DD49DB7" w:rsidR="411C9FBA">
        <w:rPr>
          <w:rFonts w:ascii="Times New Roman" w:hAnsi="Times New Roman" w:eastAsia="Times New Roman" w:cs="Times New Roman"/>
          <w:b w:val="0"/>
          <w:bCs w:val="0"/>
          <w:sz w:val="24"/>
          <w:szCs w:val="24"/>
        </w:rPr>
        <w:t>blighi</w:t>
      </w:r>
      <w:r w:rsidRPr="3DD49DB7" w:rsidR="411C9FBA">
        <w:rPr>
          <w:rFonts w:ascii="Times New Roman" w:hAnsi="Times New Roman" w:eastAsia="Times New Roman" w:cs="Times New Roman"/>
          <w:b w:val="0"/>
          <w:bCs w:val="0"/>
          <w:sz w:val="24"/>
          <w:szCs w:val="24"/>
        </w:rPr>
        <w:t xml:space="preserve"> di conservazione e integrità, il legislatore non ha previsto sanzioni processuali</w:t>
      </w:r>
      <w:r w:rsidRPr="3DD49DB7" w:rsidR="1CD57D2E">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specifiche, quali l’</w:t>
      </w:r>
      <w:r w:rsidRPr="3DD49DB7" w:rsidR="1986C11F">
        <w:rPr>
          <w:rFonts w:ascii="Times New Roman" w:hAnsi="Times New Roman" w:eastAsia="Times New Roman" w:cs="Times New Roman"/>
          <w:b w:val="0"/>
          <w:bCs w:val="0"/>
          <w:sz w:val="24"/>
          <w:szCs w:val="24"/>
        </w:rPr>
        <w:t>i</w:t>
      </w:r>
      <w:r w:rsidRPr="3DD49DB7" w:rsidR="411C9FBA">
        <w:rPr>
          <w:rFonts w:ascii="Times New Roman" w:hAnsi="Times New Roman" w:eastAsia="Times New Roman" w:cs="Times New Roman"/>
          <w:b w:val="0"/>
          <w:bCs w:val="0"/>
          <w:sz w:val="24"/>
          <w:szCs w:val="24"/>
        </w:rPr>
        <w:t xml:space="preserve">nutilizzabilità, per la loro inosservanza. La giurisprudenza di </w:t>
      </w:r>
      <w:r w:rsidRPr="3DD49DB7" w:rsidR="411C9FBA">
        <w:rPr>
          <w:rFonts w:ascii="Times New Roman" w:hAnsi="Times New Roman" w:eastAsia="Times New Roman" w:cs="Times New Roman"/>
          <w:b w:val="0"/>
          <w:bCs w:val="0"/>
          <w:sz w:val="24"/>
          <w:szCs w:val="24"/>
        </w:rPr>
        <w:t>legitti</w:t>
      </w:r>
      <w:r w:rsidRPr="3DD49DB7" w:rsidR="411C9FBA">
        <w:rPr>
          <w:rFonts w:ascii="Times New Roman" w:hAnsi="Times New Roman" w:eastAsia="Times New Roman" w:cs="Times New Roman"/>
          <w:b w:val="0"/>
          <w:bCs w:val="0"/>
          <w:sz w:val="24"/>
          <w:szCs w:val="24"/>
        </w:rPr>
        <w:t>mità</w:t>
      </w:r>
      <w:r w:rsidRPr="3DD49DB7" w:rsidR="411C9FBA">
        <w:rPr>
          <w:rFonts w:ascii="Times New Roman" w:hAnsi="Times New Roman" w:eastAsia="Times New Roman" w:cs="Times New Roman"/>
          <w:b w:val="0"/>
          <w:bCs w:val="0"/>
          <w:sz w:val="24"/>
          <w:szCs w:val="24"/>
        </w:rPr>
        <w:t xml:space="preserve"> ha consolidato un orientamento rigoroso, secondo cui le best practices informatiche</w:t>
      </w:r>
      <w:r w:rsidRPr="3DD49DB7" w:rsidR="5B4071AE">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non costituiscono divieti probatori la cui violazione comporta l’inutilizzabilità ai sensi</w:t>
      </w:r>
      <w:r w:rsidRPr="3DD49DB7" w:rsidR="49111554">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dell’art. 191 c.p.p.</w:t>
      </w:r>
      <w:r w:rsidRPr="3DD49DB7" w:rsidR="75AA04D2">
        <w:rPr>
          <w:rFonts w:ascii="Times New Roman" w:hAnsi="Times New Roman" w:eastAsia="Times New Roman" w:cs="Times New Roman"/>
          <w:b w:val="0"/>
          <w:bCs w:val="0"/>
          <w:sz w:val="24"/>
          <w:szCs w:val="24"/>
        </w:rPr>
        <w:t xml:space="preserve"> a meno che non si voglia assimilare le regole tecniche a “limiti impliciti” </w:t>
      </w:r>
      <w:r w:rsidRPr="3DD49DB7" w:rsidR="0F940215">
        <w:rPr>
          <w:rFonts w:ascii="Times New Roman" w:hAnsi="Times New Roman" w:eastAsia="Times New Roman" w:cs="Times New Roman"/>
          <w:b w:val="0"/>
          <w:bCs w:val="0"/>
          <w:sz w:val="24"/>
          <w:szCs w:val="24"/>
        </w:rPr>
        <w:t xml:space="preserve">la cui violazione viene assimilata alla violazione di norme procedurali o costituzionali. </w:t>
      </w:r>
      <w:r w:rsidRPr="3DD49DB7" w:rsidR="2FD761CC">
        <w:rPr>
          <w:rFonts w:ascii="Times New Roman" w:hAnsi="Times New Roman" w:eastAsia="Times New Roman" w:cs="Times New Roman"/>
          <w:b w:val="0"/>
          <w:bCs w:val="0"/>
          <w:sz w:val="24"/>
          <w:szCs w:val="24"/>
        </w:rPr>
        <w:t xml:space="preserve">Una strada impervia ma simile </w:t>
      </w:r>
      <w:r w:rsidRPr="3DD49DB7" w:rsidR="20567026">
        <w:rPr>
          <w:rFonts w:ascii="Times New Roman" w:hAnsi="Times New Roman" w:eastAsia="Times New Roman" w:cs="Times New Roman"/>
          <w:b w:val="0"/>
          <w:bCs w:val="0"/>
          <w:sz w:val="24"/>
          <w:szCs w:val="24"/>
        </w:rPr>
        <w:t>sarebbe incanalare questo vero</w:t>
      </w:r>
      <w:r w:rsidRPr="3DD49DB7" w:rsidR="2FD761CC">
        <w:rPr>
          <w:rFonts w:ascii="Times New Roman" w:hAnsi="Times New Roman" w:eastAsia="Times New Roman" w:cs="Times New Roman"/>
          <w:b w:val="0"/>
          <w:bCs w:val="0"/>
          <w:sz w:val="24"/>
          <w:szCs w:val="24"/>
        </w:rPr>
        <w:t xml:space="preserve"> e proprio vuoto di tutela dentro l’alveo della nullità</w:t>
      </w:r>
      <w:r w:rsidRPr="3DD49DB7" w:rsidR="3370AFDE">
        <w:rPr>
          <w:rFonts w:ascii="Times New Roman" w:hAnsi="Times New Roman" w:eastAsia="Times New Roman" w:cs="Times New Roman"/>
          <w:b w:val="0"/>
          <w:bCs w:val="0"/>
          <w:sz w:val="24"/>
          <w:szCs w:val="24"/>
        </w:rPr>
        <w:t xml:space="preserve">, anche se storicamente la giurisprudenza e la dottrina si sono dimostrate restie a superare il principio di tassatività. </w:t>
      </w:r>
    </w:p>
    <w:p w:rsidR="411C9FBA" w:rsidP="1E4A1C8B" w:rsidRDefault="411C9FBA" w14:paraId="5B0FD49E" w14:textId="65455BE2">
      <w:pPr>
        <w:pStyle w:val="Normal"/>
        <w:spacing w:before="0" w:beforeAutospacing="off" w:line="360" w:lineRule="auto"/>
        <w:jc w:val="both"/>
      </w:pPr>
      <w:r w:rsidRPr="1E4A1C8B" w:rsidR="411C9FBA">
        <w:rPr>
          <w:rFonts w:ascii="Times New Roman" w:hAnsi="Times New Roman" w:eastAsia="Times New Roman" w:cs="Times New Roman"/>
          <w:b w:val="0"/>
          <w:bCs w:val="0"/>
          <w:sz w:val="24"/>
          <w:szCs w:val="24"/>
        </w:rPr>
        <w:t xml:space="preserve">Le norme tecniche sono considerate di natura </w:t>
      </w:r>
      <w:r w:rsidRPr="1E4A1C8B" w:rsidR="411C9FBA">
        <w:rPr>
          <w:rFonts w:ascii="Times New Roman" w:hAnsi="Times New Roman" w:eastAsia="Times New Roman" w:cs="Times New Roman"/>
          <w:b w:val="0"/>
          <w:bCs w:val="0"/>
          <w:sz w:val="24"/>
          <w:szCs w:val="24"/>
        </w:rPr>
        <w:t>prevalentemente ”programmatica</w:t>
      </w:r>
      <w:r w:rsidRPr="1E4A1C8B" w:rsidR="411C9FBA">
        <w:rPr>
          <w:rFonts w:ascii="Times New Roman" w:hAnsi="Times New Roman" w:eastAsia="Times New Roman" w:cs="Times New Roman"/>
          <w:b w:val="0"/>
          <w:bCs w:val="0"/>
          <w:sz w:val="24"/>
          <w:szCs w:val="24"/>
        </w:rPr>
        <w:t>” o</w:t>
      </w:r>
      <w:r w:rsidRPr="1E4A1C8B" w:rsidR="1F1C0121">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direttiva. Di conseguenza, la mancata adozione di garanzie fondamentali — quali l’</w:t>
      </w:r>
      <w:r w:rsidRPr="1E4A1C8B" w:rsidR="411C9FBA">
        <w:rPr>
          <w:rFonts w:ascii="Times New Roman" w:hAnsi="Times New Roman" w:eastAsia="Times New Roman" w:cs="Times New Roman"/>
          <w:b w:val="0"/>
          <w:bCs w:val="0"/>
          <w:sz w:val="24"/>
          <w:szCs w:val="24"/>
        </w:rPr>
        <w:t>im</w:t>
      </w:r>
      <w:r w:rsidRPr="1E4A1C8B" w:rsidR="411C9FBA">
        <w:rPr>
          <w:rFonts w:ascii="Times New Roman" w:hAnsi="Times New Roman" w:eastAsia="Times New Roman" w:cs="Times New Roman"/>
          <w:b w:val="0"/>
          <w:bCs w:val="0"/>
          <w:sz w:val="24"/>
          <w:szCs w:val="24"/>
        </w:rPr>
        <w:t xml:space="preserve">pronta di </w:t>
      </w:r>
      <w:r w:rsidRPr="1E4A1C8B" w:rsidR="411C9FBA">
        <w:rPr>
          <w:rFonts w:ascii="Times New Roman" w:hAnsi="Times New Roman" w:eastAsia="Times New Roman" w:cs="Times New Roman"/>
          <w:b w:val="0"/>
          <w:bCs w:val="0"/>
          <w:sz w:val="24"/>
          <w:szCs w:val="24"/>
        </w:rPr>
        <w:t>hash</w:t>
      </w:r>
      <w:r w:rsidRPr="1E4A1C8B" w:rsidR="411C9FBA">
        <w:rPr>
          <w:rFonts w:ascii="Times New Roman" w:hAnsi="Times New Roman" w:eastAsia="Times New Roman" w:cs="Times New Roman"/>
          <w:b w:val="0"/>
          <w:bCs w:val="0"/>
          <w:sz w:val="24"/>
          <w:szCs w:val="24"/>
        </w:rPr>
        <w:t xml:space="preserve"> o una catena di custodia documentata in ogni passaggio — non espunge</w:t>
      </w:r>
      <w:r w:rsidRPr="1E4A1C8B" w:rsidR="1299D48A">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la prova dal processo, ma ne degrada semplicemente il valore probatorio, rimettendo</w:t>
      </w:r>
      <w:r w:rsidRPr="1E4A1C8B" w:rsidR="5CF5F8E2">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 xml:space="preserve">la questione alla libera valutazione del giudice ex art. 192 </w:t>
      </w:r>
      <w:r w:rsidRPr="1E4A1C8B" w:rsidR="411C9FBA">
        <w:rPr>
          <w:rFonts w:ascii="Times New Roman" w:hAnsi="Times New Roman" w:eastAsia="Times New Roman" w:cs="Times New Roman"/>
          <w:b w:val="0"/>
          <w:bCs w:val="0"/>
          <w:sz w:val="24"/>
          <w:szCs w:val="24"/>
        </w:rPr>
        <w:t xml:space="preserve">c.p.p. </w:t>
      </w:r>
      <w:r w:rsidRPr="1E4A1C8B" w:rsidR="19716EA6">
        <w:rPr>
          <w:rFonts w:ascii="Times New Roman" w:hAnsi="Times New Roman" w:eastAsia="Times New Roman" w:cs="Times New Roman"/>
          <w:b w:val="0"/>
          <w:bCs w:val="0"/>
          <w:sz w:val="24"/>
          <w:szCs w:val="24"/>
        </w:rPr>
        <w:t xml:space="preserve">che risulta essere la conclusione più pericolosa dato che spesso il giudice </w:t>
      </w:r>
      <w:r w:rsidRPr="1E4A1C8B" w:rsidR="1AC22E72">
        <w:rPr>
          <w:rFonts w:ascii="Times New Roman" w:hAnsi="Times New Roman" w:eastAsia="Times New Roman" w:cs="Times New Roman"/>
          <w:b w:val="0"/>
          <w:bCs w:val="0"/>
          <w:sz w:val="24"/>
          <w:szCs w:val="24"/>
        </w:rPr>
        <w:t xml:space="preserve">delega alla difesa la prova della presunta alterazione eccepita. </w:t>
      </w:r>
    </w:p>
    <w:p w:rsidR="411C9FBA" w:rsidP="1E4A1C8B" w:rsidRDefault="411C9FBA" w14:paraId="6E85C253" w14:textId="69717AAB">
      <w:pPr>
        <w:pStyle w:val="Normal"/>
        <w:spacing w:before="0" w:beforeAutospacing="off" w:line="360" w:lineRule="auto"/>
        <w:jc w:val="both"/>
      </w:pPr>
      <w:r w:rsidRPr="1E4A1C8B" w:rsidR="4A91FED7">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Tale approccio crea</w:t>
      </w:r>
      <w:r w:rsidRPr="1E4A1C8B" w:rsidR="5D4D49A8">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un evidente vulnus difensivo: in assenza di una certificazione di genuinità, il diritto al</w:t>
      </w:r>
      <w:r w:rsidRPr="1E4A1C8B" w:rsidR="35213C22">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contraddittorio sulla prova viene svuotato di contenuto, risultando impossibile per la</w:t>
      </w:r>
      <w:r w:rsidRPr="1E4A1C8B" w:rsidR="1B2F3C3E">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difesa dimostrare ex post eventuali manipolazioni o alterazioni del reperto digitale.</w:t>
      </w:r>
    </w:p>
    <w:p w:rsidR="411C9FBA" w:rsidP="1E4A1C8B" w:rsidRDefault="411C9FBA" w14:textId="4B087009" w14:paraId="6F693C99">
      <w:pPr>
        <w:pStyle w:val="Normal"/>
        <w:spacing w:before="0" w:beforeAutospacing="off" w:line="360" w:lineRule="auto"/>
        <w:jc w:val="both"/>
      </w:pPr>
      <w:r w:rsidRPr="67C465D3" w:rsidR="411C9FBA">
        <w:rPr>
          <w:rFonts w:ascii="Times New Roman" w:hAnsi="Times New Roman" w:eastAsia="Times New Roman" w:cs="Times New Roman"/>
          <w:b w:val="0"/>
          <w:bCs w:val="0"/>
          <w:sz w:val="24"/>
          <w:szCs w:val="24"/>
        </w:rPr>
        <w:t>La tensione tra esigenze investigative e garanzie difensive ha raggiunto l’acme ne</w:t>
      </w:r>
      <w:r w:rsidRPr="67C465D3" w:rsidR="51AB9AA9">
        <w:rPr>
          <w:rFonts w:ascii="Times New Roman" w:hAnsi="Times New Roman" w:eastAsia="Times New Roman" w:cs="Times New Roman"/>
          <w:b w:val="0"/>
          <w:bCs w:val="0"/>
          <w:sz w:val="24"/>
          <w:szCs w:val="24"/>
        </w:rPr>
        <w:t>lle recenti sentenze "gemelle" delle Sezioni Unite (n. 23755 e n. 23756 del 2024) relative al caso Sky ECC</w:t>
      </w:r>
      <w:r w:rsidRPr="67C465D3" w:rsidR="411C9FBA">
        <w:rPr>
          <w:rFonts w:ascii="Times New Roman" w:hAnsi="Times New Roman" w:eastAsia="Times New Roman" w:cs="Times New Roman"/>
          <w:b w:val="0"/>
          <w:bCs w:val="0"/>
          <w:sz w:val="24"/>
          <w:szCs w:val="24"/>
        </w:rPr>
        <w:t xml:space="preserve">. </w:t>
      </w:r>
    </w:p>
    <w:p w:rsidR="411C9FBA" w:rsidP="3DD49DB7" w:rsidRDefault="411C9FBA" w14:paraId="00D3D9BA" w14:textId="3BE53C41">
      <w:pPr>
        <w:pStyle w:val="Normal"/>
        <w:spacing w:before="0" w:beforeAutospacing="off" w:line="360" w:lineRule="auto"/>
        <w:jc w:val="both"/>
        <w:rPr>
          <w:rFonts w:ascii="Times New Roman" w:hAnsi="Times New Roman" w:eastAsia="Times New Roman" w:cs="Times New Roman"/>
          <w:b w:val="0"/>
          <w:bCs w:val="0"/>
          <w:sz w:val="24"/>
          <w:szCs w:val="24"/>
        </w:rPr>
      </w:pPr>
      <w:r w:rsidRPr="3DD49DB7" w:rsidR="6154C0F9">
        <w:rPr>
          <w:rFonts w:ascii="Times New Roman" w:hAnsi="Times New Roman" w:eastAsia="Times New Roman" w:cs="Times New Roman"/>
          <w:b w:val="0"/>
          <w:bCs w:val="0"/>
          <w:sz w:val="24"/>
          <w:szCs w:val="24"/>
        </w:rPr>
        <w:t>La questione controversa riguarda, come noto, la qualificazione giuridica e il regime di garanzie applicabili all’acquisizione di conversazioni svolte tramite chat tra soggetti appartenenti ad associazioni criminali operanti nel traffico di stupefacenti, che utilizzavano piattaforme online criptate e dispositivi appositamente modificati per comunicare in modo riservato.</w:t>
      </w:r>
      <w:r w:rsidRPr="3DD49DB7">
        <w:rPr>
          <w:rStyle w:val="FootnoteReference"/>
          <w:rFonts w:ascii="Times New Roman" w:hAnsi="Times New Roman" w:eastAsia="Times New Roman" w:cs="Times New Roman"/>
          <w:b w:val="0"/>
          <w:bCs w:val="0"/>
          <w:sz w:val="24"/>
          <w:szCs w:val="24"/>
        </w:rPr>
        <w:footnoteReference w:id="15598"/>
      </w:r>
    </w:p>
    <w:p w:rsidR="411C9FBA" w:rsidP="3DD49DB7" w:rsidRDefault="411C9FBA" w14:paraId="6B2220C1" w14:textId="6622B262">
      <w:pPr>
        <w:pStyle w:val="Normal"/>
        <w:spacing w:before="0" w:beforeAutospacing="off" w:line="360" w:lineRule="auto"/>
        <w:jc w:val="both"/>
        <w:rPr>
          <w:rFonts w:ascii="Times New Roman" w:hAnsi="Times New Roman" w:eastAsia="Times New Roman" w:cs="Times New Roman"/>
          <w:b w:val="0"/>
          <w:bCs w:val="0"/>
          <w:sz w:val="24"/>
          <w:szCs w:val="24"/>
        </w:rPr>
      </w:pPr>
      <w:r w:rsidRPr="3DD49DB7" w:rsidR="6154C0F9">
        <w:rPr>
          <w:rFonts w:ascii="Times New Roman" w:hAnsi="Times New Roman" w:eastAsia="Times New Roman" w:cs="Times New Roman"/>
          <w:b w:val="0"/>
          <w:bCs w:val="0"/>
          <w:sz w:val="24"/>
          <w:szCs w:val="24"/>
        </w:rPr>
        <w:t xml:space="preserve">Nei casi esaminati dalle Sezioni Unite, le comunicazioni erano state ottenute dalle autorità giudiziarie francesi attraverso operazioni di intrusione informatica nei server della piattaforma Sky ECC. Tali attività, secondo quanto emerso, avevano riguardato sia la captazione in tempo reale delle comunicazioni in corso — mediante intercettazioni e acquisizione dei dati esterni alle comunicazioni (i cosiddetti tabulati) — sia il reperimento di conversazioni già concluse e conservate sui server (i cosiddetti “dati freddi”), acquisite tramite attività assimilabili a perquisizioni e </w:t>
      </w:r>
      <w:r w:rsidRPr="49E96B32" w:rsidR="6154C0F9">
        <w:rPr>
          <w:rFonts w:ascii="Times New Roman" w:hAnsi="Times New Roman" w:eastAsia="Times New Roman" w:cs="Times New Roman"/>
          <w:b w:val="0"/>
          <w:bCs w:val="0"/>
          <w:sz w:val="24"/>
          <w:szCs w:val="24"/>
        </w:rPr>
        <w:t>sequestri.</w:t>
      </w:r>
      <w:r w:rsidRPr="3DD49DB7">
        <w:rPr>
          <w:rStyle w:val="FootnoteReference"/>
          <w:rFonts w:ascii="Times New Roman" w:hAnsi="Times New Roman" w:eastAsia="Times New Roman" w:cs="Times New Roman"/>
          <w:b w:val="0"/>
          <w:bCs w:val="0"/>
          <w:sz w:val="24"/>
          <w:szCs w:val="24"/>
        </w:rPr>
        <w:footnoteReference w:id="14268"/>
      </w:r>
    </w:p>
    <w:p w:rsidR="411C9FBA" w:rsidP="1E4A1C8B" w:rsidRDefault="411C9FBA" w14:paraId="500AA00E" w14:textId="540D9E2B">
      <w:pPr>
        <w:pStyle w:val="Normal"/>
        <w:spacing w:before="0" w:beforeAutospacing="off" w:line="360" w:lineRule="auto"/>
        <w:jc w:val="both"/>
      </w:pPr>
      <w:r w:rsidRPr="3DD49DB7" w:rsidR="6154C0F9">
        <w:rPr>
          <w:rFonts w:ascii="Times New Roman" w:hAnsi="Times New Roman" w:eastAsia="Times New Roman" w:cs="Times New Roman"/>
          <w:b w:val="0"/>
          <w:bCs w:val="0"/>
          <w:sz w:val="24"/>
          <w:szCs w:val="24"/>
        </w:rPr>
        <w:t>Successivamente, le autorità italiane avevano richiesto alla Francia la trasmissione di tali dati mediante lo strumento dell’ordine europeo di indagine (OEI), disciplinato dalla direttiva 2014/41/UE e recepito nell’ordinamento interno con il d.lgs. n. 108 del 2017.</w:t>
      </w:r>
    </w:p>
    <w:p w:rsidR="411C9FBA" w:rsidP="1E4A1C8B" w:rsidRDefault="411C9FBA" w14:paraId="43AB5FD5" w14:textId="17E38B9A">
      <w:pPr>
        <w:pStyle w:val="Normal"/>
        <w:spacing w:before="0" w:beforeAutospacing="off" w:line="360" w:lineRule="auto"/>
        <w:jc w:val="both"/>
      </w:pPr>
      <w:r w:rsidRPr="3DD49DB7" w:rsidR="6154C0F9">
        <w:rPr>
          <w:rFonts w:ascii="Times New Roman" w:hAnsi="Times New Roman" w:eastAsia="Times New Roman" w:cs="Times New Roman"/>
          <w:b w:val="0"/>
          <w:bCs w:val="0"/>
          <w:sz w:val="24"/>
          <w:szCs w:val="24"/>
        </w:rPr>
        <w:t>La specificità degli OEI emessi dall’autorità italiana risiede nel fatto che essi non erano finalizzati alla raccolta diretta della prova, bensì all’ottenimento di elementi già acquisiti dall’autorità straniera nell’ambito di procedimenti nazionali propri. Le Sezioni Unite si sono quindi trovate ad affrontare il tema dell’utilizzo dell’OEI per accedere a prove preesistenti nella disponibilità dello Stato di esecuzione: ipotesi espressamente contemplata sia dalla normativa europea sia da quella interna, ma che presenta rilevanti criticità applicative.</w:t>
      </w:r>
    </w:p>
    <w:p w:rsidR="411C9FBA" w:rsidP="1E4A1C8B" w:rsidRDefault="411C9FBA" w14:paraId="7ADA0FFB" w14:textId="6B3BD049">
      <w:pPr>
        <w:pStyle w:val="Normal"/>
        <w:spacing w:before="0" w:beforeAutospacing="off" w:line="360" w:lineRule="auto"/>
        <w:jc w:val="both"/>
      </w:pPr>
      <w:r w:rsidRPr="3DD49DB7" w:rsidR="6AEA64A5">
        <w:rPr>
          <w:rFonts w:ascii="Times New Roman" w:hAnsi="Times New Roman" w:eastAsia="Times New Roman" w:cs="Times New Roman"/>
          <w:b w:val="0"/>
          <w:bCs w:val="0"/>
          <w:sz w:val="24"/>
          <w:szCs w:val="24"/>
        </w:rPr>
        <w:t xml:space="preserve"> </w:t>
      </w:r>
      <w:r w:rsidRPr="3DD49DB7" w:rsidR="3D698A85">
        <w:rPr>
          <w:rFonts w:ascii="Times New Roman" w:hAnsi="Times New Roman" w:eastAsia="Times New Roman" w:cs="Times New Roman"/>
          <w:b w:val="0"/>
          <w:bCs w:val="0"/>
          <w:sz w:val="24"/>
          <w:szCs w:val="24"/>
        </w:rPr>
        <w:t>L</w:t>
      </w:r>
      <w:r w:rsidRPr="3DD49DB7" w:rsidR="6AEA64A5">
        <w:rPr>
          <w:rFonts w:ascii="Times New Roman" w:hAnsi="Times New Roman" w:eastAsia="Times New Roman" w:cs="Times New Roman"/>
          <w:b w:val="0"/>
          <w:bCs w:val="0"/>
          <w:sz w:val="24"/>
          <w:szCs w:val="24"/>
        </w:rPr>
        <w:t>a suprema corte ha ne</w:t>
      </w:r>
      <w:r w:rsidRPr="3DD49DB7" w:rsidR="7AAEDE68">
        <w:rPr>
          <w:rFonts w:ascii="Times New Roman" w:hAnsi="Times New Roman" w:eastAsia="Times New Roman" w:cs="Times New Roman"/>
          <w:b w:val="0"/>
          <w:bCs w:val="0"/>
          <w:sz w:val="24"/>
          <w:szCs w:val="24"/>
        </w:rPr>
        <w:t>gato l’applicabilità dell'art. 234-bis c.p.p. (acquisizione di documenti e dati informatici conservati all'estero)</w:t>
      </w:r>
      <w:r w:rsidRPr="3DD49DB7" w:rsidR="469FED6D">
        <w:rPr>
          <w:rFonts w:ascii="Times New Roman" w:hAnsi="Times New Roman" w:eastAsia="Times New Roman" w:cs="Times New Roman"/>
          <w:b w:val="0"/>
          <w:bCs w:val="0"/>
          <w:sz w:val="24"/>
          <w:szCs w:val="24"/>
        </w:rPr>
        <w:t>.</w:t>
      </w:r>
    </w:p>
    <w:p w:rsidR="411C9FBA" w:rsidP="1E4A1C8B" w:rsidRDefault="411C9FBA" w14:paraId="17CADACF" w14:textId="119D4D41">
      <w:pPr>
        <w:pStyle w:val="Normal"/>
        <w:spacing w:before="0" w:beforeAutospacing="off" w:line="360" w:lineRule="auto"/>
        <w:jc w:val="both"/>
      </w:pPr>
      <w:r w:rsidRPr="49E96B32" w:rsidR="7FBA1B2C">
        <w:rPr>
          <w:rFonts w:ascii="Times New Roman" w:hAnsi="Times New Roman" w:eastAsia="Times New Roman" w:cs="Times New Roman"/>
          <w:b w:val="0"/>
          <w:bCs w:val="0"/>
          <w:sz w:val="24"/>
          <w:szCs w:val="24"/>
        </w:rPr>
        <w:t>Come correttamente rilevato dalla Corte di cassazione, tale disciplina si pone in termini “alternativi e incompatibili” rispetto a quella prevista per l’ordine europeo di indagine. Essa, infatti, opera indipendentemente da qualsiasi forma di cooperazione con l’autorità giudiziaria di un altro Stato, mentre il Considerando 35 della direttiva attribuisce all’OEI un ruolo prevalente rispetto agli altri strumenti internazionali eventualmente applicabili nella stessa materia.</w:t>
      </w:r>
      <w:r w:rsidRPr="49E96B32" w:rsidR="7FBA1B2C">
        <w:rPr>
          <w:rFonts w:ascii="Times New Roman" w:hAnsi="Times New Roman" w:eastAsia="Times New Roman" w:cs="Times New Roman"/>
          <w:b w:val="0"/>
          <w:bCs w:val="0"/>
          <w:sz w:val="24"/>
          <w:szCs w:val="24"/>
        </w:rPr>
        <w:t xml:space="preserve"> </w:t>
      </w:r>
    </w:p>
    <w:p w:rsidR="411C9FBA" w:rsidP="3DD49DB7" w:rsidRDefault="411C9FBA" w14:paraId="62AFDBEA" w14:textId="02289268">
      <w:pPr>
        <w:pStyle w:val="Normal"/>
        <w:spacing w:before="0" w:beforeAutospacing="off" w:line="360" w:lineRule="auto"/>
        <w:jc w:val="both"/>
        <w:rPr>
          <w:rFonts w:ascii="Times New Roman" w:hAnsi="Times New Roman" w:eastAsia="Times New Roman" w:cs="Times New Roman"/>
          <w:b w:val="0"/>
          <w:bCs w:val="0"/>
          <w:sz w:val="24"/>
          <w:szCs w:val="24"/>
        </w:rPr>
      </w:pPr>
      <w:r w:rsidRPr="3DD49DB7" w:rsidR="7FBA1B2C">
        <w:rPr>
          <w:rFonts w:ascii="Times New Roman" w:hAnsi="Times New Roman" w:eastAsia="Times New Roman" w:cs="Times New Roman"/>
          <w:b w:val="0"/>
          <w:bCs w:val="0"/>
          <w:sz w:val="24"/>
          <w:szCs w:val="24"/>
        </w:rPr>
        <w:t>Una volta attivato lo strumento dell’OEI, trovano applicazione le garanzie che ne regolano il funzionamento. Tra queste assumono rilievo, in particolare, il principio di equivalenza, in base al quale l’atto investigativo richiesto dovrebbe poter essere disposto alle medesime condizioni previste per un caso interno analogo, e il principio di proporzionalità, che impone di limitare eventuali restrizioni dei diritti fondamentali allo stretto necessario, evitando di incidere sul loro nucleo essenziale.</w:t>
      </w:r>
      <w:r w:rsidRPr="3DD49DB7">
        <w:rPr>
          <w:rStyle w:val="FootnoteReference"/>
          <w:rFonts w:ascii="Times New Roman" w:hAnsi="Times New Roman" w:eastAsia="Times New Roman" w:cs="Times New Roman"/>
          <w:b w:val="0"/>
          <w:bCs w:val="0"/>
          <w:sz w:val="24"/>
          <w:szCs w:val="24"/>
        </w:rPr>
        <w:footnoteReference w:id="11972"/>
      </w:r>
    </w:p>
    <w:p w:rsidR="411C9FBA" w:rsidP="1E4A1C8B" w:rsidRDefault="411C9FBA" w14:paraId="1F8AA7EB" w14:textId="102FCC1F">
      <w:pPr>
        <w:pStyle w:val="Normal"/>
        <w:spacing w:before="0" w:beforeAutospacing="off" w:line="360" w:lineRule="auto"/>
        <w:jc w:val="both"/>
      </w:pPr>
      <w:r w:rsidRPr="3DD49DB7" w:rsidR="7FBA1B2C">
        <w:rPr>
          <w:rFonts w:ascii="Times New Roman" w:hAnsi="Times New Roman" w:eastAsia="Times New Roman" w:cs="Times New Roman"/>
          <w:b w:val="0"/>
          <w:bCs w:val="0"/>
          <w:sz w:val="24"/>
          <w:szCs w:val="24"/>
        </w:rPr>
        <w:t xml:space="preserve"> </w:t>
      </w:r>
    </w:p>
    <w:p w:rsidR="411C9FBA" w:rsidP="3DD49DB7" w:rsidRDefault="411C9FBA" w14:paraId="4B962E70" w14:textId="0C05CF97">
      <w:pPr>
        <w:pStyle w:val="Normal"/>
        <w:spacing w:before="0" w:beforeAutospacing="off" w:line="360" w:lineRule="auto"/>
        <w:jc w:val="both"/>
        <w:rPr>
          <w:rFonts w:ascii="Times New Roman" w:hAnsi="Times New Roman" w:eastAsia="Times New Roman" w:cs="Times New Roman"/>
          <w:b w:val="0"/>
          <w:bCs w:val="0"/>
          <w:sz w:val="24"/>
          <w:szCs w:val="24"/>
        </w:rPr>
      </w:pPr>
      <w:r w:rsidRPr="3DD49DB7" w:rsidR="7FBA1B2C">
        <w:rPr>
          <w:rFonts w:ascii="Times New Roman" w:hAnsi="Times New Roman" w:eastAsia="Times New Roman" w:cs="Times New Roman"/>
          <w:b w:val="0"/>
          <w:bCs w:val="0"/>
          <w:sz w:val="24"/>
          <w:szCs w:val="24"/>
        </w:rPr>
        <w:t>La questione problematica consiste, tuttavia, nel comprendere come tali principi possano operare rispetto a elementi di prova che, essendo stati acquisiti autonomamente dalle autorità straniere, risultano già formati secondo la legge del luogo (</w:t>
      </w:r>
      <w:r w:rsidRPr="3DD49DB7" w:rsidR="7FBA1B2C">
        <w:rPr>
          <w:rFonts w:ascii="Times New Roman" w:hAnsi="Times New Roman" w:eastAsia="Times New Roman" w:cs="Times New Roman"/>
          <w:b w:val="0"/>
          <w:bCs w:val="0"/>
          <w:sz w:val="24"/>
          <w:szCs w:val="24"/>
        </w:rPr>
        <w:t>lex</w:t>
      </w:r>
      <w:r w:rsidRPr="3DD49DB7" w:rsidR="7FBA1B2C">
        <w:rPr>
          <w:rFonts w:ascii="Times New Roman" w:hAnsi="Times New Roman" w:eastAsia="Times New Roman" w:cs="Times New Roman"/>
          <w:b w:val="0"/>
          <w:bCs w:val="0"/>
          <w:sz w:val="24"/>
          <w:szCs w:val="24"/>
        </w:rPr>
        <w:t xml:space="preserve"> loci), senza alcun riferimento preventivo alle regole dell’ordinamento richiedente (</w:t>
      </w:r>
      <w:r w:rsidRPr="3DD49DB7" w:rsidR="7FBA1B2C">
        <w:rPr>
          <w:rFonts w:ascii="Times New Roman" w:hAnsi="Times New Roman" w:eastAsia="Times New Roman" w:cs="Times New Roman"/>
          <w:b w:val="0"/>
          <w:bCs w:val="0"/>
          <w:sz w:val="24"/>
          <w:szCs w:val="24"/>
        </w:rPr>
        <w:t>lex</w:t>
      </w:r>
      <w:r w:rsidRPr="3DD49DB7" w:rsidR="7FBA1B2C">
        <w:rPr>
          <w:rFonts w:ascii="Times New Roman" w:hAnsi="Times New Roman" w:eastAsia="Times New Roman" w:cs="Times New Roman"/>
          <w:b w:val="0"/>
          <w:bCs w:val="0"/>
          <w:sz w:val="24"/>
          <w:szCs w:val="24"/>
        </w:rPr>
        <w:t xml:space="preserve"> fori).</w:t>
      </w:r>
      <w:r w:rsidRPr="3DD49DB7">
        <w:rPr>
          <w:rStyle w:val="FootnoteReference"/>
          <w:rFonts w:ascii="Times New Roman" w:hAnsi="Times New Roman" w:eastAsia="Times New Roman" w:cs="Times New Roman"/>
          <w:b w:val="0"/>
          <w:bCs w:val="0"/>
          <w:sz w:val="24"/>
          <w:szCs w:val="24"/>
        </w:rPr>
        <w:footnoteReference w:id="20743"/>
      </w:r>
    </w:p>
    <w:p w:rsidR="411C9FBA" w:rsidP="1E4A1C8B" w:rsidRDefault="411C9FBA" w14:paraId="2C2784B9" w14:textId="17A9E528">
      <w:pPr>
        <w:pStyle w:val="Normal"/>
        <w:spacing w:before="0" w:beforeAutospacing="off" w:line="360" w:lineRule="auto"/>
        <w:jc w:val="both"/>
        <w:rPr>
          <w:rFonts w:ascii="Times New Roman" w:hAnsi="Times New Roman" w:eastAsia="Times New Roman" w:cs="Times New Roman"/>
          <w:b w:val="0"/>
          <w:bCs w:val="0"/>
          <w:sz w:val="24"/>
          <w:szCs w:val="24"/>
        </w:rPr>
      </w:pPr>
      <w:r w:rsidRPr="3DD49DB7" w:rsidR="658F3F57">
        <w:rPr>
          <w:rFonts w:ascii="Times New Roman" w:hAnsi="Times New Roman" w:eastAsia="Times New Roman" w:cs="Times New Roman"/>
          <w:b w:val="0"/>
          <w:bCs w:val="0"/>
          <w:sz w:val="24"/>
          <w:szCs w:val="24"/>
        </w:rPr>
        <w:t>E’</w:t>
      </w:r>
      <w:r w:rsidRPr="3DD49DB7" w:rsidR="658F3F57">
        <w:rPr>
          <w:rFonts w:ascii="Times New Roman" w:hAnsi="Times New Roman" w:eastAsia="Times New Roman" w:cs="Times New Roman"/>
          <w:b w:val="0"/>
          <w:bCs w:val="0"/>
          <w:sz w:val="24"/>
          <w:szCs w:val="24"/>
        </w:rPr>
        <w:t xml:space="preserve"> evidente che se le procedure tecniche-scientifiche utilizzate all’</w:t>
      </w:r>
      <w:r w:rsidRPr="3DD49DB7" w:rsidR="717FC70A">
        <w:rPr>
          <w:rFonts w:ascii="Times New Roman" w:hAnsi="Times New Roman" w:eastAsia="Times New Roman" w:cs="Times New Roman"/>
          <w:b w:val="0"/>
          <w:bCs w:val="0"/>
          <w:sz w:val="24"/>
          <w:szCs w:val="24"/>
        </w:rPr>
        <w:t>estero per la decriptazione non sono verificate e verificabili il principio del contraddittorio nella formazione della prova di</w:t>
      </w:r>
      <w:r w:rsidRPr="3DD49DB7" w:rsidR="0860BEE7">
        <w:rPr>
          <w:rFonts w:ascii="Times New Roman" w:hAnsi="Times New Roman" w:eastAsia="Times New Roman" w:cs="Times New Roman"/>
          <w:b w:val="0"/>
          <w:bCs w:val="0"/>
          <w:sz w:val="24"/>
          <w:szCs w:val="24"/>
        </w:rPr>
        <w:t xml:space="preserve">gitale </w:t>
      </w:r>
      <w:r w:rsidRPr="3DD49DB7" w:rsidR="1C49D703">
        <w:rPr>
          <w:rFonts w:ascii="Times New Roman" w:hAnsi="Times New Roman" w:eastAsia="Times New Roman" w:cs="Times New Roman"/>
          <w:b w:val="0"/>
          <w:bCs w:val="0"/>
          <w:sz w:val="24"/>
          <w:szCs w:val="24"/>
        </w:rPr>
        <w:t>risulta fortemente indebolito.</w:t>
      </w:r>
      <w:r w:rsidRPr="3DD49DB7">
        <w:rPr>
          <w:rStyle w:val="FootnoteReference"/>
          <w:rFonts w:ascii="Times New Roman" w:hAnsi="Times New Roman" w:eastAsia="Times New Roman" w:cs="Times New Roman"/>
          <w:b w:val="0"/>
          <w:bCs w:val="0"/>
          <w:sz w:val="24"/>
          <w:szCs w:val="24"/>
        </w:rPr>
        <w:footnoteReference w:id="25807"/>
      </w:r>
      <w:r w:rsidRPr="3DD49DB7" w:rsidR="1C49D703">
        <w:rPr>
          <w:rFonts w:ascii="Times New Roman" w:hAnsi="Times New Roman" w:eastAsia="Times New Roman" w:cs="Times New Roman"/>
          <w:b w:val="0"/>
          <w:bCs w:val="0"/>
          <w:sz w:val="24"/>
          <w:szCs w:val="24"/>
        </w:rPr>
        <w:t xml:space="preserve"> </w:t>
      </w:r>
    </w:p>
    <w:p w:rsidR="411C9FBA" w:rsidP="1E4A1C8B" w:rsidRDefault="411C9FBA" w14:paraId="0067D274" w14:textId="081AC8D6">
      <w:pPr>
        <w:pStyle w:val="Normal"/>
        <w:spacing w:before="0" w:beforeAutospacing="off" w:line="360" w:lineRule="auto"/>
        <w:jc w:val="both"/>
      </w:pPr>
      <w:r w:rsidRPr="67C465D3" w:rsidR="411C9FBA">
        <w:rPr>
          <w:rFonts w:ascii="Times New Roman" w:hAnsi="Times New Roman" w:eastAsia="Times New Roman" w:cs="Times New Roman"/>
          <w:b w:val="0"/>
          <w:bCs w:val="0"/>
          <w:sz w:val="24"/>
          <w:szCs w:val="24"/>
        </w:rPr>
        <w:t xml:space="preserve">Recentemente, la </w:t>
      </w:r>
      <w:r w:rsidRPr="67C465D3" w:rsidR="411C9FBA">
        <w:rPr>
          <w:rFonts w:ascii="Times New Roman" w:hAnsi="Times New Roman" w:eastAsia="Times New Roman" w:cs="Times New Roman"/>
          <w:b w:val="0"/>
          <w:bCs w:val="0"/>
          <w:sz w:val="24"/>
          <w:szCs w:val="24"/>
        </w:rPr>
        <w:t>Corte di Cassazione</w:t>
      </w:r>
      <w:r w:rsidRPr="67C465D3" w:rsidR="411C9FBA">
        <w:rPr>
          <w:rFonts w:ascii="Times New Roman" w:hAnsi="Times New Roman" w:eastAsia="Times New Roman" w:cs="Times New Roman"/>
          <w:b w:val="0"/>
          <w:bCs w:val="0"/>
          <w:sz w:val="24"/>
          <w:szCs w:val="24"/>
        </w:rPr>
        <w:t xml:space="preserve">, recependo i principi espressi dalla </w:t>
      </w:r>
      <w:r w:rsidRPr="67C465D3" w:rsidR="411C9FBA">
        <w:rPr>
          <w:rFonts w:ascii="Times New Roman" w:hAnsi="Times New Roman" w:eastAsia="Times New Roman" w:cs="Times New Roman"/>
          <w:b w:val="0"/>
          <w:bCs w:val="0"/>
          <w:sz w:val="24"/>
          <w:szCs w:val="24"/>
        </w:rPr>
        <w:t>Corte Co</w:t>
      </w:r>
      <w:r w:rsidRPr="67C465D3" w:rsidR="411C9FBA">
        <w:rPr>
          <w:rFonts w:ascii="Times New Roman" w:hAnsi="Times New Roman" w:eastAsia="Times New Roman" w:cs="Times New Roman"/>
          <w:b w:val="0"/>
          <w:bCs w:val="0"/>
          <w:sz w:val="24"/>
          <w:szCs w:val="24"/>
        </w:rPr>
        <w:t>stituzionale</w:t>
      </w:r>
      <w:r w:rsidRPr="67C465D3" w:rsidR="411C9FBA">
        <w:rPr>
          <w:rFonts w:ascii="Times New Roman" w:hAnsi="Times New Roman" w:eastAsia="Times New Roman" w:cs="Times New Roman"/>
          <w:b w:val="0"/>
          <w:bCs w:val="0"/>
          <w:sz w:val="24"/>
          <w:szCs w:val="24"/>
        </w:rPr>
        <w:t xml:space="preserve"> nella</w:t>
      </w:r>
      <w:r w:rsidRPr="3DD49DB7" w:rsidR="42581ACF">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 xml:space="preserve">sentenza n. 170/2023, ha affermato </w:t>
      </w:r>
      <w:r w:rsidRPr="3DD49DB7" w:rsidR="3E8213F4">
        <w:rPr>
          <w:rFonts w:ascii="Times New Roman" w:hAnsi="Times New Roman" w:eastAsia="Times New Roman" w:cs="Times New Roman"/>
          <w:b w:val="0"/>
          <w:bCs w:val="0"/>
          <w:sz w:val="24"/>
          <w:szCs w:val="24"/>
        </w:rPr>
        <w:t xml:space="preserve">un fondamentale cambio di paradigma </w:t>
      </w:r>
      <w:r w:rsidRPr="3DD49DB7" w:rsidR="4864A91B">
        <w:rPr>
          <w:rFonts w:ascii="Times New Roman" w:hAnsi="Times New Roman" w:eastAsia="Times New Roman" w:cs="Times New Roman"/>
          <w:b w:val="0"/>
          <w:bCs w:val="0"/>
          <w:sz w:val="24"/>
          <w:szCs w:val="24"/>
        </w:rPr>
        <w:t xml:space="preserve">affermando che la prova digitale non è </w:t>
      </w:r>
      <w:r w:rsidRPr="3DD49DB7" w:rsidR="0340FDA2">
        <w:rPr>
          <w:rFonts w:ascii="Times New Roman" w:hAnsi="Times New Roman" w:eastAsia="Times New Roman" w:cs="Times New Roman"/>
          <w:b w:val="0"/>
          <w:bCs w:val="0"/>
          <w:sz w:val="24"/>
          <w:szCs w:val="24"/>
        </w:rPr>
        <w:t xml:space="preserve">un “documento” o un “mero dato” </w:t>
      </w:r>
      <w:r w:rsidRPr="3DD49DB7" w:rsidR="0340FDA2">
        <w:rPr>
          <w:rFonts w:ascii="Times New Roman" w:hAnsi="Times New Roman" w:eastAsia="Times New Roman" w:cs="Times New Roman"/>
          <w:b w:val="0"/>
          <w:bCs w:val="0"/>
          <w:sz w:val="24"/>
          <w:szCs w:val="24"/>
        </w:rPr>
        <w:t xml:space="preserve">ma </w:t>
      </w:r>
      <w:r w:rsidRPr="3DD49DB7" w:rsidR="3E8213F4">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i</w:t>
      </w:r>
      <w:r w:rsidRPr="3DD49DB7" w:rsidR="411C9FBA">
        <w:rPr>
          <w:rFonts w:ascii="Times New Roman" w:hAnsi="Times New Roman" w:eastAsia="Times New Roman" w:cs="Times New Roman"/>
          <w:b w:val="0"/>
          <w:bCs w:val="0"/>
          <w:sz w:val="24"/>
          <w:szCs w:val="24"/>
        </w:rPr>
        <w:t xml:space="preserve"> messaggi di</w:t>
      </w:r>
      <w:r w:rsidRPr="3DD49DB7" w:rsidR="198EC1AE">
        <w:rPr>
          <w:rFonts w:ascii="Times New Roman" w:hAnsi="Times New Roman" w:eastAsia="Times New Roman" w:cs="Times New Roman"/>
          <w:b w:val="0"/>
          <w:bCs w:val="0"/>
          <w:sz w:val="24"/>
          <w:szCs w:val="24"/>
        </w:rPr>
        <w:t xml:space="preserve"> </w:t>
      </w:r>
      <w:r w:rsidRPr="3DD49DB7" w:rsidR="411C9FBA">
        <w:rPr>
          <w:rFonts w:ascii="Times New Roman" w:hAnsi="Times New Roman" w:eastAsia="Times New Roman" w:cs="Times New Roman"/>
          <w:b w:val="0"/>
          <w:bCs w:val="0"/>
          <w:sz w:val="24"/>
          <w:szCs w:val="24"/>
        </w:rPr>
        <w:t xml:space="preserve">messaggistica istantanea (come WhatsApp o comunicazioni su </w:t>
      </w:r>
      <w:r w:rsidRPr="3DD49DB7" w:rsidR="411C9FBA">
        <w:rPr>
          <w:rFonts w:ascii="Times New Roman" w:hAnsi="Times New Roman" w:eastAsia="Times New Roman" w:cs="Times New Roman"/>
          <w:b w:val="0"/>
          <w:bCs w:val="0"/>
          <w:sz w:val="24"/>
          <w:szCs w:val="24"/>
        </w:rPr>
        <w:t>criptofonini</w:t>
      </w:r>
      <w:r w:rsidRPr="3DD49DB7" w:rsidR="411C9FBA">
        <w:rPr>
          <w:rFonts w:ascii="Times New Roman" w:hAnsi="Times New Roman" w:eastAsia="Times New Roman" w:cs="Times New Roman"/>
          <w:b w:val="0"/>
          <w:bCs w:val="0"/>
          <w:sz w:val="24"/>
          <w:szCs w:val="24"/>
        </w:rPr>
        <w:t>) conserva</w:t>
      </w:r>
      <w:r w:rsidRPr="3DD49DB7" w:rsidR="411C9FBA">
        <w:rPr>
          <w:rFonts w:ascii="Times New Roman" w:hAnsi="Times New Roman" w:eastAsia="Times New Roman" w:cs="Times New Roman"/>
          <w:b w:val="0"/>
          <w:bCs w:val="0"/>
          <w:sz w:val="24"/>
          <w:szCs w:val="24"/>
        </w:rPr>
        <w:t>ti nella memoria del dispositivo</w:t>
      </w:r>
      <w:r w:rsidRPr="3DD49DB7" w:rsidR="1AB60531">
        <w:rPr>
          <w:rFonts w:ascii="Times New Roman" w:hAnsi="Times New Roman" w:eastAsia="Times New Roman" w:cs="Times New Roman"/>
          <w:b w:val="0"/>
          <w:bCs w:val="0"/>
          <w:sz w:val="24"/>
          <w:szCs w:val="24"/>
        </w:rPr>
        <w:t xml:space="preserve"> </w:t>
      </w:r>
      <w:r w:rsidRPr="3DD49DB7" w:rsidR="60627DE8">
        <w:rPr>
          <w:rFonts w:ascii="Times New Roman" w:hAnsi="Times New Roman" w:eastAsia="Times New Roman" w:cs="Times New Roman"/>
          <w:b w:val="0"/>
          <w:bCs w:val="0"/>
          <w:sz w:val="24"/>
          <w:szCs w:val="24"/>
        </w:rPr>
        <w:t>costituiscono ”corrispondenza</w:t>
      </w:r>
      <w:r w:rsidRPr="3DD49DB7" w:rsidR="60627DE8">
        <w:rPr>
          <w:rFonts w:ascii="Times New Roman" w:hAnsi="Times New Roman" w:eastAsia="Times New Roman" w:cs="Times New Roman"/>
          <w:b w:val="0"/>
          <w:bCs w:val="0"/>
          <w:sz w:val="24"/>
          <w:szCs w:val="24"/>
        </w:rPr>
        <w:t>”</w:t>
      </w:r>
      <w:r w:rsidRPr="3DD49DB7" w:rsidR="411C9FBA">
        <w:rPr>
          <w:rFonts w:ascii="Times New Roman" w:hAnsi="Times New Roman" w:eastAsia="Times New Roman" w:cs="Times New Roman"/>
          <w:b w:val="0"/>
          <w:bCs w:val="0"/>
          <w:sz w:val="24"/>
          <w:szCs w:val="24"/>
        </w:rPr>
        <w:t xml:space="preserve"> tutelata dall’art. 15</w:t>
      </w:r>
      <w:r w:rsidRPr="3DD49DB7" w:rsidR="266F8B46">
        <w:rPr>
          <w:rFonts w:ascii="Times New Roman" w:hAnsi="Times New Roman" w:eastAsia="Times New Roman" w:cs="Times New Roman"/>
          <w:b w:val="0"/>
          <w:bCs w:val="0"/>
          <w:sz w:val="24"/>
          <w:szCs w:val="24"/>
        </w:rPr>
        <w:t xml:space="preserve"> della Costituzione. </w:t>
      </w:r>
    </w:p>
    <w:p w:rsidR="411C9FBA" w:rsidP="3DD49DB7" w:rsidRDefault="411C9FBA" w14:paraId="1DC3BAB2" w14:textId="36880D97">
      <w:pPr>
        <w:pStyle w:val="Normal"/>
        <w:spacing w:before="0" w:beforeAutospacing="off" w:line="360" w:lineRule="auto"/>
        <w:jc w:val="both"/>
        <w:rPr>
          <w:rFonts w:ascii="Times New Roman" w:hAnsi="Times New Roman" w:eastAsia="Times New Roman" w:cs="Times New Roman"/>
          <w:b w:val="0"/>
          <w:bCs w:val="0"/>
          <w:sz w:val="24"/>
          <w:szCs w:val="24"/>
        </w:rPr>
      </w:pPr>
      <w:r w:rsidRPr="3DD49DB7" w:rsidR="63D4DACB">
        <w:rPr>
          <w:rFonts w:ascii="Times New Roman" w:hAnsi="Times New Roman" w:eastAsia="Times New Roman" w:cs="Times New Roman"/>
          <w:b w:val="0"/>
          <w:bCs w:val="0"/>
          <w:sz w:val="24"/>
          <w:szCs w:val="24"/>
        </w:rPr>
        <w:t>Ricordiamo brevemente che nella sentenza n. 170/2023 il conflitto di attribuzioni tra poteri dello Stato oggetto della pronuncia trae origine dal ricorso presentato l’11 maggio 2022 dal Senato della Repubblica nei confronti della Procura della Repubblica presso il Tribunale di Firenze.</w:t>
      </w:r>
      <w:r w:rsidRPr="3DD49DB7" w:rsidR="1456FAFB">
        <w:rPr>
          <w:rFonts w:ascii="Times New Roman" w:hAnsi="Times New Roman" w:eastAsia="Times New Roman" w:cs="Times New Roman"/>
          <w:b w:val="0"/>
          <w:bCs w:val="0"/>
          <w:sz w:val="24"/>
          <w:szCs w:val="24"/>
        </w:rPr>
        <w:t xml:space="preserve"> </w:t>
      </w:r>
      <w:r w:rsidRPr="3DD49DB7" w:rsidR="63D4DACB">
        <w:rPr>
          <w:rFonts w:ascii="Times New Roman" w:hAnsi="Times New Roman" w:eastAsia="Times New Roman" w:cs="Times New Roman"/>
          <w:b w:val="0"/>
          <w:bCs w:val="0"/>
          <w:sz w:val="24"/>
          <w:szCs w:val="24"/>
        </w:rPr>
        <w:t>La vicenda riguarda un procedimento penale (R.G.N.R. n. 3745/2019) nei confronti del senatore Matteo Renzi e di altri soggetti, nell’ambito del quale la Procura aveva acquisito corrispondenza riferibile allo stesso senatore senza richiedere la preventiva autorizzazione del Senato. Secondo la tesi del ricorrente, tale condotta avrebbe leso le prerogative garantite dall’art. 68, terzo comma, della Costituzione.</w:t>
      </w:r>
      <w:r w:rsidRPr="3DD49DB7">
        <w:rPr>
          <w:rStyle w:val="FootnoteReference"/>
          <w:rFonts w:ascii="Times New Roman" w:hAnsi="Times New Roman" w:eastAsia="Times New Roman" w:cs="Times New Roman"/>
          <w:b w:val="0"/>
          <w:bCs w:val="0"/>
          <w:sz w:val="24"/>
          <w:szCs w:val="24"/>
        </w:rPr>
        <w:footnoteReference w:id="30393"/>
      </w:r>
      <w:r w:rsidRPr="3DD49DB7" w:rsidR="57EFECC8">
        <w:rPr>
          <w:rFonts w:ascii="Times New Roman" w:hAnsi="Times New Roman" w:eastAsia="Times New Roman" w:cs="Times New Roman"/>
          <w:b w:val="0"/>
          <w:bCs w:val="0"/>
          <w:sz w:val="24"/>
          <w:szCs w:val="24"/>
        </w:rPr>
        <w:t xml:space="preserve"> </w:t>
      </w:r>
      <w:r w:rsidRPr="3DD49DB7" w:rsidR="63D4DACB">
        <w:rPr>
          <w:rFonts w:ascii="Times New Roman" w:hAnsi="Times New Roman" w:eastAsia="Times New Roman" w:cs="Times New Roman"/>
          <w:b w:val="0"/>
          <w:bCs w:val="0"/>
          <w:sz w:val="24"/>
          <w:szCs w:val="24"/>
        </w:rPr>
        <w:t>In particolare, il materiale acquisito comprendeva messaggi WhatsApp intercorsi tra Renzi e alcuni collaboratori in diversi periodi tra il 2018 e il 2019, nonché alcune comunicazioni via e-mail tra questi ultimi. A ciò si aggiungeva l’acquisizione, mediante decreto, di estratti del conto corrente personale del senatore relativi a un arco temporale compreso tra il giugno 2018 e il marzo 2020.</w:t>
      </w:r>
      <w:r w:rsidRPr="3DD49DB7" w:rsidR="1358E451">
        <w:rPr>
          <w:rFonts w:ascii="Times New Roman" w:hAnsi="Times New Roman" w:eastAsia="Times New Roman" w:cs="Times New Roman"/>
          <w:b w:val="0"/>
          <w:bCs w:val="0"/>
          <w:sz w:val="24"/>
          <w:szCs w:val="24"/>
        </w:rPr>
        <w:t xml:space="preserve"> </w:t>
      </w:r>
      <w:r w:rsidRPr="3DD49DB7" w:rsidR="63D4DACB">
        <w:rPr>
          <w:rFonts w:ascii="Times New Roman" w:hAnsi="Times New Roman" w:eastAsia="Times New Roman" w:cs="Times New Roman"/>
          <w:b w:val="0"/>
          <w:bCs w:val="0"/>
          <w:sz w:val="24"/>
          <w:szCs w:val="24"/>
        </w:rPr>
        <w:t>Il punto centrale della controversia risiede dunque nella legittimità dell’acquisizione di tali dati in assenza dell’autorizzazione parlamentare, richiesta quando vengono in rilievo comunicazioni riferibili a un membro del Parlamento.</w:t>
      </w:r>
      <w:r w:rsidRPr="3DD49DB7" w:rsidR="1648AA31">
        <w:rPr>
          <w:rFonts w:ascii="Times New Roman" w:hAnsi="Times New Roman" w:eastAsia="Times New Roman" w:cs="Times New Roman"/>
          <w:b w:val="0"/>
          <w:bCs w:val="0"/>
          <w:sz w:val="24"/>
          <w:szCs w:val="24"/>
        </w:rPr>
        <w:t xml:space="preserve"> </w:t>
      </w:r>
      <w:r w:rsidRPr="3DD49DB7">
        <w:rPr>
          <w:rStyle w:val="FootnoteReference"/>
          <w:rFonts w:ascii="Times New Roman" w:hAnsi="Times New Roman" w:eastAsia="Times New Roman" w:cs="Times New Roman"/>
          <w:b w:val="0"/>
          <w:bCs w:val="0"/>
          <w:sz w:val="24"/>
          <w:szCs w:val="24"/>
        </w:rPr>
        <w:footnoteReference w:id="7394"/>
      </w:r>
    </w:p>
    <w:p w:rsidR="411C9FBA" w:rsidP="3DD49DB7" w:rsidRDefault="411C9FBA" w14:paraId="73C2414B" w14:textId="49E1EA57">
      <w:pPr>
        <w:pStyle w:val="Normal"/>
        <w:spacing w:before="0" w:beforeAutospacing="off" w:line="360" w:lineRule="auto"/>
        <w:jc w:val="both"/>
        <w:rPr>
          <w:rFonts w:ascii="Times New Roman" w:hAnsi="Times New Roman" w:eastAsia="Times New Roman" w:cs="Times New Roman"/>
          <w:b w:val="0"/>
          <w:bCs w:val="0"/>
          <w:sz w:val="24"/>
          <w:szCs w:val="24"/>
        </w:rPr>
      </w:pPr>
      <w:r w:rsidRPr="3DD49DB7" w:rsidR="6608BFE0">
        <w:rPr>
          <w:rFonts w:ascii="Times New Roman" w:hAnsi="Times New Roman" w:eastAsia="Times New Roman" w:cs="Times New Roman"/>
          <w:b w:val="0"/>
          <w:bCs w:val="0"/>
          <w:sz w:val="24"/>
          <w:szCs w:val="24"/>
        </w:rPr>
        <w:t>La Corte costituzionale individua come questione centrale la qualificazione dell’attività svolta dalla Procura, chiedendosi se l’acquisizione dei materiali possa essere ricondotta al “sequestro di corrispondenza”, con conseguente applicazione della garanzia prevista dall’art. 68, terzo comma, Cost. In primo luogo, la Corte adotta una nozione ampia di “corrispondenza”, comprensiva di qualsiasi comunicazione tra soggetti determinati, a prescindere dal mezzo utilizzato. In questa prospettiva, anche e-mail e messaggi WhatsApp rientrano pienamente nella tutela costituzionale, essendo assimilabili alla corrispondenza tradizionale. Il nodo più delicato riguarda, però, le comunicazioni già ricevute e conservate nei dispositivi: la Corte si interroga se esse mantengano la natura di corrispondenza oppure si trasformino in semplici documenti. Accogliendo la tesi del Senato, la Corte opta per una soluzione sostanzialistica, affermando che anche i messaggi già letti continuano a essere coperti dalle garanzie costituzionali.</w:t>
      </w:r>
      <w:r w:rsidRPr="3DD49DB7" w:rsidR="59AA7044">
        <w:rPr>
          <w:rFonts w:ascii="Times New Roman" w:hAnsi="Times New Roman" w:eastAsia="Times New Roman" w:cs="Times New Roman"/>
          <w:b w:val="0"/>
          <w:bCs w:val="0"/>
          <w:sz w:val="24"/>
          <w:szCs w:val="24"/>
        </w:rPr>
        <w:t xml:space="preserve"> </w:t>
      </w:r>
      <w:r w:rsidRPr="3DD49DB7" w:rsidR="6608BFE0">
        <w:rPr>
          <w:rFonts w:ascii="Times New Roman" w:hAnsi="Times New Roman" w:eastAsia="Times New Roman" w:cs="Times New Roman"/>
          <w:b w:val="0"/>
          <w:bCs w:val="0"/>
          <w:sz w:val="24"/>
          <w:szCs w:val="24"/>
        </w:rPr>
        <w:t>Una diversa interpretazione, infatti, svuoterebbe di fatto la tutela, soprattutto nel contesto digitale, dove ricezione e lettura avvengono quasi simultaneamente. Inoltre, limitare la protezione alle sole comunicazioni “in itinere” renderebbe facilmente eludibile l’obbligo di autorizzazione parlamentare, consentendo agli inquirenti di attendere la conclusione della comunicazione per poi acquisirla.</w:t>
      </w:r>
      <w:r w:rsidRPr="3DD49DB7" w:rsidR="77AD1B77">
        <w:rPr>
          <w:rFonts w:ascii="Times New Roman" w:hAnsi="Times New Roman" w:eastAsia="Times New Roman" w:cs="Times New Roman"/>
          <w:b w:val="0"/>
          <w:bCs w:val="0"/>
          <w:sz w:val="24"/>
          <w:szCs w:val="24"/>
        </w:rPr>
        <w:t xml:space="preserve"> </w:t>
      </w:r>
      <w:r w:rsidRPr="3DD49DB7" w:rsidR="6608BFE0">
        <w:rPr>
          <w:rFonts w:ascii="Times New Roman" w:hAnsi="Times New Roman" w:eastAsia="Times New Roman" w:cs="Times New Roman"/>
          <w:b w:val="0"/>
          <w:bCs w:val="0"/>
          <w:sz w:val="24"/>
          <w:szCs w:val="24"/>
        </w:rPr>
        <w:t>La decisione si fonda anche sulla funzione dell’art. 68 Cost., che non tutela un privilegio personale del parlamentare, ma protegge l’esercizio libero del mandato da possibili interferenze. In questa ottica, la Corte distingue due livelli di tutela: uno generale, relativo alla segretezza delle comunicazioni (art. 15 Cost.), e uno specifico, connesso alla funzione parlamentare (art. 68 Cost.).</w:t>
      </w:r>
      <w:r w:rsidRPr="3DD49DB7">
        <w:rPr>
          <w:rStyle w:val="FootnoteReference"/>
          <w:rFonts w:ascii="Times New Roman" w:hAnsi="Times New Roman" w:eastAsia="Times New Roman" w:cs="Times New Roman"/>
          <w:b w:val="0"/>
          <w:bCs w:val="0"/>
          <w:sz w:val="24"/>
          <w:szCs w:val="24"/>
        </w:rPr>
        <w:footnoteReference w:id="24882"/>
      </w:r>
    </w:p>
    <w:p w:rsidR="411C9FBA" w:rsidP="1E4A1C8B" w:rsidRDefault="411C9FBA" w14:paraId="6908E90C" w14:textId="616F2911">
      <w:pPr>
        <w:pStyle w:val="Normal"/>
        <w:spacing w:before="0" w:beforeAutospacing="off" w:line="360" w:lineRule="auto"/>
        <w:jc w:val="both"/>
      </w:pPr>
      <w:r w:rsidRPr="3DD49DB7" w:rsidR="515A57E3">
        <w:rPr>
          <w:rFonts w:ascii="Times New Roman" w:hAnsi="Times New Roman" w:eastAsia="Times New Roman" w:cs="Times New Roman"/>
          <w:b w:val="0"/>
          <w:bCs w:val="0"/>
          <w:sz w:val="24"/>
          <w:szCs w:val="24"/>
        </w:rPr>
        <w:t>Viene ribadito quindi che la protezione costituzionale della corrispondenza non cessa per il solo fatto che il messaggio, una volta recapitato al destinatario, resti archiviato nella memoria del dispositivo. Il messaggio informatico, anche se giacente in una memoria locale o cloud, mantiene intatta la sua natura di manifestazione del pensiero interpersonale</w:t>
      </w:r>
      <w:r w:rsidRPr="3DD49DB7">
        <w:rPr>
          <w:rStyle w:val="FootnoteReference"/>
          <w:rFonts w:ascii="Times New Roman" w:hAnsi="Times New Roman" w:eastAsia="Times New Roman" w:cs="Times New Roman"/>
          <w:b w:val="0"/>
          <w:bCs w:val="0"/>
          <w:sz w:val="24"/>
          <w:szCs w:val="24"/>
        </w:rPr>
        <w:footnoteReference w:id="8416"/>
      </w:r>
      <w:r w:rsidRPr="3DD49DB7" w:rsidR="515A57E3">
        <w:rPr>
          <w:rFonts w:ascii="Times New Roman" w:hAnsi="Times New Roman" w:eastAsia="Times New Roman" w:cs="Times New Roman"/>
          <w:b w:val="0"/>
          <w:bCs w:val="0"/>
          <w:sz w:val="24"/>
          <w:szCs w:val="24"/>
        </w:rPr>
        <w:t>. Conseguentemente, l’attività di acquisizione di tali contenuti non può essere degradata a semplice attività di sequestro di “dati” o “documenti”, ma deve necessariamente soggiacere alle garanzie di legalità, tipicità e riserva di giurisdizione che presiedono alla limitazione della libertà e della segretezza delle comunicazioni.</w:t>
      </w:r>
      <w:r w:rsidRPr="3DD49DB7" w:rsidR="082090B9">
        <w:rPr>
          <w:rFonts w:ascii="Times New Roman" w:hAnsi="Times New Roman" w:eastAsia="Times New Roman" w:cs="Times New Roman"/>
          <w:b w:val="0"/>
          <w:bCs w:val="0"/>
          <w:sz w:val="24"/>
          <w:szCs w:val="24"/>
        </w:rPr>
        <w:t xml:space="preserve"> </w:t>
      </w:r>
    </w:p>
    <w:p w:rsidR="411C9FBA" w:rsidP="1E4A1C8B" w:rsidRDefault="411C9FBA" w14:paraId="71D31FEB" w14:textId="4CB04477">
      <w:pPr>
        <w:pStyle w:val="Normal"/>
        <w:spacing w:before="0" w:beforeAutospacing="off" w:line="360" w:lineRule="auto"/>
        <w:jc w:val="both"/>
      </w:pPr>
      <w:r w:rsidRPr="3DD49DB7" w:rsidR="082090B9">
        <w:rPr>
          <w:rFonts w:ascii="Times New Roman" w:hAnsi="Times New Roman" w:eastAsia="Times New Roman" w:cs="Times New Roman"/>
          <w:b w:val="0"/>
          <w:bCs w:val="0"/>
          <w:sz w:val="24"/>
          <w:szCs w:val="24"/>
        </w:rPr>
        <w:t>In questa nuova veste il dato digitale appare bifronte, da un lato dato materiale e dall’altro manifestazione di un diritto fondamentale</w:t>
      </w:r>
      <w:r w:rsidRPr="3DD49DB7">
        <w:rPr>
          <w:rStyle w:val="FootnoteReference"/>
          <w:rFonts w:ascii="Times New Roman" w:hAnsi="Times New Roman" w:eastAsia="Times New Roman" w:cs="Times New Roman"/>
          <w:b w:val="0"/>
          <w:bCs w:val="0"/>
          <w:sz w:val="24"/>
          <w:szCs w:val="24"/>
        </w:rPr>
        <w:footnoteReference w:id="6662"/>
      </w:r>
      <w:r w:rsidRPr="3DD49DB7" w:rsidR="082090B9">
        <w:rPr>
          <w:rFonts w:ascii="Times New Roman" w:hAnsi="Times New Roman" w:eastAsia="Times New Roman" w:cs="Times New Roman"/>
          <w:b w:val="0"/>
          <w:bCs w:val="0"/>
          <w:sz w:val="24"/>
          <w:szCs w:val="24"/>
        </w:rPr>
        <w:t xml:space="preserve">. </w:t>
      </w:r>
    </w:p>
    <w:p w:rsidR="411C9FBA" w:rsidP="1E4A1C8B" w:rsidRDefault="411C9FBA" w14:paraId="48EAAF28" w14:textId="72D4EF97">
      <w:pPr>
        <w:pStyle w:val="Normal"/>
        <w:spacing w:before="0" w:beforeAutospacing="off" w:line="360" w:lineRule="auto"/>
        <w:jc w:val="both"/>
      </w:pPr>
      <w:r w:rsidRPr="1E4A1C8B" w:rsidR="411C9FBA">
        <w:rPr>
          <w:rFonts w:ascii="Times New Roman" w:hAnsi="Times New Roman" w:eastAsia="Times New Roman" w:cs="Times New Roman"/>
          <w:b w:val="0"/>
          <w:bCs w:val="0"/>
          <w:sz w:val="24"/>
          <w:szCs w:val="24"/>
        </w:rPr>
        <w:t>Ciò comporta che la loro acquisizione richieda un provvedimento</w:t>
      </w:r>
      <w:r w:rsidRPr="1E4A1C8B" w:rsidR="6FA957ED">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motivato dell’autorità giudiziaria e non possa avvenire tramite semplice acquisizione</w:t>
      </w:r>
      <w:r w:rsidRPr="1E4A1C8B" w:rsidR="24B42E6A">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 xml:space="preserve">documentale. </w:t>
      </w:r>
    </w:p>
    <w:p w:rsidR="411C9FBA" w:rsidP="1E4A1C8B" w:rsidRDefault="411C9FBA" w14:paraId="0A58D3DC" w14:textId="78132D3C">
      <w:pPr>
        <w:pStyle w:val="Normal"/>
        <w:spacing w:before="0" w:beforeAutospacing="off" w:line="360" w:lineRule="auto"/>
        <w:jc w:val="both"/>
      </w:pPr>
      <w:r w:rsidRPr="1E4A1C8B" w:rsidR="411C9FBA">
        <w:rPr>
          <w:rFonts w:ascii="Times New Roman" w:hAnsi="Times New Roman" w:eastAsia="Times New Roman" w:cs="Times New Roman"/>
          <w:b w:val="0"/>
          <w:bCs w:val="0"/>
          <w:sz w:val="24"/>
          <w:szCs w:val="24"/>
        </w:rPr>
        <w:t>Tuttavia, nei casi Sky ECC, le modalità tecniche di acquisizione sono</w:t>
      </w:r>
      <w:r w:rsidRPr="1E4A1C8B" w:rsidR="3BA51934">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spesso rimaste opache per la difesa italiana, protette dal segreto di Stato estero. La</w:t>
      </w:r>
      <w:r w:rsidRPr="1E4A1C8B" w:rsidR="598E8E83">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Suprema Corte ha sovente salvaguardato l’utilizzabilità di tali dati invocando il prin</w:t>
      </w:r>
      <w:r w:rsidRPr="1E4A1C8B" w:rsidR="411C9FBA">
        <w:rPr>
          <w:rFonts w:ascii="Times New Roman" w:hAnsi="Times New Roman" w:eastAsia="Times New Roman" w:cs="Times New Roman"/>
          <w:b w:val="0"/>
          <w:bCs w:val="0"/>
          <w:sz w:val="24"/>
          <w:szCs w:val="24"/>
        </w:rPr>
        <w:t>cipio</w:t>
      </w:r>
      <w:r w:rsidRPr="1E4A1C8B" w:rsidR="411C9FBA">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di ”fiducia</w:t>
      </w:r>
      <w:r w:rsidRPr="1E4A1C8B" w:rsidR="411C9FBA">
        <w:rPr>
          <w:rFonts w:ascii="Times New Roman" w:hAnsi="Times New Roman" w:eastAsia="Times New Roman" w:cs="Times New Roman"/>
          <w:b w:val="0"/>
          <w:bCs w:val="0"/>
          <w:sz w:val="24"/>
          <w:szCs w:val="24"/>
        </w:rPr>
        <w:t xml:space="preserve"> reciproca” tra Stati membri dell’UE, limitando il controllo del giudice</w:t>
      </w:r>
      <w:r w:rsidRPr="1E4A1C8B" w:rsidR="7CB17D7B">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italiano e comprimendo, di fatto, il diritto della difesa di accedere alla prova tecnica</w:t>
      </w:r>
      <w:r w:rsidRPr="1E4A1C8B" w:rsidR="36AE5D7D">
        <w:rPr>
          <w:rFonts w:ascii="Times New Roman" w:hAnsi="Times New Roman" w:eastAsia="Times New Roman" w:cs="Times New Roman"/>
          <w:b w:val="0"/>
          <w:bCs w:val="0"/>
          <w:sz w:val="24"/>
          <w:szCs w:val="24"/>
        </w:rPr>
        <w:t xml:space="preserve"> </w:t>
      </w:r>
      <w:r w:rsidRPr="1E4A1C8B" w:rsidR="411C9FBA">
        <w:rPr>
          <w:rFonts w:ascii="Times New Roman" w:hAnsi="Times New Roman" w:eastAsia="Times New Roman" w:cs="Times New Roman"/>
          <w:b w:val="0"/>
          <w:bCs w:val="0"/>
          <w:sz w:val="24"/>
          <w:szCs w:val="24"/>
        </w:rPr>
        <w:t>originale e agli algoritmi di decriptazione.</w:t>
      </w:r>
      <w:r w:rsidRPr="1E4A1C8B" w:rsidR="49D025EE">
        <w:rPr>
          <w:rFonts w:ascii="Times New Roman" w:hAnsi="Times New Roman" w:eastAsia="Times New Roman" w:cs="Times New Roman"/>
          <w:b w:val="0"/>
          <w:bCs w:val="0"/>
          <w:sz w:val="24"/>
          <w:szCs w:val="24"/>
        </w:rPr>
        <w:t xml:space="preserve"> </w:t>
      </w:r>
    </w:p>
    <w:p w:rsidR="6EDF02F2" w:rsidP="1E4A1C8B" w:rsidRDefault="6EDF02F2" w14:paraId="2075F17E" w14:textId="06EC84A0">
      <w:pPr>
        <w:pStyle w:val="Normal"/>
        <w:spacing w:before="0" w:beforeAutospacing="off" w:line="360" w:lineRule="auto"/>
        <w:jc w:val="both"/>
      </w:pPr>
      <w:r w:rsidRPr="3DD49DB7" w:rsidR="6EDF02F2">
        <w:rPr>
          <w:rFonts w:ascii="Times New Roman" w:hAnsi="Times New Roman" w:eastAsia="Times New Roman" w:cs="Times New Roman"/>
          <w:b w:val="0"/>
          <w:bCs w:val="0"/>
          <w:sz w:val="24"/>
          <w:szCs w:val="24"/>
        </w:rPr>
        <w:t xml:space="preserve">Il </w:t>
      </w:r>
      <w:r w:rsidRPr="3DD49DB7" w:rsidR="15BF4935">
        <w:rPr>
          <w:rFonts w:ascii="Times New Roman" w:hAnsi="Times New Roman" w:eastAsia="Times New Roman" w:cs="Times New Roman"/>
          <w:b w:val="0"/>
          <w:bCs w:val="0"/>
          <w:sz w:val="24"/>
          <w:szCs w:val="24"/>
        </w:rPr>
        <w:t>“</w:t>
      </w:r>
      <w:r w:rsidRPr="3DD49DB7" w:rsidR="15BF4935">
        <w:rPr>
          <w:rFonts w:ascii="Times New Roman" w:hAnsi="Times New Roman" w:eastAsia="Times New Roman" w:cs="Times New Roman"/>
          <w:b w:val="0"/>
          <w:bCs w:val="0"/>
          <w:sz w:val="24"/>
          <w:szCs w:val="24"/>
        </w:rPr>
        <w:t>d.d.l.</w:t>
      </w:r>
      <w:r w:rsidRPr="3DD49DB7" w:rsidR="15BF4935">
        <w:rPr>
          <w:rFonts w:ascii="Times New Roman" w:hAnsi="Times New Roman" w:eastAsia="Times New Roman" w:cs="Times New Roman"/>
          <w:b w:val="0"/>
          <w:bCs w:val="0"/>
          <w:sz w:val="24"/>
          <w:szCs w:val="24"/>
        </w:rPr>
        <w:t xml:space="preserve"> Zanettin”  </w:t>
      </w:r>
      <w:r w:rsidRPr="3DD49DB7" w:rsidR="6EDF02F2">
        <w:rPr>
          <w:rFonts w:ascii="Times New Roman" w:hAnsi="Times New Roman" w:eastAsia="Times New Roman" w:cs="Times New Roman"/>
          <w:b w:val="0"/>
          <w:bCs w:val="0"/>
          <w:sz w:val="24"/>
          <w:szCs w:val="24"/>
        </w:rPr>
        <w:t>Disegno di Legge S. 806 (trasmesso alla Camera come A.C. 1822)</w:t>
      </w:r>
      <w:r w:rsidRPr="3DD49DB7">
        <w:rPr>
          <w:rStyle w:val="FootnoteReference"/>
          <w:rFonts w:ascii="Times New Roman" w:hAnsi="Times New Roman" w:eastAsia="Times New Roman" w:cs="Times New Roman"/>
          <w:b w:val="0"/>
          <w:bCs w:val="0"/>
          <w:sz w:val="24"/>
          <w:szCs w:val="24"/>
        </w:rPr>
        <w:footnoteReference w:id="18564"/>
      </w:r>
      <w:r w:rsidRPr="3DD49DB7" w:rsidR="6EDF02F2">
        <w:rPr>
          <w:rFonts w:ascii="Times New Roman" w:hAnsi="Times New Roman" w:eastAsia="Times New Roman" w:cs="Times New Roman"/>
          <w:b w:val="0"/>
          <w:bCs w:val="0"/>
          <w:sz w:val="24"/>
          <w:szCs w:val="24"/>
        </w:rPr>
        <w:t xml:space="preserve"> </w:t>
      </w:r>
      <w:r w:rsidRPr="3DD49DB7" w:rsidR="789B429F">
        <w:rPr>
          <w:rFonts w:ascii="Times New Roman" w:hAnsi="Times New Roman" w:eastAsia="Times New Roman" w:cs="Times New Roman"/>
          <w:b w:val="0"/>
          <w:bCs w:val="0"/>
          <w:sz w:val="24"/>
          <w:szCs w:val="24"/>
        </w:rPr>
        <w:t xml:space="preserve">recante “Modifiche al codice di procedura penale in materia di sequestro di dispositivi, sistemi informatici o telematici o memorie digitali” – che mira all’introduzione di una specifica disciplina sul sequestro di smartphone e altri dispositivi, proponendo di inserire, nel codice di rito, l’art. 254 ter </w:t>
      </w:r>
      <w:r w:rsidRPr="3DD49DB7" w:rsidR="6EDF02F2">
        <w:rPr>
          <w:rFonts w:ascii="Times New Roman" w:hAnsi="Times New Roman" w:eastAsia="Times New Roman" w:cs="Times New Roman"/>
          <w:b w:val="0"/>
          <w:bCs w:val="0"/>
          <w:sz w:val="24"/>
          <w:szCs w:val="24"/>
        </w:rPr>
        <w:t>risponde all’esigenza di porre rimedio a questo vuoto di tutela nel nostro ordinamento giuridico</w:t>
      </w:r>
      <w:r w:rsidRPr="3DD49DB7" w:rsidR="056F04C4">
        <w:rPr>
          <w:rFonts w:ascii="Times New Roman" w:hAnsi="Times New Roman" w:eastAsia="Times New Roman" w:cs="Times New Roman"/>
          <w:b w:val="0"/>
          <w:bCs w:val="0"/>
          <w:sz w:val="24"/>
          <w:szCs w:val="24"/>
        </w:rPr>
        <w:t xml:space="preserve"> cercando una ritrovata armonia sia con i principi fondamentali della Carta CEDU, sia con i principi affermati dall</w:t>
      </w:r>
      <w:r w:rsidRPr="3DD49DB7" w:rsidR="4ECCAD4C">
        <w:rPr>
          <w:rFonts w:ascii="Times New Roman" w:hAnsi="Times New Roman" w:eastAsia="Times New Roman" w:cs="Times New Roman"/>
          <w:b w:val="0"/>
          <w:bCs w:val="0"/>
          <w:sz w:val="24"/>
          <w:szCs w:val="24"/>
        </w:rPr>
        <w:t>a giurisprudenza della Corte di Giustizia Europea</w:t>
      </w:r>
      <w:r w:rsidRPr="3DD49DB7" w:rsidR="4ECCAD4C">
        <w:rPr>
          <w:rFonts w:ascii="Times New Roman" w:hAnsi="Times New Roman" w:eastAsia="Times New Roman" w:cs="Times New Roman"/>
          <w:b w:val="0"/>
          <w:bCs w:val="0"/>
          <w:sz w:val="24"/>
          <w:szCs w:val="24"/>
        </w:rPr>
        <w:t xml:space="preserve">. </w:t>
      </w:r>
    </w:p>
    <w:p w:rsidR="0875F24D" w:rsidP="3DD49DB7" w:rsidRDefault="0875F24D" w14:paraId="58930D80" w14:textId="6786C4C1">
      <w:pPr>
        <w:pStyle w:val="Normal"/>
        <w:spacing w:before="0" w:beforeAutospacing="off" w:line="360" w:lineRule="auto"/>
        <w:jc w:val="both"/>
        <w:rPr>
          <w:rFonts w:ascii="Times New Roman" w:hAnsi="Times New Roman" w:eastAsia="Times New Roman" w:cs="Times New Roman"/>
          <w:b w:val="0"/>
          <w:bCs w:val="0"/>
          <w:sz w:val="24"/>
          <w:szCs w:val="24"/>
        </w:rPr>
      </w:pPr>
      <w:r w:rsidRPr="3DD49DB7" w:rsidR="0875F24D">
        <w:rPr>
          <w:rFonts w:ascii="Times New Roman" w:hAnsi="Times New Roman" w:eastAsia="Times New Roman" w:cs="Times New Roman"/>
          <w:b w:val="0"/>
          <w:bCs w:val="0"/>
          <w:sz w:val="24"/>
          <w:szCs w:val="24"/>
        </w:rPr>
        <w:t xml:space="preserve">La ratio del progetto </w:t>
      </w:r>
      <w:r w:rsidRPr="3DD49DB7" w:rsidR="059BE9F7">
        <w:rPr>
          <w:rFonts w:ascii="Times New Roman" w:hAnsi="Times New Roman" w:eastAsia="Times New Roman" w:cs="Times New Roman"/>
          <w:b w:val="0"/>
          <w:bCs w:val="0"/>
          <w:sz w:val="24"/>
          <w:szCs w:val="24"/>
        </w:rPr>
        <w:t>disegnava il sequestro probatorio di materiale informatico in foma selettiva e proporzionata nel pieno rispetto del</w:t>
      </w:r>
      <w:r w:rsidRPr="3DD49DB7" w:rsidR="10564D5B">
        <w:rPr>
          <w:rFonts w:ascii="Times New Roman" w:hAnsi="Times New Roman" w:eastAsia="Times New Roman" w:cs="Times New Roman"/>
          <w:b w:val="0"/>
          <w:bCs w:val="0"/>
          <w:sz w:val="24"/>
          <w:szCs w:val="24"/>
        </w:rPr>
        <w:t xml:space="preserve">la riservatezza dell’indagato e dei terzi. </w:t>
      </w:r>
      <w:r w:rsidRPr="3DD49DB7">
        <w:rPr>
          <w:rStyle w:val="FootnoteReference"/>
          <w:rFonts w:ascii="Times New Roman" w:hAnsi="Times New Roman" w:eastAsia="Times New Roman" w:cs="Times New Roman"/>
          <w:b w:val="0"/>
          <w:bCs w:val="0"/>
          <w:sz w:val="24"/>
          <w:szCs w:val="24"/>
        </w:rPr>
        <w:footnoteReference w:id="22063"/>
      </w:r>
    </w:p>
    <w:p w:rsidR="46AB2FEF" w:rsidP="3DD49DB7" w:rsidRDefault="46AB2FEF" w14:paraId="4294E017" w14:textId="7021A9A0">
      <w:pPr>
        <w:pStyle w:val="Normal"/>
        <w:spacing w:before="0" w:beforeAutospacing="off" w:line="360" w:lineRule="auto"/>
        <w:jc w:val="both"/>
      </w:pPr>
      <w:r w:rsidRPr="3DD49DB7" w:rsidR="46AB2FEF">
        <w:rPr>
          <w:rFonts w:ascii="Times New Roman" w:hAnsi="Times New Roman" w:eastAsia="Times New Roman" w:cs="Times New Roman"/>
          <w:b w:val="0"/>
          <w:bCs w:val="0"/>
          <w:sz w:val="24"/>
          <w:szCs w:val="24"/>
        </w:rPr>
        <w:t>Il disegno di legge introduce una procedura articolata per le indagini sui dispositivi informatici, suddivisa in tre fasi: sequestro del dispositivo, successiva copia e analisi dei dati, e infine acquisizione dei contenuti rilevanti ai fini investigativi.</w:t>
      </w:r>
    </w:p>
    <w:p w:rsidR="46AB2FEF" w:rsidP="3DD49DB7" w:rsidRDefault="46AB2FEF" w14:paraId="1AF04BA5" w14:textId="511B90ED">
      <w:pPr>
        <w:pStyle w:val="Normal"/>
        <w:spacing w:before="0" w:beforeAutospacing="off" w:line="360" w:lineRule="auto"/>
        <w:jc w:val="both"/>
      </w:pPr>
      <w:r w:rsidRPr="3DD49DB7" w:rsidR="46AB2FEF">
        <w:rPr>
          <w:rFonts w:ascii="Times New Roman" w:hAnsi="Times New Roman" w:eastAsia="Times New Roman" w:cs="Times New Roman"/>
          <w:b w:val="0"/>
          <w:bCs w:val="0"/>
          <w:sz w:val="24"/>
          <w:szCs w:val="24"/>
        </w:rPr>
        <w:t>Il meccanismo si basa su tre distinti provvedimenti di sequestro, adottati in parte dal giudice per le indagini preliminari e in parte dal pubblico ministero:</w:t>
      </w:r>
    </w:p>
    <w:p w:rsidR="3DD49DB7" w:rsidP="3DD49DB7" w:rsidRDefault="3DD49DB7" w14:paraId="16A916AA" w14:textId="6BF1EC87">
      <w:pPr>
        <w:pStyle w:val="Normal"/>
        <w:spacing w:before="0" w:beforeAutospacing="off" w:line="360" w:lineRule="auto"/>
        <w:jc w:val="both"/>
        <w:rPr>
          <w:rFonts w:ascii="Times New Roman" w:hAnsi="Times New Roman" w:eastAsia="Times New Roman" w:cs="Times New Roman"/>
          <w:b w:val="0"/>
          <w:bCs w:val="0"/>
          <w:sz w:val="24"/>
          <w:szCs w:val="24"/>
        </w:rPr>
      </w:pPr>
    </w:p>
    <w:p w:rsidR="46AB2FEF" w:rsidP="3DD49DB7" w:rsidRDefault="46AB2FEF" w14:paraId="79013E9F" w14:textId="2B581221">
      <w:pPr>
        <w:pStyle w:val="Normal"/>
        <w:spacing w:before="0" w:beforeAutospacing="off" w:line="360" w:lineRule="auto"/>
        <w:jc w:val="both"/>
      </w:pPr>
      <w:r w:rsidRPr="3DD49DB7" w:rsidR="46AB2FEF">
        <w:rPr>
          <w:rFonts w:ascii="Times New Roman" w:hAnsi="Times New Roman" w:eastAsia="Times New Roman" w:cs="Times New Roman"/>
          <w:b w:val="0"/>
          <w:bCs w:val="0"/>
          <w:sz w:val="24"/>
          <w:szCs w:val="24"/>
        </w:rPr>
        <w:t xml:space="preserve">    - il sequestro iniziale del dispositivo, disposto dal GIP su richiesta del PM;</w:t>
      </w:r>
    </w:p>
    <w:p w:rsidR="46AB2FEF" w:rsidP="3DD49DB7" w:rsidRDefault="46AB2FEF" w14:paraId="657F9A99" w14:textId="22545307">
      <w:pPr>
        <w:pStyle w:val="Normal"/>
        <w:spacing w:before="0" w:beforeAutospacing="off" w:line="360" w:lineRule="auto"/>
        <w:jc w:val="both"/>
      </w:pPr>
      <w:r w:rsidRPr="3DD49DB7" w:rsidR="46AB2FEF">
        <w:rPr>
          <w:rFonts w:ascii="Times New Roman" w:hAnsi="Times New Roman" w:eastAsia="Times New Roman" w:cs="Times New Roman"/>
          <w:b w:val="0"/>
          <w:bCs w:val="0"/>
          <w:sz w:val="24"/>
          <w:szCs w:val="24"/>
        </w:rPr>
        <w:t xml:space="preserve">  - il sequestro dei dati non comunicativi, autorizzato direttamente dal pubblico ministero</w:t>
      </w:r>
      <w:r w:rsidRPr="3DD49DB7" w:rsidR="69017F29">
        <w:rPr>
          <w:rFonts w:ascii="Times New Roman" w:hAnsi="Times New Roman" w:eastAsia="Times New Roman" w:cs="Times New Roman"/>
          <w:b w:val="0"/>
          <w:bCs w:val="0"/>
          <w:sz w:val="24"/>
          <w:szCs w:val="24"/>
        </w:rPr>
        <w:t xml:space="preserve">; </w:t>
      </w:r>
    </w:p>
    <w:p w:rsidR="46AB2FEF" w:rsidP="3DD49DB7" w:rsidRDefault="46AB2FEF" w14:paraId="499B7AF5" w14:textId="395B26D3">
      <w:pPr>
        <w:pStyle w:val="Normal"/>
        <w:spacing w:before="0" w:beforeAutospacing="off" w:line="360" w:lineRule="auto"/>
        <w:jc w:val="both"/>
      </w:pPr>
      <w:r w:rsidRPr="3DD49DB7" w:rsidR="46AB2FEF">
        <w:rPr>
          <w:rFonts w:ascii="Times New Roman" w:hAnsi="Times New Roman" w:eastAsia="Times New Roman" w:cs="Times New Roman"/>
          <w:b w:val="0"/>
          <w:bCs w:val="0"/>
          <w:sz w:val="24"/>
          <w:szCs w:val="24"/>
        </w:rPr>
        <w:t>-</w:t>
      </w:r>
      <w:r w:rsidRPr="3DD49DB7" w:rsidR="41AEACC6">
        <w:rPr>
          <w:rFonts w:ascii="Times New Roman" w:hAnsi="Times New Roman" w:eastAsia="Times New Roman" w:cs="Times New Roman"/>
          <w:b w:val="0"/>
          <w:bCs w:val="0"/>
          <w:sz w:val="24"/>
          <w:szCs w:val="24"/>
        </w:rPr>
        <w:t xml:space="preserve"> </w:t>
      </w:r>
      <w:r w:rsidRPr="3DD49DB7" w:rsidR="46AB2FEF">
        <w:rPr>
          <w:rFonts w:ascii="Times New Roman" w:hAnsi="Times New Roman" w:eastAsia="Times New Roman" w:cs="Times New Roman"/>
          <w:b w:val="0"/>
          <w:bCs w:val="0"/>
          <w:sz w:val="24"/>
          <w:szCs w:val="24"/>
        </w:rPr>
        <w:t>il sequestro dei dati comunicativi, nuovamente subordinato a un provvedimento del GIP.</w:t>
      </w:r>
      <w:r w:rsidRPr="3DD49DB7" w:rsidR="46AB2FEF">
        <w:rPr>
          <w:rFonts w:ascii="Times New Roman" w:hAnsi="Times New Roman" w:eastAsia="Times New Roman" w:cs="Times New Roman"/>
          <w:b w:val="0"/>
          <w:bCs w:val="0"/>
          <w:sz w:val="24"/>
          <w:szCs w:val="24"/>
        </w:rPr>
        <w:t xml:space="preserve"> </w:t>
      </w:r>
    </w:p>
    <w:p w:rsidR="46AB2FEF" w:rsidP="3DD49DB7" w:rsidRDefault="46AB2FEF" w14:paraId="01DB7809" w14:textId="04FC5117">
      <w:pPr>
        <w:pStyle w:val="Normal"/>
        <w:spacing w:before="0" w:beforeAutospacing="off" w:line="360" w:lineRule="auto"/>
        <w:jc w:val="both"/>
      </w:pPr>
      <w:r w:rsidRPr="3DD49DB7" w:rsidR="46AB2FEF">
        <w:rPr>
          <w:rFonts w:ascii="Times New Roman" w:hAnsi="Times New Roman" w:eastAsia="Times New Roman" w:cs="Times New Roman"/>
          <w:b w:val="0"/>
          <w:bCs w:val="0"/>
          <w:sz w:val="24"/>
          <w:szCs w:val="24"/>
        </w:rPr>
        <w:t>Questa scansione evidenzia la natura complessa dell’attività investigativa digitale, che si sviluppa attraverso più passaggi (sequestro, copia forense, analisi e selezione), ciascuno dei quali richiede autonomi presupposti di legittimità.</w:t>
      </w:r>
    </w:p>
    <w:p w:rsidR="46AB2FEF" w:rsidP="3DD49DB7" w:rsidRDefault="46AB2FEF" w14:paraId="28EAFCB1" w14:textId="2E60F776">
      <w:pPr>
        <w:pStyle w:val="Normal"/>
        <w:spacing w:before="0" w:beforeAutospacing="off" w:line="360" w:lineRule="auto"/>
        <w:jc w:val="both"/>
      </w:pPr>
      <w:r w:rsidRPr="3DD49DB7" w:rsidR="46AB2FEF">
        <w:rPr>
          <w:rFonts w:ascii="Times New Roman" w:hAnsi="Times New Roman" w:eastAsia="Times New Roman" w:cs="Times New Roman"/>
          <w:b w:val="0"/>
          <w:bCs w:val="0"/>
          <w:sz w:val="24"/>
          <w:szCs w:val="24"/>
        </w:rPr>
        <w:t>Il disegno di legge stabilisce inoltre che il sequestro sia giustificato da esigenze investigative concrete, valutate alla luce delle circostanze del caso e nel rispetto del principio di proporzionalità. Una tutela rafforzata è prevista per i dati comunicativi, per i quali è richiesto un ulteriore intervento del giudice in presenza delle condizioni previste dagli artt. 266 e 267 c.p.p.; diversamente, i dati non comunicativi possono essere acquisiti con decreto del PM, purché pertinenti e necessari.</w:t>
      </w:r>
    </w:p>
    <w:p w:rsidR="5D3D02B4" w:rsidP="1E4A1C8B" w:rsidRDefault="5D3D02B4" w14:paraId="0A5C68AF" w14:textId="312725DF">
      <w:pPr>
        <w:pStyle w:val="Normal"/>
        <w:spacing w:before="0" w:beforeAutospacing="off" w:line="360" w:lineRule="auto"/>
        <w:jc w:val="both"/>
      </w:pPr>
      <w:r w:rsidRPr="67C465D3" w:rsidR="5D3D02B4">
        <w:rPr>
          <w:rFonts w:ascii="Times New Roman" w:hAnsi="Times New Roman" w:eastAsia="Times New Roman" w:cs="Times New Roman"/>
          <w:b w:val="0"/>
          <w:bCs w:val="0"/>
          <w:sz w:val="24"/>
          <w:szCs w:val="24"/>
        </w:rPr>
        <w:t xml:space="preserve">Il nuovo art 254-ter c.p.p. prevedeva </w:t>
      </w:r>
      <w:r w:rsidRPr="3DD49DB7" w:rsidR="3A346F33">
        <w:rPr>
          <w:rFonts w:ascii="Times New Roman" w:hAnsi="Times New Roman" w:eastAsia="Times New Roman" w:cs="Times New Roman"/>
          <w:b w:val="0"/>
          <w:bCs w:val="0"/>
          <w:sz w:val="24"/>
          <w:szCs w:val="24"/>
        </w:rPr>
        <w:t xml:space="preserve">quindi </w:t>
      </w:r>
      <w:r w:rsidRPr="3DD49DB7" w:rsidR="5D3D02B4">
        <w:rPr>
          <w:rFonts w:ascii="Times New Roman" w:hAnsi="Times New Roman" w:eastAsia="Times New Roman" w:cs="Times New Roman"/>
          <w:b w:val="0"/>
          <w:bCs w:val="0"/>
          <w:sz w:val="24"/>
          <w:szCs w:val="24"/>
        </w:rPr>
        <w:t xml:space="preserve">una riserva di giurisdizione con decreto motivato </w:t>
      </w:r>
      <w:r w:rsidRPr="3DD49DB7" w:rsidR="71B21E99">
        <w:rPr>
          <w:rFonts w:ascii="Times New Roman" w:hAnsi="Times New Roman" w:eastAsia="Times New Roman" w:cs="Times New Roman"/>
          <w:b w:val="0"/>
          <w:bCs w:val="0"/>
          <w:sz w:val="24"/>
          <w:szCs w:val="24"/>
        </w:rPr>
        <w:t>a favore del giudice per le indagini preliminari (GIP) su richiesta del Pubblico Ministero</w:t>
      </w:r>
      <w:r w:rsidRPr="3DD49DB7" w:rsidR="39002081">
        <w:rPr>
          <w:rFonts w:ascii="Times New Roman" w:hAnsi="Times New Roman" w:eastAsia="Times New Roman" w:cs="Times New Roman"/>
          <w:b w:val="0"/>
          <w:bCs w:val="0"/>
          <w:sz w:val="24"/>
          <w:szCs w:val="24"/>
        </w:rPr>
        <w:t xml:space="preserve">. Il decreto motivato non doveva limitarsi alla mera pertinenza al reato ma </w:t>
      </w:r>
      <w:r w:rsidRPr="3DD49DB7" w:rsidR="71DD2680">
        <w:rPr>
          <w:rFonts w:ascii="Times New Roman" w:hAnsi="Times New Roman" w:eastAsia="Times New Roman" w:cs="Times New Roman"/>
          <w:b w:val="0"/>
          <w:bCs w:val="0"/>
          <w:sz w:val="24"/>
          <w:szCs w:val="24"/>
        </w:rPr>
        <w:t>necessariamente</w:t>
      </w:r>
      <w:r w:rsidRPr="3DD49DB7" w:rsidR="39002081">
        <w:rPr>
          <w:rFonts w:ascii="Times New Roman" w:hAnsi="Times New Roman" w:eastAsia="Times New Roman" w:cs="Times New Roman"/>
          <w:b w:val="0"/>
          <w:bCs w:val="0"/>
          <w:sz w:val="24"/>
          <w:szCs w:val="24"/>
        </w:rPr>
        <w:t xml:space="preserve"> </w:t>
      </w:r>
      <w:r w:rsidRPr="3DD49DB7" w:rsidR="137596AC">
        <w:rPr>
          <w:rFonts w:ascii="Times New Roman" w:hAnsi="Times New Roman" w:eastAsia="Times New Roman" w:cs="Times New Roman"/>
          <w:b w:val="0"/>
          <w:bCs w:val="0"/>
          <w:sz w:val="24"/>
          <w:szCs w:val="24"/>
        </w:rPr>
        <w:t>prevedere circostanze di tempo, luogo e modalità della condotta tali da giustificare il sequestro</w:t>
      </w:r>
      <w:r w:rsidRPr="3DD49DB7" w:rsidR="36123094">
        <w:rPr>
          <w:rFonts w:ascii="Times New Roman" w:hAnsi="Times New Roman" w:eastAsia="Times New Roman" w:cs="Times New Roman"/>
          <w:b w:val="0"/>
          <w:bCs w:val="0"/>
          <w:sz w:val="24"/>
          <w:szCs w:val="24"/>
        </w:rPr>
        <w:t xml:space="preserve"> chiarendo la necessità al fine di proseguire le indagini. </w:t>
      </w:r>
      <w:r w:rsidRPr="3DD49DB7" w:rsidR="4CCC5514">
        <w:rPr>
          <w:rFonts w:ascii="Times New Roman" w:hAnsi="Times New Roman" w:eastAsia="Times New Roman" w:cs="Times New Roman"/>
          <w:b w:val="0"/>
          <w:bCs w:val="0"/>
          <w:sz w:val="24"/>
          <w:szCs w:val="24"/>
        </w:rPr>
        <w:t>La procedura prevedeva sequestro fisico, duplicazione dei dati su supporti conformi,</w:t>
      </w:r>
      <w:r w:rsidRPr="3DD49DB7" w:rsidR="2D39EA78">
        <w:rPr>
          <w:rFonts w:ascii="Times New Roman" w:hAnsi="Times New Roman" w:eastAsia="Times New Roman" w:cs="Times New Roman"/>
          <w:b w:val="0"/>
          <w:bCs w:val="0"/>
          <w:sz w:val="24"/>
          <w:szCs w:val="24"/>
        </w:rPr>
        <w:t xml:space="preserve"> analisi della copia e sequestro mirati dei dati pertinenti al reato. Nel progetto non mancavano norme </w:t>
      </w:r>
      <w:r w:rsidRPr="3DD49DB7" w:rsidR="2D84017A">
        <w:rPr>
          <w:rFonts w:ascii="Times New Roman" w:hAnsi="Times New Roman" w:eastAsia="Times New Roman" w:cs="Times New Roman"/>
          <w:b w:val="0"/>
          <w:bCs w:val="0"/>
          <w:sz w:val="24"/>
          <w:szCs w:val="24"/>
        </w:rPr>
        <w:t xml:space="preserve">di attuazione riguardanti la custodia, la conservazione e la gestione dei duplicati recependo di fatto </w:t>
      </w:r>
      <w:r w:rsidRPr="3DD49DB7" w:rsidR="74DC7807">
        <w:rPr>
          <w:rFonts w:ascii="Times New Roman" w:hAnsi="Times New Roman" w:eastAsia="Times New Roman" w:cs="Times New Roman"/>
          <w:b w:val="0"/>
          <w:bCs w:val="0"/>
          <w:sz w:val="24"/>
          <w:szCs w:val="24"/>
        </w:rPr>
        <w:t>gli standard internazionali come la ISO/IEC 27037</w:t>
      </w:r>
      <w:r w:rsidRPr="3DD49DB7">
        <w:rPr>
          <w:rStyle w:val="FootnoteReference"/>
          <w:rFonts w:ascii="Times New Roman" w:hAnsi="Times New Roman" w:eastAsia="Times New Roman" w:cs="Times New Roman"/>
          <w:b w:val="0"/>
          <w:bCs w:val="0"/>
          <w:sz w:val="24"/>
          <w:szCs w:val="24"/>
        </w:rPr>
        <w:footnoteReference w:id="15344"/>
      </w:r>
      <w:r w:rsidRPr="3DD49DB7" w:rsidR="74DC7807">
        <w:rPr>
          <w:rFonts w:ascii="Times New Roman" w:hAnsi="Times New Roman" w:eastAsia="Times New Roman" w:cs="Times New Roman"/>
          <w:b w:val="0"/>
          <w:bCs w:val="0"/>
          <w:sz w:val="24"/>
          <w:szCs w:val="24"/>
        </w:rPr>
        <w:t xml:space="preserve">. </w:t>
      </w:r>
    </w:p>
    <w:p w:rsidR="6C9A32EF" w:rsidP="1E4A1C8B" w:rsidRDefault="6C9A32EF" w14:paraId="3A275CE1" w14:textId="185AD638">
      <w:pPr>
        <w:pStyle w:val="Normal"/>
        <w:spacing w:before="0" w:beforeAutospacing="off" w:line="360" w:lineRule="auto"/>
        <w:jc w:val="both"/>
      </w:pPr>
      <w:r w:rsidRPr="67C465D3" w:rsidR="6C9A32EF">
        <w:rPr>
          <w:rFonts w:ascii="Times New Roman" w:hAnsi="Times New Roman" w:eastAsia="Times New Roman" w:cs="Times New Roman"/>
          <w:b w:val="0"/>
          <w:bCs w:val="0"/>
          <w:sz w:val="24"/>
          <w:szCs w:val="24"/>
        </w:rPr>
        <w:t xml:space="preserve">Il merito di questo progetto è sicuramente quello </w:t>
      </w:r>
      <w:r w:rsidRPr="67C465D3" w:rsidR="39D76A99">
        <w:rPr>
          <w:rFonts w:ascii="Times New Roman" w:hAnsi="Times New Roman" w:eastAsia="Times New Roman" w:cs="Times New Roman"/>
          <w:b w:val="0"/>
          <w:bCs w:val="0"/>
          <w:sz w:val="24"/>
          <w:szCs w:val="24"/>
        </w:rPr>
        <w:t xml:space="preserve">di aver previsto la riserva di giurisdizione a svantaggio però di un procedimento che appare maggiormente farraginoso e poco adatto alle esigenze di speditezza che spesso sono presenti in </w:t>
      </w:r>
      <w:r w:rsidRPr="67C465D3" w:rsidR="5198DDFF">
        <w:rPr>
          <w:rFonts w:ascii="Times New Roman" w:hAnsi="Times New Roman" w:eastAsia="Times New Roman" w:cs="Times New Roman"/>
          <w:b w:val="0"/>
          <w:bCs w:val="0"/>
          <w:sz w:val="24"/>
          <w:szCs w:val="24"/>
        </w:rPr>
        <w:t>casi di cybercrime</w:t>
      </w:r>
      <w:r w:rsidRPr="67C465D3">
        <w:rPr>
          <w:rStyle w:val="FootnoteReference"/>
          <w:rFonts w:ascii="Times New Roman" w:hAnsi="Times New Roman" w:eastAsia="Times New Roman" w:cs="Times New Roman"/>
          <w:b w:val="0"/>
          <w:bCs w:val="0"/>
          <w:sz w:val="24"/>
          <w:szCs w:val="24"/>
        </w:rPr>
        <w:footnoteReference w:id="6692"/>
      </w:r>
      <w:r w:rsidRPr="67C465D3" w:rsidR="5198DDFF">
        <w:rPr>
          <w:rFonts w:ascii="Times New Roman" w:hAnsi="Times New Roman" w:eastAsia="Times New Roman" w:cs="Times New Roman"/>
          <w:b w:val="0"/>
          <w:bCs w:val="0"/>
          <w:sz w:val="24"/>
          <w:szCs w:val="24"/>
        </w:rPr>
        <w:t xml:space="preserve">. </w:t>
      </w:r>
      <w:r w:rsidRPr="67C465D3" w:rsidR="4CCC5514">
        <w:rPr>
          <w:rFonts w:ascii="Times New Roman" w:hAnsi="Times New Roman" w:eastAsia="Times New Roman" w:cs="Times New Roman"/>
          <w:b w:val="0"/>
          <w:bCs w:val="0"/>
          <w:sz w:val="24"/>
          <w:szCs w:val="24"/>
        </w:rPr>
        <w:t xml:space="preserve"> </w:t>
      </w:r>
    </w:p>
    <w:p w:rsidR="549E26F1" w:rsidP="3DD49DB7" w:rsidRDefault="549E26F1" w14:paraId="14FA4428" w14:textId="6CF47A74">
      <w:pPr>
        <w:pStyle w:val="Normal"/>
        <w:spacing w:before="0" w:beforeAutospacing="off" w:line="360" w:lineRule="auto"/>
        <w:jc w:val="both"/>
      </w:pPr>
      <w:r w:rsidRPr="3DD49DB7" w:rsidR="549E26F1">
        <w:rPr>
          <w:rFonts w:ascii="Times New Roman" w:hAnsi="Times New Roman" w:eastAsia="Times New Roman" w:cs="Times New Roman"/>
          <w:b w:val="0"/>
          <w:bCs w:val="0"/>
          <w:sz w:val="24"/>
          <w:szCs w:val="24"/>
        </w:rPr>
        <w:t>Relativamente al sequestro di smartphone ricordiamo la sentenza della CGUE, (Grande Sezione) 4 ottobre 2024, causa C</w:t>
      </w:r>
      <w:r>
        <w:rPr>
          <w:rFonts w:ascii="Times New Roman" w:hAnsi="Times New Roman"/>
          <w:sz w:val="24"/>
        </w:rPr>
        <w:noBreakHyphen/>
      </w:r>
      <w:r w:rsidRPr="3DD49DB7" w:rsidR="549E26F1">
        <w:rPr>
          <w:rFonts w:ascii="Times New Roman" w:hAnsi="Times New Roman" w:eastAsia="Times New Roman" w:cs="Times New Roman"/>
          <w:b w:val="0"/>
          <w:bCs w:val="0"/>
          <w:sz w:val="24"/>
          <w:szCs w:val="24"/>
        </w:rPr>
        <w:t>548/21</w:t>
      </w:r>
      <w:r w:rsidRPr="3DD49DB7" w:rsidR="53E269C2">
        <w:rPr>
          <w:rFonts w:ascii="Times New Roman" w:hAnsi="Times New Roman" w:eastAsia="Times New Roman" w:cs="Times New Roman"/>
          <w:b w:val="0"/>
          <w:bCs w:val="0"/>
          <w:sz w:val="24"/>
          <w:szCs w:val="24"/>
        </w:rPr>
        <w:t xml:space="preserve"> </w:t>
      </w:r>
      <w:r w:rsidRPr="3DD49DB7" w:rsidR="225DB896">
        <w:rPr>
          <w:rFonts w:ascii="Times New Roman" w:hAnsi="Times New Roman" w:eastAsia="Times New Roman" w:cs="Times New Roman"/>
          <w:b w:val="0"/>
          <w:bCs w:val="0"/>
          <w:sz w:val="24"/>
          <w:szCs w:val="24"/>
        </w:rPr>
        <w:t>che trae origine da un rinvio pregiudiziale del Tribunale amministrativo del Tirolo, relativo alle condizioni di accesso ai dati contenuti in un telefono cellulare nell’ambito di un’indagine penale. Il caso concreto riguardava il sequestro del telefono di un soggetto indagato per traffico di stupefacenti, sul quale la polizia aveva tentato di accedere ai dati senza autorizzazione giudiziaria.</w:t>
      </w:r>
    </w:p>
    <w:p w:rsidR="225DB896" w:rsidP="3DD49DB7" w:rsidRDefault="225DB896" w14:paraId="1550F999" w14:textId="5478070C">
      <w:pPr>
        <w:pStyle w:val="Normal"/>
        <w:spacing w:before="0" w:beforeAutospacing="off" w:line="360" w:lineRule="auto"/>
        <w:jc w:val="both"/>
      </w:pPr>
      <w:r w:rsidRPr="3DD49DB7" w:rsidR="225DB896">
        <w:rPr>
          <w:rFonts w:ascii="Times New Roman" w:hAnsi="Times New Roman" w:eastAsia="Times New Roman" w:cs="Times New Roman"/>
          <w:b w:val="0"/>
          <w:bCs w:val="0"/>
          <w:sz w:val="24"/>
          <w:szCs w:val="24"/>
        </w:rPr>
        <w:t xml:space="preserve">La Corte di giustizia chiarisce, anzitutto, che l’accesso diretto ai dati presenti su un dispositivo — senza coinvolgimento di fornitori di servizi di comunicazione — non rientra nella direttiva </w:t>
      </w:r>
      <w:r w:rsidRPr="3DD49DB7" w:rsidR="225DB896">
        <w:rPr>
          <w:rFonts w:ascii="Times New Roman" w:hAnsi="Times New Roman" w:eastAsia="Times New Roman" w:cs="Times New Roman"/>
          <w:b w:val="0"/>
          <w:bCs w:val="0"/>
          <w:sz w:val="24"/>
          <w:szCs w:val="24"/>
        </w:rPr>
        <w:t>ePrivacy</w:t>
      </w:r>
      <w:r w:rsidRPr="3DD49DB7" w:rsidR="225DB896">
        <w:rPr>
          <w:rFonts w:ascii="Times New Roman" w:hAnsi="Times New Roman" w:eastAsia="Times New Roman" w:cs="Times New Roman"/>
          <w:b w:val="0"/>
          <w:bCs w:val="0"/>
          <w:sz w:val="24"/>
          <w:szCs w:val="24"/>
        </w:rPr>
        <w:t xml:space="preserve"> (2002/58/CE), ma nella direttiva 2016/680, relativa al trattamento dei dati personali in ambito penale.</w:t>
      </w:r>
    </w:p>
    <w:p w:rsidR="225DB896" w:rsidP="3DD49DB7" w:rsidRDefault="225DB896" w14:paraId="4CF067FB" w14:textId="6E08536F">
      <w:pPr>
        <w:pStyle w:val="Normal"/>
        <w:spacing w:before="0" w:beforeAutospacing="off" w:line="360" w:lineRule="auto"/>
        <w:jc w:val="both"/>
      </w:pPr>
      <w:r w:rsidRPr="3DD49DB7" w:rsidR="225DB896">
        <w:rPr>
          <w:rFonts w:ascii="Times New Roman" w:hAnsi="Times New Roman" w:eastAsia="Times New Roman" w:cs="Times New Roman"/>
          <w:b w:val="0"/>
          <w:bCs w:val="0"/>
          <w:sz w:val="24"/>
          <w:szCs w:val="24"/>
        </w:rPr>
        <w:t>Nel merito, la Corte afferma che l’accesso ai dati digitali da parte delle autorità può essere ammesso anche per finalità generali di prevenzione e repressione dei reati, ma solo a precise condizioni. In particolare:</w:t>
      </w:r>
    </w:p>
    <w:p w:rsidR="3DD49DB7" w:rsidP="3DD49DB7" w:rsidRDefault="3DD49DB7" w14:paraId="62C31476" w14:textId="13E83476">
      <w:pPr>
        <w:pStyle w:val="Normal"/>
        <w:spacing w:before="0" w:beforeAutospacing="off" w:line="360" w:lineRule="auto"/>
        <w:jc w:val="both"/>
        <w:rPr>
          <w:rFonts w:ascii="Times New Roman" w:hAnsi="Times New Roman" w:eastAsia="Times New Roman" w:cs="Times New Roman"/>
          <w:b w:val="0"/>
          <w:bCs w:val="0"/>
          <w:sz w:val="24"/>
          <w:szCs w:val="24"/>
        </w:rPr>
      </w:pPr>
    </w:p>
    <w:p w:rsidR="225DB896" w:rsidP="3DD49DB7" w:rsidRDefault="225DB896" w14:paraId="5C216E0C" w14:textId="0336263A">
      <w:pPr>
        <w:pStyle w:val="Normal"/>
        <w:spacing w:before="0" w:beforeAutospacing="off" w:line="360" w:lineRule="auto"/>
        <w:jc w:val="both"/>
      </w:pPr>
      <w:r w:rsidRPr="3DD49DB7" w:rsidR="225DB896">
        <w:rPr>
          <w:rFonts w:ascii="Times New Roman" w:hAnsi="Times New Roman" w:eastAsia="Times New Roman" w:cs="Times New Roman"/>
          <w:b w:val="0"/>
          <w:bCs w:val="0"/>
          <w:sz w:val="24"/>
          <w:szCs w:val="24"/>
        </w:rPr>
        <w:t xml:space="preserve">   - deve rispettare i principi di legalità e proporzionalità;</w:t>
      </w:r>
    </w:p>
    <w:p w:rsidR="225DB896" w:rsidP="3DD49DB7" w:rsidRDefault="225DB896" w14:paraId="15CDE22A" w14:textId="022D711C">
      <w:pPr>
        <w:pStyle w:val="Normal"/>
        <w:spacing w:before="0" w:beforeAutospacing="off" w:line="360" w:lineRule="auto"/>
        <w:jc w:val="both"/>
      </w:pPr>
      <w:r w:rsidRPr="49E96B32" w:rsidR="225DB896">
        <w:rPr>
          <w:rFonts w:ascii="Times New Roman" w:hAnsi="Times New Roman" w:eastAsia="Times New Roman" w:cs="Times New Roman"/>
          <w:b w:val="0"/>
          <w:bCs w:val="0"/>
          <w:sz w:val="24"/>
          <w:szCs w:val="24"/>
        </w:rPr>
        <w:t xml:space="preserve">   - </w:t>
      </w:r>
      <w:r w:rsidRPr="49E96B32" w:rsidR="225DB896">
        <w:rPr>
          <w:rFonts w:ascii="Times New Roman" w:hAnsi="Times New Roman" w:eastAsia="Times New Roman" w:cs="Times New Roman"/>
          <w:b w:val="0"/>
          <w:bCs w:val="0"/>
          <w:sz w:val="24"/>
          <w:szCs w:val="24"/>
        </w:rPr>
        <w:t>deve essere sottoposto a un controllo preventivo da parte di un giudice o di un’autorità indipendente;</w:t>
      </w:r>
    </w:p>
    <w:p w:rsidR="225DB896" w:rsidP="3DD49DB7" w:rsidRDefault="225DB896" w14:paraId="769CC66A" w14:textId="2C9AEF79">
      <w:pPr>
        <w:pStyle w:val="Normal"/>
        <w:spacing w:before="0" w:beforeAutospacing="off" w:line="360" w:lineRule="auto"/>
        <w:jc w:val="both"/>
      </w:pPr>
      <w:r w:rsidRPr="49E96B32" w:rsidR="225DB896">
        <w:rPr>
          <w:rFonts w:ascii="Times New Roman" w:hAnsi="Times New Roman" w:eastAsia="Times New Roman" w:cs="Times New Roman"/>
          <w:b w:val="0"/>
          <w:bCs w:val="0"/>
          <w:sz w:val="24"/>
          <w:szCs w:val="24"/>
        </w:rPr>
        <w:t xml:space="preserve"> </w:t>
      </w:r>
      <w:r w:rsidRPr="49E96B32" w:rsidR="225DB896">
        <w:rPr>
          <w:rFonts w:ascii="Times New Roman" w:hAnsi="Times New Roman" w:eastAsia="Times New Roman" w:cs="Times New Roman"/>
          <w:b w:val="0"/>
          <w:bCs w:val="0"/>
          <w:sz w:val="24"/>
          <w:szCs w:val="24"/>
        </w:rPr>
        <w:t xml:space="preserve">  -</w:t>
      </w:r>
      <w:r w:rsidRPr="49E96B32" w:rsidR="2AB24821">
        <w:rPr>
          <w:rFonts w:ascii="Times New Roman" w:hAnsi="Times New Roman" w:eastAsia="Times New Roman" w:cs="Times New Roman"/>
          <w:b w:val="0"/>
          <w:bCs w:val="0"/>
          <w:sz w:val="24"/>
          <w:szCs w:val="24"/>
        </w:rPr>
        <w:t xml:space="preserve"> </w:t>
      </w:r>
      <w:r w:rsidRPr="49E96B32" w:rsidR="225DB896">
        <w:rPr>
          <w:rFonts w:ascii="Times New Roman" w:hAnsi="Times New Roman" w:eastAsia="Times New Roman" w:cs="Times New Roman"/>
          <w:b w:val="0"/>
          <w:bCs w:val="0"/>
          <w:sz w:val="24"/>
          <w:szCs w:val="24"/>
        </w:rPr>
        <w:t>deve garantire all’interessato un ricorso effettivo;</w:t>
      </w:r>
    </w:p>
    <w:p w:rsidR="225DB896" w:rsidP="3DD49DB7" w:rsidRDefault="225DB896" w14:paraId="6160B64B" w14:textId="24192128">
      <w:pPr>
        <w:pStyle w:val="Normal"/>
        <w:spacing w:before="0" w:beforeAutospacing="off" w:line="360" w:lineRule="auto"/>
        <w:jc w:val="both"/>
      </w:pPr>
      <w:r w:rsidRPr="49E96B32" w:rsidR="225DB896">
        <w:rPr>
          <w:rFonts w:ascii="Times New Roman" w:hAnsi="Times New Roman" w:eastAsia="Times New Roman" w:cs="Times New Roman"/>
          <w:b w:val="0"/>
          <w:bCs w:val="0"/>
          <w:sz w:val="24"/>
          <w:szCs w:val="24"/>
        </w:rPr>
        <w:t xml:space="preserve"> </w:t>
      </w:r>
      <w:r w:rsidRPr="49E96B32" w:rsidR="225DB896">
        <w:rPr>
          <w:rFonts w:ascii="Times New Roman" w:hAnsi="Times New Roman" w:eastAsia="Times New Roman" w:cs="Times New Roman"/>
          <w:b w:val="0"/>
          <w:bCs w:val="0"/>
          <w:sz w:val="24"/>
          <w:szCs w:val="24"/>
        </w:rPr>
        <w:t xml:space="preserve"> </w:t>
      </w:r>
      <w:r w:rsidRPr="49E96B32" w:rsidR="611976BA">
        <w:rPr>
          <w:rFonts w:ascii="Times New Roman" w:hAnsi="Times New Roman" w:eastAsia="Times New Roman" w:cs="Times New Roman"/>
          <w:b w:val="0"/>
          <w:bCs w:val="0"/>
          <w:sz w:val="24"/>
          <w:szCs w:val="24"/>
        </w:rPr>
        <w:t xml:space="preserve"> </w:t>
      </w:r>
      <w:r w:rsidRPr="49E96B32" w:rsidR="225DB896">
        <w:rPr>
          <w:rFonts w:ascii="Times New Roman" w:hAnsi="Times New Roman" w:eastAsia="Times New Roman" w:cs="Times New Roman"/>
          <w:b w:val="0"/>
          <w:bCs w:val="0"/>
          <w:sz w:val="24"/>
          <w:szCs w:val="24"/>
        </w:rPr>
        <w:t>-</w:t>
      </w:r>
      <w:r w:rsidRPr="49E96B32" w:rsidR="73D4E8F1">
        <w:rPr>
          <w:rFonts w:ascii="Times New Roman" w:hAnsi="Times New Roman" w:eastAsia="Times New Roman" w:cs="Times New Roman"/>
          <w:b w:val="0"/>
          <w:bCs w:val="0"/>
          <w:sz w:val="24"/>
          <w:szCs w:val="24"/>
        </w:rPr>
        <w:t xml:space="preserve"> </w:t>
      </w:r>
      <w:r w:rsidRPr="49E96B32" w:rsidR="225DB896">
        <w:rPr>
          <w:rFonts w:ascii="Times New Roman" w:hAnsi="Times New Roman" w:eastAsia="Times New Roman" w:cs="Times New Roman"/>
          <w:b w:val="0"/>
          <w:bCs w:val="0"/>
          <w:sz w:val="24"/>
          <w:szCs w:val="24"/>
        </w:rPr>
        <w:t>deve prevedere, ove possibile, l’informazione dell’interessato circa l’accesso ai dati.</w:t>
      </w:r>
    </w:p>
    <w:p w:rsidR="3DD49DB7" w:rsidP="3DD49DB7" w:rsidRDefault="3DD49DB7" w14:paraId="28066176" w14:textId="26F1590B">
      <w:pPr>
        <w:pStyle w:val="Normal"/>
        <w:spacing w:before="0" w:beforeAutospacing="off" w:line="360" w:lineRule="auto"/>
        <w:jc w:val="both"/>
        <w:rPr>
          <w:rFonts w:ascii="Times New Roman" w:hAnsi="Times New Roman" w:eastAsia="Times New Roman" w:cs="Times New Roman"/>
          <w:b w:val="0"/>
          <w:bCs w:val="0"/>
          <w:sz w:val="24"/>
          <w:szCs w:val="24"/>
        </w:rPr>
      </w:pPr>
    </w:p>
    <w:p w:rsidR="225DB896" w:rsidP="3DD49DB7" w:rsidRDefault="225DB896" w14:paraId="4B4A6D35" w14:textId="014E39F3">
      <w:pPr>
        <w:pStyle w:val="Normal"/>
        <w:spacing w:before="0" w:beforeAutospacing="off" w:line="360" w:lineRule="auto"/>
        <w:jc w:val="both"/>
      </w:pPr>
      <w:r w:rsidRPr="3DD49DB7" w:rsidR="225DB896">
        <w:rPr>
          <w:rFonts w:ascii="Times New Roman" w:hAnsi="Times New Roman" w:eastAsia="Times New Roman" w:cs="Times New Roman"/>
          <w:b w:val="0"/>
          <w:bCs w:val="0"/>
          <w:sz w:val="24"/>
          <w:szCs w:val="24"/>
        </w:rPr>
        <w:t>La Corte sottolinea inoltre che un accesso indiscriminato e privo di limiti ai dati contenuti in un dispositivo rappresenta una grave ingerenza nei diritti fondamentali, in particolare nella vita privata e nella protezione dei dati personali.</w:t>
      </w:r>
      <w:r w:rsidRPr="3DD49DB7" w:rsidR="7C55BB9B">
        <w:rPr>
          <w:rFonts w:ascii="Times New Roman" w:hAnsi="Times New Roman" w:eastAsia="Times New Roman" w:cs="Times New Roman"/>
          <w:b w:val="0"/>
          <w:bCs w:val="0"/>
          <w:sz w:val="24"/>
          <w:szCs w:val="24"/>
        </w:rPr>
        <w:t xml:space="preserve"> </w:t>
      </w:r>
      <w:r w:rsidRPr="3DD49DB7" w:rsidR="225DB896">
        <w:rPr>
          <w:rFonts w:ascii="Times New Roman" w:hAnsi="Times New Roman" w:eastAsia="Times New Roman" w:cs="Times New Roman"/>
          <w:b w:val="0"/>
          <w:bCs w:val="0"/>
          <w:sz w:val="24"/>
          <w:szCs w:val="24"/>
        </w:rPr>
        <w:t>In conclusione, la normativa nazionale non può consentire alle autorità di accedere ai dati digitali senza adeguate garanzie, né può escludere l’obbligo di informare l’interessato (almeno successivamente), quando ciò non comprometta le indagini.</w:t>
      </w:r>
    </w:p>
    <w:p w:rsidR="3B69A3E6" w:rsidP="3DD49DB7" w:rsidRDefault="3B69A3E6" w14:paraId="01C326BB" w14:textId="1225FF5B">
      <w:pPr>
        <w:pStyle w:val="Normal"/>
        <w:spacing w:before="0" w:beforeAutospacing="off" w:line="360" w:lineRule="auto"/>
        <w:jc w:val="both"/>
      </w:pPr>
      <w:r w:rsidRPr="3DD49DB7" w:rsidR="3B69A3E6">
        <w:rPr>
          <w:rFonts w:ascii="Times New Roman" w:hAnsi="Times New Roman" w:eastAsia="Times New Roman" w:cs="Times New Roman"/>
          <w:b w:val="0"/>
          <w:bCs w:val="0"/>
          <w:sz w:val="24"/>
          <w:szCs w:val="24"/>
        </w:rPr>
        <w:t>La Procura di Roma ha adottato, specifiche linee guida in materia di sequestri e strumenti informatici, con l’obiettivo di colmare le lacune normative presenti nel codice di procedura penale. In tale documento si afferma che, in mancanza di una disciplina ad hoc, occorre fare riferimento alle norme poste a tutela della riservatezza, in particolare a quelle relative alle intercettazioni.</w:t>
      </w:r>
    </w:p>
    <w:p w:rsidR="3B69A3E6" w:rsidP="3DD49DB7" w:rsidRDefault="3B69A3E6" w14:paraId="6804412B" w14:textId="404FFC4E">
      <w:pPr>
        <w:pStyle w:val="Normal"/>
        <w:spacing w:before="0" w:beforeAutospacing="off" w:line="360" w:lineRule="auto"/>
        <w:jc w:val="both"/>
      </w:pPr>
      <w:r w:rsidRPr="3DD49DB7" w:rsidR="3B69A3E6">
        <w:rPr>
          <w:rFonts w:ascii="Times New Roman" w:hAnsi="Times New Roman" w:eastAsia="Times New Roman" w:cs="Times New Roman"/>
          <w:b w:val="0"/>
          <w:bCs w:val="0"/>
          <w:sz w:val="24"/>
          <w:szCs w:val="24"/>
        </w:rPr>
        <w:t>Attraverso queste linee guida, la Procura recepisce alcuni orientamenti giurisprudenziali, nel tentativo di garantire la tenuta delle indagini sui dispositivi digitali e di ridurre le incertezze interpretative emerse anche a seguito della giurisprudenza della Corte di giustizia. In questa prospettiva, si ritiene che il sequestro di dispositivi informatici e le successive attività di analisi possano essere disposti dal pubblico ministero senza una preventiva autorizzazione del giudice, purché il provvedimento sia adeguatamente motivato. In particolare, viene richiesto che il decreto individui con precisione i dati da ricercare e i criteri di selezione dei contenuti.</w:t>
      </w:r>
    </w:p>
    <w:p w:rsidR="3B69A3E6" w:rsidP="3DD49DB7" w:rsidRDefault="3B69A3E6" w14:paraId="731B7616" w14:textId="7D36F661">
      <w:pPr>
        <w:pStyle w:val="Normal"/>
        <w:spacing w:before="0" w:beforeAutospacing="off" w:line="360" w:lineRule="auto"/>
        <w:jc w:val="both"/>
      </w:pPr>
      <w:r w:rsidRPr="3DD49DB7" w:rsidR="3B69A3E6">
        <w:rPr>
          <w:rFonts w:ascii="Times New Roman" w:hAnsi="Times New Roman" w:eastAsia="Times New Roman" w:cs="Times New Roman"/>
          <w:b w:val="0"/>
          <w:bCs w:val="0"/>
          <w:sz w:val="24"/>
          <w:szCs w:val="24"/>
        </w:rPr>
        <w:t xml:space="preserve"> </w:t>
      </w:r>
    </w:p>
    <w:p w:rsidR="3B69A3E6" w:rsidP="3DD49DB7" w:rsidRDefault="3B69A3E6" w14:paraId="495A873C" w14:textId="2327CD95">
      <w:pPr>
        <w:pStyle w:val="Normal"/>
        <w:spacing w:before="0" w:beforeAutospacing="off" w:line="360" w:lineRule="auto"/>
        <w:jc w:val="both"/>
      </w:pPr>
      <w:r w:rsidRPr="3DD49DB7" w:rsidR="3B69A3E6">
        <w:rPr>
          <w:rFonts w:ascii="Times New Roman" w:hAnsi="Times New Roman" w:eastAsia="Times New Roman" w:cs="Times New Roman"/>
          <w:b w:val="0"/>
          <w:bCs w:val="0"/>
          <w:sz w:val="24"/>
          <w:szCs w:val="24"/>
        </w:rPr>
        <w:t>Tale impostazione, tuttavia, presenta profili problematici. Permangono infatti evidenti tensioni tra il quadro normativo vigente, gli orientamenti della giurisprudenza europea e l’esigenza di assicurare un equilibrio tra attività investigativa e tutela dei diritti fondamentali, in particolare nel rispetto dei principi di legalità e proporzionalità.</w:t>
      </w:r>
    </w:p>
    <w:p w:rsidR="05E1AFE4" w:rsidP="3DD49DB7" w:rsidRDefault="05E1AFE4" w14:paraId="5AD9AC97" w14:textId="0670694F">
      <w:pPr>
        <w:pStyle w:val="Normal"/>
        <w:spacing w:before="0" w:beforeAutospacing="off" w:line="360" w:lineRule="auto"/>
        <w:jc w:val="both"/>
      </w:pPr>
      <w:r w:rsidRPr="3DD49DB7" w:rsidR="05E1AFE4">
        <w:rPr>
          <w:rFonts w:ascii="Times New Roman" w:hAnsi="Times New Roman" w:eastAsia="Times New Roman" w:cs="Times New Roman"/>
          <w:b w:val="0"/>
          <w:bCs w:val="0"/>
          <w:sz w:val="24"/>
          <w:szCs w:val="24"/>
        </w:rPr>
        <w:t>Le considerazioni svolte evidenziano come il quadro normativo che disciplina il sequestro dei dati digitali appaia oggi inadeguato, superato e poco coerente rispetto alle reali potenzialità degli strumenti investigativi. Ne deriva uno sbilanciamento del sistema a favore delle esigenze di accertamento, con un conseguente indebolimento delle garanzie difensive e della tutela della riservatezza.</w:t>
      </w:r>
    </w:p>
    <w:p w:rsidR="05E1AFE4" w:rsidP="3DD49DB7" w:rsidRDefault="05E1AFE4" w14:paraId="0A39AFEE" w14:textId="62A1810D">
      <w:pPr>
        <w:pStyle w:val="Normal"/>
        <w:spacing w:before="0" w:beforeAutospacing="off" w:line="360" w:lineRule="auto"/>
        <w:jc w:val="both"/>
      </w:pPr>
      <w:r w:rsidRPr="3DD49DB7" w:rsidR="05E1AFE4">
        <w:rPr>
          <w:rFonts w:ascii="Times New Roman" w:hAnsi="Times New Roman" w:eastAsia="Times New Roman" w:cs="Times New Roman"/>
          <w:b w:val="0"/>
          <w:bCs w:val="0"/>
          <w:sz w:val="24"/>
          <w:szCs w:val="24"/>
        </w:rPr>
        <w:t>L’assenza di una disciplina organica espone infatti al rischio di acquisizioni ampie e indiscriminate dell’intero patrimonio informativo dell’individuo, comprensivo tanto dei dati comunicativi quanto di quelli non comunicativi. Tale criticità risulta amplificata dalla rapidità dell’evoluzione tecnologica, a fronte della quale il legislatore fatica a offrire risposte tempestive ed efficaci.</w:t>
      </w:r>
    </w:p>
    <w:p w:rsidR="05E1AFE4" w:rsidP="3DD49DB7" w:rsidRDefault="05E1AFE4" w14:paraId="0B9993C8" w14:textId="18DC664B">
      <w:pPr>
        <w:pStyle w:val="Normal"/>
        <w:spacing w:before="0" w:beforeAutospacing="off" w:line="360" w:lineRule="auto"/>
        <w:jc w:val="both"/>
      </w:pPr>
      <w:r w:rsidRPr="3DD49DB7" w:rsidR="05E1AFE4">
        <w:rPr>
          <w:rFonts w:ascii="Times New Roman" w:hAnsi="Times New Roman" w:eastAsia="Times New Roman" w:cs="Times New Roman"/>
          <w:b w:val="0"/>
          <w:bCs w:val="0"/>
          <w:sz w:val="24"/>
          <w:szCs w:val="24"/>
        </w:rPr>
        <w:t>In questo contesto, il disegno di legge Zanettin può rappresentare un primo tentativo di razionalizzazione della materia, anche alla luce degli orientamenti della Corte di giustizia dell’Unione europea. Appare tuttavia prioritario definire con maggiore precisione i presupposti del sequestro dei dati digitali, collocandoli entro una chiara cornice normativa ispirata ai principi di legalità e proporzionalità. In tale direzione, l’individuazione dei casi e delle modalità di acquisizione, anche in relazione alla gravità del reato e alla soglia probatoria richiesta, costituisce un passaggio essenziale.</w:t>
      </w:r>
    </w:p>
    <w:p w:rsidR="05E1AFE4" w:rsidP="3DD49DB7" w:rsidRDefault="05E1AFE4" w14:paraId="4878DE02" w14:textId="7B25B47D">
      <w:pPr>
        <w:pStyle w:val="Normal"/>
        <w:spacing w:before="0" w:beforeAutospacing="off" w:line="360" w:lineRule="auto"/>
        <w:jc w:val="both"/>
      </w:pPr>
      <w:r w:rsidRPr="3DD49DB7" w:rsidR="05E1AFE4">
        <w:rPr>
          <w:rFonts w:ascii="Times New Roman" w:hAnsi="Times New Roman" w:eastAsia="Times New Roman" w:cs="Times New Roman"/>
          <w:b w:val="0"/>
          <w:bCs w:val="0"/>
          <w:sz w:val="24"/>
          <w:szCs w:val="24"/>
        </w:rPr>
        <w:t>Più che differenziare rigidamente le procedure in base alla natura dei dati, sembra preferibile valorizzare una disciplina unitaria fondata sulla riserva di legge, applicabile ogniqualvolta si proceda all’acquisizione di contenuti digitali. Sul piano procedurale, risulta inoltre opportuno rafforzare il controllo giurisdizionale, attribuendo al giudice per le indagini preliminari un ruolo più incisivo nella verifica dei presupposti e delle modalità dell’attività investigativa, in linea con modelli già noti come quelli delle intercettazioni e dei tabulati.</w:t>
      </w:r>
    </w:p>
    <w:p w:rsidR="05E1AFE4" w:rsidP="3DD49DB7" w:rsidRDefault="05E1AFE4" w14:paraId="298E4E60" w14:textId="1AF3D72B">
      <w:pPr>
        <w:pStyle w:val="Normal"/>
        <w:spacing w:before="0" w:beforeAutospacing="off" w:line="360" w:lineRule="auto"/>
        <w:jc w:val="both"/>
      </w:pPr>
      <w:r w:rsidRPr="3DD49DB7" w:rsidR="05E1AFE4">
        <w:rPr>
          <w:rFonts w:ascii="Times New Roman" w:hAnsi="Times New Roman" w:eastAsia="Times New Roman" w:cs="Times New Roman"/>
          <w:b w:val="0"/>
          <w:bCs w:val="0"/>
          <w:sz w:val="24"/>
          <w:szCs w:val="24"/>
        </w:rPr>
        <w:t>Al tempo stesso, il provvedimento di sequestro dovrebbe essere sorretto da una motivazione puntuale, capace di individuare preventivamente i dati oggetto di ricerca, il nesso di pertinenza con il fatto di reato, le finalità probatorie e i criteri di selezione. Ciò consentirebbe di evitare acquisizioni generalizzate, legittimando invece interventi mirati sui soli contenuti rilevanti.</w:t>
      </w:r>
    </w:p>
    <w:p w:rsidR="05E1AFE4" w:rsidP="3DD49DB7" w:rsidRDefault="05E1AFE4" w14:paraId="3A35216E" w14:textId="22C9DF90">
      <w:pPr>
        <w:pStyle w:val="Normal"/>
        <w:spacing w:before="0" w:beforeAutospacing="off" w:line="360" w:lineRule="auto"/>
        <w:jc w:val="both"/>
      </w:pPr>
      <w:r w:rsidRPr="3DD49DB7" w:rsidR="05E1AFE4">
        <w:rPr>
          <w:rFonts w:ascii="Times New Roman" w:hAnsi="Times New Roman" w:eastAsia="Times New Roman" w:cs="Times New Roman"/>
          <w:b w:val="0"/>
          <w:bCs w:val="0"/>
          <w:sz w:val="24"/>
          <w:szCs w:val="24"/>
        </w:rPr>
        <w:t>In un’ottica di rafforzamento delle garanzie, appare infine necessario prevedere forme di contraddittorio anche nelle fasi tecniche di copia, analisi e selezione dei dati, introducendo momenti procedurali dedicati alla verifica della correttezza delle operazioni e all’eventuale esclusione delle prove illegittimamente acquisite.</w:t>
      </w:r>
    </w:p>
    <w:p w:rsidR="05E1AFE4" w:rsidP="3DD49DB7" w:rsidRDefault="05E1AFE4" w14:paraId="650D5166" w14:textId="0A3BEB9C">
      <w:pPr>
        <w:pStyle w:val="Normal"/>
        <w:spacing w:before="0" w:beforeAutospacing="off" w:line="360" w:lineRule="auto"/>
        <w:jc w:val="both"/>
      </w:pPr>
      <w:r w:rsidRPr="3DD49DB7" w:rsidR="05E1AFE4">
        <w:rPr>
          <w:rFonts w:ascii="Times New Roman" w:hAnsi="Times New Roman" w:eastAsia="Times New Roman" w:cs="Times New Roman"/>
          <w:b w:val="0"/>
          <w:bCs w:val="0"/>
          <w:sz w:val="24"/>
          <w:szCs w:val="24"/>
        </w:rPr>
        <w:t>Nel complesso, il legislatore è chiamato a individuare un equilibrio non semplice tra efficacia dell’azione penale e tutela dei diritti fondamentali. Il percorso riformatore avviato rappresenta un primo passo, ma richiede ulteriori sviluppi per giungere a una disciplina realmente adeguata alla centralità della prova digitale nel processo penale contemporaneo.</w:t>
      </w:r>
    </w:p>
    <w:p w:rsidR="411C9FBA" w:rsidP="1E4A1C8B" w:rsidRDefault="411C9FBA" w14:paraId="63FA1CA3" w14:textId="39E3A811">
      <w:pPr>
        <w:pStyle w:val="Normal"/>
        <w:spacing w:before="0" w:beforeAutospacing="off" w:line="360" w:lineRule="auto"/>
        <w:jc w:val="both"/>
      </w:pPr>
      <w:r w:rsidRPr="49E96B32" w:rsidR="411C9FBA">
        <w:rPr>
          <w:rFonts w:ascii="Times New Roman" w:hAnsi="Times New Roman" w:eastAsia="Times New Roman" w:cs="Times New Roman"/>
          <w:b w:val="0"/>
          <w:bCs w:val="0"/>
          <w:sz w:val="24"/>
          <w:szCs w:val="24"/>
        </w:rPr>
        <w:t>In conclusione, l’attuale sistema di gestione della prova digitale soffre di una di</w:t>
      </w:r>
      <w:r w:rsidRPr="49E96B32" w:rsidR="411C9FBA">
        <w:rPr>
          <w:rFonts w:ascii="Times New Roman" w:hAnsi="Times New Roman" w:eastAsia="Times New Roman" w:cs="Times New Roman"/>
          <w:b w:val="0"/>
          <w:bCs w:val="0"/>
          <w:sz w:val="24"/>
          <w:szCs w:val="24"/>
        </w:rPr>
        <w:t>pendenza critica dal fattore umano e burocratico. La catena di custodia tradizionale,</w:t>
      </w:r>
      <w:r w:rsidRPr="49E96B32" w:rsidR="04C9280F">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basata su verbali cartacei e sulla presunzione di legittimità degli operatori, mostra</w:t>
      </w:r>
      <w:r w:rsidRPr="49E96B32" w:rsidR="7DF0A2A4">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crepe evidenti di fronte alla complessità delle moderne indagini tecnologiche. È in</w:t>
      </w:r>
      <w:r w:rsidRPr="49E96B32" w:rsidR="0AA73508">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 xml:space="preserve">questo solco di incertezza — tra la precisione matematica dell’algoritmo di </w:t>
      </w:r>
      <w:r w:rsidRPr="49E96B32" w:rsidR="411C9FBA">
        <w:rPr>
          <w:rFonts w:ascii="Times New Roman" w:hAnsi="Times New Roman" w:eastAsia="Times New Roman" w:cs="Times New Roman"/>
          <w:b w:val="0"/>
          <w:bCs w:val="0"/>
          <w:sz w:val="24"/>
          <w:szCs w:val="24"/>
        </w:rPr>
        <w:t>hash</w:t>
      </w:r>
      <w:r w:rsidRPr="49E96B32" w:rsidR="411C9FBA">
        <w:rPr>
          <w:rFonts w:ascii="Times New Roman" w:hAnsi="Times New Roman" w:eastAsia="Times New Roman" w:cs="Times New Roman"/>
          <w:b w:val="0"/>
          <w:bCs w:val="0"/>
          <w:sz w:val="24"/>
          <w:szCs w:val="24"/>
        </w:rPr>
        <w:t xml:space="preserve"> e la</w:t>
      </w:r>
      <w:r w:rsidRPr="49E96B32" w:rsidR="20E796FF">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fallibilità del verbale — che si inserisce la necessità di una soluzione tecnologica capace</w:t>
      </w:r>
      <w:r w:rsidRPr="49E96B32" w:rsidR="0CEECAB4">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di ”</w:t>
      </w:r>
      <w:r w:rsidRPr="49E96B32" w:rsidR="411C9FBA">
        <w:rPr>
          <w:rFonts w:ascii="Times New Roman" w:hAnsi="Times New Roman" w:eastAsia="Times New Roman" w:cs="Times New Roman"/>
          <w:b w:val="0"/>
          <w:bCs w:val="0"/>
          <w:sz w:val="24"/>
          <w:szCs w:val="24"/>
        </w:rPr>
        <w:t>notarizzare</w:t>
      </w:r>
      <w:r w:rsidRPr="49E96B32" w:rsidR="411C9FBA">
        <w:rPr>
          <w:rFonts w:ascii="Times New Roman" w:hAnsi="Times New Roman" w:eastAsia="Times New Roman" w:cs="Times New Roman"/>
          <w:b w:val="0"/>
          <w:bCs w:val="0"/>
          <w:sz w:val="24"/>
          <w:szCs w:val="24"/>
        </w:rPr>
        <w:t>” ogni passaggio procedurale. La tecnologia Blockchain, come si vedrà</w:t>
      </w:r>
      <w:r w:rsidRPr="49E96B32" w:rsidR="229AF4C3">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nel capitolo successivo, si prospetta come lo strumento idoneo a offrire quella certezza</w:t>
      </w:r>
      <w:r w:rsidRPr="49E96B32" w:rsidR="571BA548">
        <w:rPr>
          <w:rFonts w:ascii="Times New Roman" w:hAnsi="Times New Roman" w:eastAsia="Times New Roman" w:cs="Times New Roman"/>
          <w:b w:val="0"/>
          <w:bCs w:val="0"/>
          <w:sz w:val="24"/>
          <w:szCs w:val="24"/>
        </w:rPr>
        <w:t xml:space="preserve"> </w:t>
      </w:r>
      <w:r w:rsidRPr="49E96B32" w:rsidR="411C9FBA">
        <w:rPr>
          <w:rFonts w:ascii="Times New Roman" w:hAnsi="Times New Roman" w:eastAsia="Times New Roman" w:cs="Times New Roman"/>
          <w:b w:val="0"/>
          <w:bCs w:val="0"/>
          <w:sz w:val="24"/>
          <w:szCs w:val="24"/>
        </w:rPr>
        <w:t>immutabile che la procedura penale, da sola, non riesce ancora a garantire appieno.</w:t>
      </w:r>
    </w:p>
    <w:p w:rsidR="77AB10F1" w:rsidP="77AB10F1" w:rsidRDefault="77AB10F1" w14:paraId="337E9543" w14:textId="3FDE9415">
      <w:pPr>
        <w:pStyle w:val="Normal"/>
        <w:spacing w:before="0" w:beforeAutospacing="off" w:line="360" w:lineRule="auto"/>
        <w:rPr>
          <w:rFonts w:ascii="Times New Roman" w:hAnsi="Times New Roman" w:eastAsia="Times New Roman" w:cs="Times New Roman"/>
          <w:b w:val="0"/>
          <w:bCs w:val="0"/>
          <w:sz w:val="24"/>
          <w:szCs w:val="24"/>
        </w:rPr>
      </w:pPr>
    </w:p>
    <w:p w:rsidR="77AB10F1" w:rsidP="77AB10F1" w:rsidRDefault="77AB10F1" w14:paraId="38117A01" w14:textId="46807927">
      <w:pPr>
        <w:pStyle w:val="Normal"/>
        <w:spacing w:before="0" w:beforeAutospacing="off" w:line="360" w:lineRule="auto"/>
        <w:rPr>
          <w:rFonts w:ascii="Times New Roman" w:hAnsi="Times New Roman" w:eastAsia="Times New Roman" w:cs="Times New Roman"/>
          <w:b w:val="0"/>
          <w:bCs w:val="0"/>
          <w:sz w:val="24"/>
          <w:szCs w:val="24"/>
        </w:rPr>
      </w:pPr>
    </w:p>
    <w:sectPr>
      <w:pgSz w:w="11906" w:h="16838" w:orient="portrait"/>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w="http://schemas.openxmlformats.org/wordprocessingml/2006/main">
  <w:footnote w:type="separator" w:id="-1">
    <w:p w:rsidR="77AB10F1" w:rsidRDefault="77AB10F1" w14:paraId="428987B8" w14:textId="34B1D229">
      <w:pPr>
        <w:spacing w:after="0" w:line="240" w:lineRule="auto"/>
      </w:pPr>
      <w:r>
        <w:separator/>
      </w:r>
    </w:p>
  </w:footnote>
  <w:footnote w:type="continuationSeparator" w:id="0">
    <w:p w:rsidR="77AB10F1" w:rsidRDefault="77AB10F1" w14:paraId="05A8F41F" w14:textId="5CF9D784">
      <w:pPr>
        <w:spacing w:after="0" w:line="240" w:lineRule="auto"/>
      </w:pPr>
      <w:r>
        <w:continuationSeparator/>
      </w:r>
    </w:p>
  </w:footnote>
  <w:footnote w:id="6682">
    <w:p w:rsidR="77AB10F1" w:rsidP="77AB10F1" w:rsidRDefault="77AB10F1" w14:paraId="65A34129" w14:textId="17236F6D">
      <w:pPr>
        <w:pStyle w:val="FootnoteText"/>
        <w:bidi w:val="0"/>
      </w:pPr>
      <w:r w:rsidRPr="77AB10F1">
        <w:rPr>
          <w:rStyle w:val="FootnoteReference"/>
        </w:rPr>
        <w:footnoteRef/>
      </w:r>
      <w:r w:rsidR="77AB10F1">
        <w:rPr/>
        <w:t xml:space="preserve"> DE FLAMMINEIS, SIRO. Le sfide della prova digitale: sequestri, chat, processo penale telematico e intelligenza artificiale. in Sistema Penale (2024).</w:t>
      </w:r>
    </w:p>
  </w:footnote>
  <w:footnote w:id="29036">
    <w:p w:rsidR="77AB10F1" w:rsidP="77AB10F1" w:rsidRDefault="77AB10F1" w14:paraId="50F00FCD" w14:textId="6023E89D">
      <w:pPr>
        <w:pStyle w:val="FootnoteText"/>
        <w:bidi w:val="0"/>
      </w:pPr>
      <w:r w:rsidRPr="77AB10F1">
        <w:rPr>
          <w:rStyle w:val="FootnoteReference"/>
        </w:rPr>
        <w:footnoteRef/>
      </w:r>
      <w:r w:rsidR="40E7DB1B">
        <w:rPr/>
        <w:t xml:space="preserve"> VISCO COMANDINI, NICOLE. La Prova Digitale nel Procedimento Penale: profili critici e pro</w:t>
      </w:r>
      <w:r w:rsidR="40E7DB1B">
        <w:rPr/>
        <w:t>spettive</w:t>
      </w:r>
      <w:r w:rsidR="40E7DB1B">
        <w:rPr/>
        <w:t xml:space="preserve"> future tra confini europei e nazionali. Tesi di Laurea. Università degli Studi di Perugia,2023.</w:t>
      </w:r>
    </w:p>
    <w:p w:rsidR="77AB10F1" w:rsidP="77AB10F1" w:rsidRDefault="77AB10F1" w14:paraId="25A188F6" w14:textId="7F4E3752">
      <w:pPr>
        <w:pStyle w:val="FootnoteText"/>
      </w:pPr>
    </w:p>
  </w:footnote>
  <w:footnote w:id="24298">
    <w:p w:rsidR="77AB10F1" w:rsidP="77AB10F1" w:rsidRDefault="77AB10F1" w14:paraId="39A5CA5E" w14:textId="06624131">
      <w:pPr>
        <w:pStyle w:val="FootnoteText"/>
        <w:bidi w:val="0"/>
      </w:pPr>
      <w:r w:rsidRPr="77AB10F1">
        <w:rPr>
          <w:rStyle w:val="FootnoteReference"/>
        </w:rPr>
        <w:footnoteRef/>
      </w:r>
      <w:r w:rsidR="40E7DB1B">
        <w:rPr/>
        <w:t xml:space="preserve"> Gerardo Costabile, Scena </w:t>
      </w:r>
      <w:r w:rsidR="40E7DB1B">
        <w:rPr/>
        <w:t>criminis</w:t>
      </w:r>
      <w:r w:rsidR="40E7DB1B">
        <w:rPr/>
        <w:t>, documento informatico e formazione della prova penale</w:t>
      </w:r>
      <w:r w:rsidR="40E7DB1B">
        <w:rPr/>
        <w:t xml:space="preserve"> </w:t>
      </w:r>
      <w:r w:rsidR="40E7DB1B">
        <w:rPr/>
        <w:t>in Il Diritto dell'informazione e dell'informatica 3/2005, pp. 531-538</w:t>
      </w:r>
    </w:p>
  </w:footnote>
  <w:footnote w:id="7611">
    <w:p w:rsidR="77AB10F1" w:rsidP="77AB10F1" w:rsidRDefault="77AB10F1" w14:paraId="4F941BFE" w14:textId="2333B304">
      <w:pPr>
        <w:pStyle w:val="FootnoteText"/>
        <w:bidi w:val="0"/>
      </w:pPr>
      <w:r w:rsidRPr="77AB10F1">
        <w:rPr>
          <w:rStyle w:val="FootnoteReference"/>
        </w:rPr>
        <w:footnoteRef/>
      </w:r>
      <w:r w:rsidR="40E7DB1B">
        <w:rPr/>
        <w:t xml:space="preserve"> Marco Buccarella, Digitalizzazione della cooperazione giudiziaria internazionale in materia penale e tutela dei dati personali nel diritto dell’UE: alla ricerca di una compatibilità (</w:t>
      </w:r>
      <w:r w:rsidR="40E7DB1B">
        <w:rPr/>
        <w:t>im</w:t>
      </w:r>
      <w:r w:rsidR="40E7DB1B">
        <w:rPr/>
        <w:t>)possibile</w:t>
      </w:r>
      <w:r w:rsidR="40E7DB1B">
        <w:rPr/>
        <w:t xml:space="preserve"> </w:t>
      </w:r>
      <w:r w:rsidR="40E7DB1B">
        <w:rPr/>
        <w:t>in Freedom, Security &amp; Justice: European Legal Studies 2/2023, pp. 216-236</w:t>
      </w:r>
    </w:p>
  </w:footnote>
  <w:footnote w:id="13295">
    <w:p w:rsidR="77AB10F1" w:rsidP="77AB10F1" w:rsidRDefault="77AB10F1" w14:paraId="76FBEDEE" w14:textId="6339D92B">
      <w:pPr>
        <w:pStyle w:val="FootnoteText"/>
        <w:bidi w:val="0"/>
      </w:pPr>
      <w:r w:rsidRPr="77AB10F1">
        <w:rPr>
          <w:rStyle w:val="FootnoteReference"/>
        </w:rPr>
        <w:footnoteRef/>
      </w:r>
      <w:r w:rsidR="77AB10F1">
        <w:rPr/>
        <w:t xml:space="preserve"> Stefano Busillo, Conservazione e produzione della prova digitale nella nuova disciplina europea: il potenziale disallineamento con i principi espressi dalla giurisprudenza di settore</w:t>
      </w:r>
    </w:p>
    <w:p w:rsidR="77AB10F1" w:rsidP="77AB10F1" w:rsidRDefault="77AB10F1" w14:paraId="66BCF4E0" w14:textId="7F393361">
      <w:pPr>
        <w:pStyle w:val="FootnoteText"/>
      </w:pPr>
      <w:r w:rsidR="77AB10F1">
        <w:rPr/>
        <w:t>in Freedom, Security &amp; Justice: European Legal Studies 3/2023, pp. 27-62</w:t>
      </w:r>
    </w:p>
  </w:footnote>
  <w:footnote w:id="8505">
    <w:p w:rsidR="77AB10F1" w:rsidP="77AB10F1" w:rsidRDefault="77AB10F1" w14:paraId="6DA142A9" w14:textId="5827967B">
      <w:pPr>
        <w:pStyle w:val="FootnoteText"/>
        <w:bidi w:val="0"/>
      </w:pPr>
      <w:r w:rsidRPr="77AB10F1">
        <w:rPr>
          <w:rStyle w:val="FootnoteReference"/>
        </w:rPr>
        <w:footnoteRef/>
      </w:r>
      <w:r w:rsidR="77AB10F1">
        <w:rPr/>
        <w:t xml:space="preserve"> Marco Buccarella, Il Secondo Protocollo addizionale alla Convenzione di Budapest alla luce del diritto internazionale dei trattati in Diritto penale e processo 9/2022, pp. 1160-1167</w:t>
      </w:r>
    </w:p>
  </w:footnote>
  <w:footnote w:id="32260">
    <w:p w:rsidR="77AB10F1" w:rsidP="77AB10F1" w:rsidRDefault="77AB10F1" w14:paraId="538DE94B" w14:textId="237A101D">
      <w:pPr>
        <w:pStyle w:val="FootnoteText"/>
        <w:bidi w:val="0"/>
      </w:pPr>
      <w:r w:rsidRPr="77AB10F1">
        <w:rPr>
          <w:rStyle w:val="FootnoteReference"/>
        </w:rPr>
        <w:footnoteRef/>
      </w:r>
      <w:r w:rsidR="77AB10F1">
        <w:rPr/>
        <w:t xml:space="preserve"> Gaia Brino </w:t>
      </w:r>
      <w:r w:rsidR="77AB10F1">
        <w:rPr/>
        <w:t>Bet</w:t>
      </w:r>
      <w:r w:rsidR="77AB10F1">
        <w:rPr/>
        <w:t>, I "</w:t>
      </w:r>
      <w:r w:rsidR="77AB10F1">
        <w:rPr/>
        <w:t>transborder</w:t>
      </w:r>
      <w:r w:rsidR="77AB10F1">
        <w:rPr/>
        <w:t xml:space="preserve"> data access": analisi dell'articolo 32 della Convenzione di Budapest in Ciberspazio e Diritto 2/2022, pp. 283-295</w:t>
      </w:r>
    </w:p>
  </w:footnote>
  <w:footnote w:id="16925">
    <w:p w:rsidR="67C465D3" w:rsidP="67C465D3" w:rsidRDefault="67C465D3" w14:paraId="65F35292" w14:textId="112084CC">
      <w:pPr>
        <w:pStyle w:val="FootnoteText"/>
        <w:bidi w:val="0"/>
      </w:pPr>
      <w:r w:rsidRPr="67C465D3">
        <w:rPr>
          <w:rStyle w:val="FootnoteReference"/>
        </w:rPr>
        <w:footnoteRef/>
      </w:r>
      <w:r w:rsidR="67C465D3">
        <w:rPr/>
        <w:t xml:space="preserve"> Gerardo Costabile Diego Rasetti Scena </w:t>
      </w:r>
      <w:r w:rsidR="67C465D3">
        <w:rPr/>
        <w:t>criminis</w:t>
      </w:r>
      <w:r w:rsidR="67C465D3">
        <w:rPr/>
        <w:t>, tracce informatiche e formazione della prova in Ciberspazio e Diritto 3-4/2003, pp. 273-292</w:t>
      </w:r>
      <w:r>
        <w:tab/>
      </w:r>
      <w:r>
        <w:tab/>
      </w:r>
      <w:r>
        <w:tab/>
      </w:r>
      <w:r>
        <w:tab/>
      </w:r>
      <w:r>
        <w:tab/>
      </w:r>
      <w:r>
        <w:tab/>
      </w:r>
      <w:r>
        <w:tab/>
      </w:r>
      <w:r>
        <w:tab/>
      </w:r>
      <w:r>
        <w:tab/>
      </w:r>
      <w:r>
        <w:tab/>
      </w:r>
      <w:r>
        <w:tab/>
      </w:r>
      <w:r w:rsidRPr="67C465D3" w:rsidR="67C465D3">
        <w:rPr>
          <w:noProof w:val="0"/>
          <w:lang w:val="it-IT"/>
        </w:rPr>
        <w:t xml:space="preserve"> </w:t>
      </w:r>
    </w:p>
    <w:p w:rsidR="67C465D3" w:rsidP="67C465D3" w:rsidRDefault="67C465D3" w14:paraId="3209D65D" w14:textId="31DA3971">
      <w:pPr>
        <w:pStyle w:val="FootnoteText"/>
        <w:bidi w:val="0"/>
        <w:rPr>
          <w:noProof w:val="0"/>
          <w:lang w:val="it-IT"/>
        </w:rPr>
      </w:pPr>
    </w:p>
  </w:footnote>
  <w:footnote w:id="18083">
    <w:p w:rsidR="67C465D3" w:rsidP="67C465D3" w:rsidRDefault="67C465D3" w14:paraId="2C8B998F" w14:textId="0C4D94F6">
      <w:pPr>
        <w:pStyle w:val="FootnoteText"/>
        <w:bidi w:val="0"/>
      </w:pPr>
      <w:r w:rsidRPr="67C465D3">
        <w:rPr>
          <w:rStyle w:val="FootnoteReference"/>
        </w:rPr>
        <w:footnoteRef/>
      </w:r>
      <w:r w:rsidR="67C465D3">
        <w:rPr/>
        <w:t xml:space="preserve"> Filippo Novario L'attività di accertamento tecnico difensivo disposta su elementi informatici e la sua ripetibilità in Ciberspazio e Diritto 1/2011, pp. 75-87</w:t>
      </w:r>
    </w:p>
  </w:footnote>
  <w:footnote w:id="22918">
    <w:p w:rsidR="67C465D3" w:rsidP="67C465D3" w:rsidRDefault="67C465D3" w14:paraId="1F14DF9B" w14:textId="72122EA0">
      <w:pPr>
        <w:pStyle w:val="FootnoteText"/>
        <w:bidi w:val="0"/>
      </w:pPr>
      <w:r w:rsidRPr="67C465D3">
        <w:rPr>
          <w:rStyle w:val="FootnoteReference"/>
        </w:rPr>
        <w:footnoteRef/>
      </w:r>
      <w:r w:rsidR="67C465D3">
        <w:rPr/>
        <w:t xml:space="preserve"> Marcello Bergonzi Perrone Il mancato rispetto delle disposizioni della Legge n. 48 del 2008 in tema di acquisizione probatoria informatica: per una ipotesi sanzionatoria non prevista esplicitamente dal dato normativo in Ciberspazio e Diritto 1/2013, pp. 119-129</w:t>
      </w:r>
    </w:p>
  </w:footnote>
  <w:footnote w:id="17245">
    <w:p w:rsidR="67C465D3" w:rsidP="67C465D3" w:rsidRDefault="67C465D3" w14:paraId="3D138735" w14:textId="3FF710F0">
      <w:pPr>
        <w:pStyle w:val="FootnoteText"/>
        <w:bidi w:val="0"/>
      </w:pPr>
      <w:r w:rsidRPr="67C465D3">
        <w:rPr>
          <w:rStyle w:val="FootnoteReference"/>
        </w:rPr>
        <w:footnoteRef/>
      </w:r>
      <w:r w:rsidR="67C465D3">
        <w:rPr/>
        <w:t xml:space="preserve"> Alessio Scarcella Dato informatico, nozione penale di cosa mobile ed appropriazione indebita in Cassazione penale 2/2021, pp. 556-568</w:t>
      </w:r>
    </w:p>
  </w:footnote>
  <w:footnote w:id="13324">
    <w:p w:rsidR="67C465D3" w:rsidP="67C465D3" w:rsidRDefault="67C465D3" w14:paraId="74C1AD16" w14:textId="00808A12">
      <w:pPr>
        <w:pStyle w:val="FootnoteText"/>
        <w:bidi w:val="0"/>
      </w:pPr>
      <w:r w:rsidRPr="67C465D3">
        <w:rPr>
          <w:rStyle w:val="FootnoteReference"/>
        </w:rPr>
        <w:footnoteRef/>
      </w:r>
      <w:r w:rsidR="67C465D3">
        <w:rPr/>
        <w:t xml:space="preserve"> Giuseppe Schena Ancora sul sequestro di materiale informatico nei confronti di un giornalista in Cassazione penale 1/2016, pp. 296-306</w:t>
      </w:r>
    </w:p>
  </w:footnote>
  <w:footnote w:id="15344">
    <w:p w:rsidR="67C465D3" w:rsidP="67C465D3" w:rsidRDefault="67C465D3" w14:paraId="7A63B934" w14:textId="6FA44BE5">
      <w:pPr>
        <w:pStyle w:val="FootnoteText"/>
        <w:bidi w:val="0"/>
      </w:pPr>
      <w:r w:rsidRPr="67C465D3">
        <w:rPr>
          <w:rStyle w:val="FootnoteReference"/>
        </w:rPr>
        <w:footnoteRef/>
      </w:r>
      <w:r w:rsidR="3DD49DB7">
        <w:rPr/>
        <w:t xml:space="preserve"> </w:t>
      </w:r>
      <w:r w:rsidR="3DD49DB7">
        <w:rPr/>
        <w:t>Michele Caianiello Verso il superamento di un modello tradizionale di cooperazione (artt. 21, 22) in La Legislazione penale 3/2013, pp. 828-833</w:t>
      </w:r>
    </w:p>
  </w:footnote>
  <w:footnote w:id="6692">
    <w:p w:rsidR="67C465D3" w:rsidP="67C465D3" w:rsidRDefault="67C465D3" w14:paraId="7EC7728C" w14:textId="742C92E4">
      <w:pPr>
        <w:pStyle w:val="FootnoteText"/>
        <w:bidi w:val="0"/>
      </w:pPr>
      <w:r w:rsidRPr="67C465D3">
        <w:rPr>
          <w:rStyle w:val="FootnoteReference"/>
        </w:rPr>
        <w:footnoteRef/>
      </w:r>
      <w:r w:rsidR="3DD49DB7">
        <w:rPr/>
        <w:t xml:space="preserve"> </w:t>
      </w:r>
      <w:r w:rsidR="3DD49DB7">
        <w:rPr/>
        <w:t>Pasquale Raucci Sequestro del cellulare e acquisizione dei dati: possibili patologie dell'atto alla luce della recente giurisprudenza europea in Processo penale e Giustizia 5/2025, pp. 1243-1267</w:t>
      </w:r>
    </w:p>
  </w:footnote>
  <w:footnote w:id="6662">
    <w:p w:rsidR="67C465D3" w:rsidP="67C465D3" w:rsidRDefault="67C465D3" w14:paraId="4AF1480D" w14:textId="03A37AD1">
      <w:pPr>
        <w:pStyle w:val="FootnoteText"/>
        <w:bidi w:val="0"/>
      </w:pPr>
      <w:r w:rsidRPr="67C465D3">
        <w:rPr>
          <w:rStyle w:val="FootnoteReference"/>
        </w:rPr>
        <w:footnoteRef/>
      </w:r>
      <w:r w:rsidR="3DD49DB7">
        <w:rPr/>
        <w:t xml:space="preserve"> Marco Torre L'acquisizione dei contenuti delle "chat" di "whatsapp" nel prisma della legalità probatoria: la Cassazione recepisce la decisione della Consulta e anticipa il legislatore in Diritto penale e processo 6/2025, pp. 761-772</w:t>
      </w:r>
    </w:p>
  </w:footnote>
  <w:footnote w:id="8416">
    <w:p w:rsidR="67C465D3" w:rsidP="67C465D3" w:rsidRDefault="67C465D3" w14:paraId="3CA95627" w14:textId="238ACC0D">
      <w:pPr>
        <w:pStyle w:val="FootnoteText"/>
        <w:bidi w:val="0"/>
      </w:pPr>
      <w:r w:rsidRPr="67C465D3">
        <w:rPr>
          <w:rStyle w:val="FootnoteReference"/>
        </w:rPr>
        <w:footnoteRef/>
      </w:r>
      <w:r w:rsidR="3DD49DB7">
        <w:rPr/>
        <w:t xml:space="preserve"> Pietro Villaschi La posta elettronica e i messaggi WhatsApp sono corrispondenza? Note a margine del ricorso per conflitto di attribuzione tra poteri dello Stato promosso dal Senato della Repubblica in relazione al “caso Renzi”</w:t>
      </w:r>
      <w:r w:rsidR="3DD49DB7">
        <w:rPr/>
        <w:t xml:space="preserve"> </w:t>
      </w:r>
      <w:r w:rsidR="3DD49DB7">
        <w:rPr/>
        <w:t>in federalismi.it 7/2023, pp. 234-264</w:t>
      </w:r>
    </w:p>
  </w:footnote>
  <w:footnote w:id="24327">
    <w:p w:rsidR="3DD49DB7" w:rsidP="3DD49DB7" w:rsidRDefault="3DD49DB7" w14:paraId="47299C64" w14:textId="70E486F4">
      <w:pPr>
        <w:pStyle w:val="FootnoteText"/>
        <w:bidi w:val="0"/>
      </w:pPr>
      <w:r w:rsidRPr="3DD49DB7">
        <w:rPr>
          <w:rStyle w:val="FootnoteReference"/>
        </w:rPr>
        <w:footnoteRef/>
      </w:r>
      <w:r w:rsidR="3DD49DB7">
        <w:rPr/>
        <w:t xml:space="preserve"> Stefano Ciampi Legge n. 137/2023 e investigazioni (digitali) sotto copertura: la cedevolezza del "modello sostanzialista", l'assenza di uno statuto processuale, la necessità di una rivoluzione copernicana nell'approccio alla materia in Processo penale e Giustizia 3/2024, pp. 723-742</w:t>
      </w:r>
    </w:p>
  </w:footnote>
  <w:footnote w:id="5478">
    <w:p w:rsidR="3DD49DB7" w:rsidP="3DD49DB7" w:rsidRDefault="3DD49DB7" w14:paraId="571BC6EF" w14:textId="7659ED65">
      <w:pPr>
        <w:pStyle w:val="FootnoteText"/>
        <w:bidi w:val="0"/>
      </w:pPr>
      <w:r w:rsidRPr="3DD49DB7">
        <w:rPr>
          <w:rStyle w:val="FootnoteReference"/>
        </w:rPr>
        <w:footnoteRef/>
      </w:r>
      <w:r w:rsidR="3DD49DB7">
        <w:rPr/>
        <w:t xml:space="preserve"> Alberto Cisterna Tecniche di ricerca appropriate in base all'attuale quadro normativo in Guida al Diritto 17/2009, pp. 87-89</w:t>
      </w:r>
    </w:p>
    <w:p w:rsidR="3DD49DB7" w:rsidP="3DD49DB7" w:rsidRDefault="3DD49DB7" w14:paraId="3F4E6BDC" w14:textId="7E7BE079">
      <w:pPr>
        <w:pStyle w:val="FootnoteText"/>
        <w:bidi w:val="0"/>
        <w:rPr>
          <w:noProof w:val="0"/>
          <w:lang w:val="it-IT"/>
        </w:rPr>
      </w:pPr>
    </w:p>
  </w:footnote>
  <w:footnote w:id="31660">
    <w:p w:rsidR="3DD49DB7" w:rsidP="3DD49DB7" w:rsidRDefault="3DD49DB7" w14:paraId="1EA45BA6" w14:textId="6E419488">
      <w:pPr>
        <w:pStyle w:val="FootnoteText"/>
        <w:bidi w:val="0"/>
      </w:pPr>
      <w:r w:rsidRPr="3DD49DB7">
        <w:rPr>
          <w:rStyle w:val="FootnoteReference"/>
        </w:rPr>
        <w:footnoteRef/>
      </w:r>
      <w:r w:rsidR="3DD49DB7">
        <w:rPr/>
        <w:t xml:space="preserve"> Massimo Giuliano La "</w:t>
      </w:r>
      <w:r w:rsidR="3DD49DB7">
        <w:rPr/>
        <w:t>block</w:t>
      </w:r>
      <w:r w:rsidR="3DD49DB7">
        <w:rPr/>
        <w:t xml:space="preserve"> chain" e gli "smart </w:t>
      </w:r>
      <w:r w:rsidR="3DD49DB7">
        <w:rPr/>
        <w:t>contracts</w:t>
      </w:r>
      <w:r w:rsidR="3DD49DB7">
        <w:rPr/>
        <w:t>" nell'innovazione del diritto nel terzo millennio in Il Diritto dell'informazione e dell'informatica 6/2018, pp. 989-1039</w:t>
      </w:r>
    </w:p>
  </w:footnote>
  <w:footnote w:id="17608">
    <w:p w:rsidR="3DD49DB7" w:rsidP="3DD49DB7" w:rsidRDefault="3DD49DB7" w14:paraId="09D9BC6D" w14:textId="535D69A2">
      <w:pPr>
        <w:pStyle w:val="FootnoteText"/>
        <w:bidi w:val="0"/>
      </w:pPr>
      <w:r w:rsidRPr="3DD49DB7">
        <w:rPr>
          <w:rStyle w:val="FootnoteReference"/>
        </w:rPr>
        <w:footnoteRef/>
      </w:r>
      <w:r w:rsidRPr="3DD49DB7" w:rsidR="3DD49DB7">
        <w:rPr>
          <w:noProof w:val="0"/>
          <w:lang w:val="it-IT"/>
        </w:rPr>
        <w:t xml:space="preserve"> Francesco Rampone I dati personali in ambiente "blockchain" tra anonimato e </w:t>
      </w:r>
      <w:r w:rsidRPr="3DD49DB7" w:rsidR="3DD49DB7">
        <w:rPr>
          <w:noProof w:val="0"/>
          <w:lang w:val="it-IT"/>
        </w:rPr>
        <w:t>pseudoanonimato</w:t>
      </w:r>
      <w:r w:rsidRPr="3DD49DB7" w:rsidR="3DD49DB7">
        <w:rPr>
          <w:noProof w:val="0"/>
          <w:lang w:val="it-IT"/>
        </w:rPr>
        <w:t xml:space="preserve"> in Ciberspazio e Diritto 3/2018, pp. 457-458</w:t>
      </w:r>
    </w:p>
    <w:p w:rsidR="3DD49DB7" w:rsidP="3DD49DB7" w:rsidRDefault="3DD49DB7" w14:paraId="661D377B" w14:textId="0BB59FBB">
      <w:pPr>
        <w:pStyle w:val="FootnoteText"/>
        <w:bidi w:val="0"/>
        <w:rPr>
          <w:noProof w:val="0"/>
          <w:lang w:val="it-IT"/>
        </w:rPr>
      </w:pPr>
    </w:p>
  </w:footnote>
  <w:footnote w:id="2319">
    <w:p w:rsidR="3DD49DB7" w:rsidP="3DD49DB7" w:rsidRDefault="3DD49DB7" w14:paraId="589719CD" w14:textId="582BC904">
      <w:pPr>
        <w:pStyle w:val="FootnoteText"/>
        <w:bidi w:val="0"/>
      </w:pPr>
      <w:r w:rsidRPr="3DD49DB7">
        <w:rPr>
          <w:rStyle w:val="FootnoteReference"/>
        </w:rPr>
        <w:footnoteRef/>
      </w:r>
      <w:r w:rsidR="3DD49DB7">
        <w:rPr/>
        <w:t xml:space="preserve"> Andrea Razzini "Blockchain" e protezione dei dati personali alla luce del Regolamento europeo in Ciberspazio e Diritto 1-2/2018, pp. 197-208</w:t>
      </w:r>
    </w:p>
  </w:footnote>
  <w:footnote w:id="1446">
    <w:p w:rsidR="3DD49DB7" w:rsidP="3DD49DB7" w:rsidRDefault="3DD49DB7" w14:paraId="78AFD9C5" w14:textId="0B89460A">
      <w:pPr>
        <w:pStyle w:val="FootnoteText"/>
        <w:bidi w:val="0"/>
      </w:pPr>
      <w:r w:rsidRPr="3DD49DB7">
        <w:rPr>
          <w:rStyle w:val="FootnoteReference"/>
        </w:rPr>
        <w:footnoteRef/>
      </w:r>
      <w:r w:rsidR="3DD49DB7">
        <w:rPr/>
        <w:t xml:space="preserve"> Diego Giorio Sicurezza informatica e crittografia - Parte I in Lo Stato Civile Italiano 10/2009, pp. 785-788</w:t>
      </w:r>
    </w:p>
  </w:footnote>
  <w:footnote w:id="32655">
    <w:p w:rsidR="3DD49DB7" w:rsidP="3DD49DB7" w:rsidRDefault="3DD49DB7" w14:paraId="6C707395" w14:textId="37CC6572">
      <w:pPr>
        <w:pStyle w:val="FootnoteText"/>
        <w:bidi w:val="0"/>
      </w:pPr>
      <w:r w:rsidRPr="3DD49DB7">
        <w:rPr>
          <w:rStyle w:val="FootnoteReference"/>
        </w:rPr>
        <w:footnoteRef/>
      </w:r>
      <w:r w:rsidR="3DD49DB7">
        <w:rPr/>
        <w:t xml:space="preserve"> Marcello Bergonzi Perrone Il mancato rispetto delle disposizioni della Legge n. 48 del 2008 in tema di acquisizione probatoria informatica: per una ipotesi sanzionatoria non prevista esplicitamente dal dato normativo in Ciberspazio e Diritto 1/2013, pp. 119-129</w:t>
      </w:r>
    </w:p>
  </w:footnote>
  <w:footnote w:id="26680">
    <w:p w:rsidR="3DD49DB7" w:rsidP="3DD49DB7" w:rsidRDefault="3DD49DB7" w14:paraId="21BC7AC5" w14:textId="4130A6CC">
      <w:pPr>
        <w:pStyle w:val="FootnoteText"/>
        <w:bidi w:val="0"/>
      </w:pPr>
      <w:r w:rsidRPr="3DD49DB7">
        <w:rPr>
          <w:rStyle w:val="FootnoteReference"/>
        </w:rPr>
        <w:footnoteRef/>
      </w:r>
      <w:r w:rsidR="3DD49DB7">
        <w:rPr/>
        <w:t xml:space="preserve"> Filippo Novario L'attività di accertamento tecnico difensivo disposta su elementi informatici e la sua ripetibilità in Ciberspazio e Diritto 1/2011, pp. 75-87</w:t>
      </w:r>
    </w:p>
  </w:footnote>
  <w:footnote w:id="27159">
    <w:p w:rsidR="3DD49DB7" w:rsidP="3DD49DB7" w:rsidRDefault="3DD49DB7" w14:paraId="4BB6C61E" w14:textId="7B38A41B">
      <w:pPr>
        <w:pStyle w:val="FootnoteText"/>
        <w:bidi w:val="0"/>
      </w:pPr>
      <w:r w:rsidRPr="3DD49DB7">
        <w:rPr>
          <w:rStyle w:val="FootnoteReference"/>
        </w:rPr>
        <w:footnoteRef/>
      </w:r>
      <w:r w:rsidR="3DD49DB7">
        <w:rPr/>
        <w:t xml:space="preserve"> Gerardo Costabile Diego Rasetti Scena </w:t>
      </w:r>
      <w:r w:rsidR="3DD49DB7">
        <w:rPr/>
        <w:t>criminis</w:t>
      </w:r>
      <w:r w:rsidR="3DD49DB7">
        <w:rPr/>
        <w:t>, tracce informatiche e formazione della prova in Ciberspazio e Diritto 3-4/2003, pp. 273-292</w:t>
      </w:r>
    </w:p>
  </w:footnote>
  <w:footnote w:id="20743">
    <w:p w:rsidR="3DD49DB7" w:rsidP="3DD49DB7" w:rsidRDefault="3DD49DB7" w14:paraId="734750F9" w14:textId="004146C7">
      <w:pPr>
        <w:pStyle w:val="FootnoteText"/>
      </w:pPr>
      <w:r w:rsidR="3DD49DB7">
        <w:rPr/>
        <w:t>Antonio Bottari Messaggistica criptata, ordine europeo di indagine e tutela dei diritti fondamentali. Il timido approccio delle sezioni unite sul caso Sky-ECC in Il Foro italiano 4/2025, 2, pp. 209-216</w:t>
      </w:r>
    </w:p>
  </w:footnote>
  <w:footnote w:id="25807">
    <w:p w:rsidR="3DD49DB7" w:rsidP="3DD49DB7" w:rsidRDefault="3DD49DB7" w14:paraId="30249C3D" w14:textId="2AFDE857">
      <w:pPr>
        <w:pStyle w:val="FootnoteText"/>
        <w:bidi w:val="0"/>
      </w:pPr>
      <w:r w:rsidRPr="3DD49DB7">
        <w:rPr>
          <w:rStyle w:val="FootnoteReference"/>
        </w:rPr>
        <w:footnoteRef/>
      </w:r>
      <w:r w:rsidR="3DD49DB7">
        <w:rPr/>
        <w:t xml:space="preserve"> A. Gaito, Comunicazioni criptate ed esigenze difensive (da Blackberry a Sky-ECC), in archiviopenale.it, 2024, n. 1, p. 3 s.</w:t>
      </w:r>
    </w:p>
  </w:footnote>
  <w:footnote w:id="15598">
    <w:p w:rsidR="3DD49DB7" w:rsidP="3DD49DB7" w:rsidRDefault="3DD49DB7" w14:paraId="46DE68BC" w14:textId="4661350A">
      <w:pPr>
        <w:pStyle w:val="FootnoteText"/>
        <w:bidi w:val="0"/>
      </w:pPr>
      <w:r w:rsidRPr="3DD49DB7">
        <w:rPr>
          <w:rStyle w:val="FootnoteReference"/>
        </w:rPr>
        <w:footnoteRef/>
      </w:r>
      <w:r w:rsidR="3DD49DB7">
        <w:rPr/>
        <w:t xml:space="preserve"> Leonardo Filippi Sulle chat francesi criptate le Sezioni Unite ammettono la prova di origine ignota in Archivio della nuova procedura penale 4/2024, pp. 391-397</w:t>
      </w:r>
    </w:p>
  </w:footnote>
  <w:footnote w:id="14268">
    <w:p w:rsidR="3DD49DB7" w:rsidP="3DD49DB7" w:rsidRDefault="3DD49DB7" w14:paraId="4700D044" w14:textId="1B02BD0C">
      <w:pPr>
        <w:pStyle w:val="FootnoteText"/>
        <w:bidi w:val="0"/>
      </w:pPr>
      <w:r w:rsidRPr="3DD49DB7">
        <w:rPr>
          <w:rStyle w:val="FootnoteReference"/>
        </w:rPr>
        <w:footnoteRef/>
      </w:r>
      <w:r w:rsidR="3DD49DB7">
        <w:rPr/>
        <w:t xml:space="preserve"> Marco Tullio Morcella Le due mosse con cui l'AG [Autorità Giudiziaria] francese ha "hackerato" Sky ECC in Diritto penale e processo 10/2023, pp. 1377-1382</w:t>
      </w:r>
    </w:p>
  </w:footnote>
  <w:footnote w:id="11972">
    <w:p w:rsidR="3DD49DB7" w:rsidP="3DD49DB7" w:rsidRDefault="3DD49DB7" w14:paraId="3E72BE07" w14:textId="5BE2DE27">
      <w:pPr>
        <w:pStyle w:val="FootnoteText"/>
        <w:bidi w:val="0"/>
      </w:pPr>
      <w:r w:rsidRPr="3DD49DB7">
        <w:rPr>
          <w:rStyle w:val="FootnoteReference"/>
        </w:rPr>
        <w:footnoteRef/>
      </w:r>
      <w:r w:rsidR="3DD49DB7">
        <w:rPr/>
        <w:t xml:space="preserve"> Marco Tullio Morcella "Da </w:t>
      </w:r>
      <w:r w:rsidR="3DD49DB7">
        <w:rPr/>
        <w:t>mihi</w:t>
      </w:r>
      <w:r w:rsidR="3DD49DB7">
        <w:rPr/>
        <w:t xml:space="preserve"> factum, </w:t>
      </w:r>
      <w:r w:rsidR="3DD49DB7">
        <w:rPr/>
        <w:t>dabo</w:t>
      </w:r>
      <w:r w:rsidR="3DD49DB7">
        <w:rPr/>
        <w:t xml:space="preserve"> </w:t>
      </w:r>
      <w:r w:rsidR="3DD49DB7">
        <w:rPr/>
        <w:t>tibi</w:t>
      </w:r>
      <w:r w:rsidR="3DD49DB7">
        <w:rPr/>
        <w:t xml:space="preserve"> ius": un principio irrinunciabile, pure nell’era dei </w:t>
      </w:r>
      <w:r w:rsidR="3DD49DB7">
        <w:rPr/>
        <w:t>criptofonini</w:t>
      </w:r>
      <w:r w:rsidR="3DD49DB7">
        <w:rPr/>
        <w:t xml:space="preserve"> in Giurisprudenza italiana 10/2023, pp. 2191-2202</w:t>
      </w:r>
    </w:p>
  </w:footnote>
  <w:footnote w:id="30393">
    <w:p w:rsidR="3DD49DB7" w:rsidP="3DD49DB7" w:rsidRDefault="3DD49DB7" w14:paraId="642CA431" w14:textId="1CB4B39A">
      <w:pPr>
        <w:pStyle w:val="FootnoteText"/>
        <w:bidi w:val="0"/>
      </w:pPr>
      <w:r w:rsidRPr="3DD49DB7">
        <w:rPr>
          <w:rStyle w:val="FootnoteReference"/>
        </w:rPr>
        <w:footnoteRef/>
      </w:r>
      <w:r w:rsidR="3DD49DB7">
        <w:rPr/>
        <w:t xml:space="preserve"> Luca Maria Tonelli Un'estensione (eccessiva?) della nozione di "corrispondenza" in una recente sentenza della Corte costituzionale in Osservatorio costituzionale 1/2024, pp. 266-288</w:t>
      </w:r>
    </w:p>
  </w:footnote>
  <w:footnote w:id="7394">
    <w:p w:rsidR="3DD49DB7" w:rsidP="3DD49DB7" w:rsidRDefault="3DD49DB7" w14:paraId="212DB736" w14:textId="37346526">
      <w:pPr>
        <w:pStyle w:val="FootnoteText"/>
        <w:bidi w:val="0"/>
      </w:pPr>
      <w:r w:rsidRPr="3DD49DB7">
        <w:rPr>
          <w:rStyle w:val="FootnoteReference"/>
        </w:rPr>
        <w:footnoteRef/>
      </w:r>
      <w:r w:rsidR="3DD49DB7">
        <w:rPr/>
        <w:t xml:space="preserve"> Enrico Albanesi Messaggistica WhatsApp ed e-mail nel contesto delle prerogative dei membri del Parlamento ex art. 68, terzo comma, Cost. Prospettive costituzionali di diritto della comunicazione</w:t>
      </w:r>
    </w:p>
    <w:p w:rsidR="3DD49DB7" w:rsidP="3DD49DB7" w:rsidRDefault="3DD49DB7" w14:paraId="2B657340" w14:textId="25E5B3A0">
      <w:pPr>
        <w:pStyle w:val="FootnoteText"/>
      </w:pPr>
      <w:r w:rsidR="3DD49DB7">
        <w:rPr/>
        <w:t>in MediaLaws 3/2022, pp. 94-108</w:t>
      </w:r>
    </w:p>
  </w:footnote>
  <w:footnote w:id="24882">
    <w:p w:rsidR="3DD49DB7" w:rsidP="3DD49DB7" w:rsidRDefault="3DD49DB7" w14:paraId="7DA7C481" w14:textId="4689E126">
      <w:pPr>
        <w:pStyle w:val="FootnoteText"/>
        <w:bidi w:val="0"/>
      </w:pPr>
      <w:r w:rsidRPr="3DD49DB7">
        <w:rPr>
          <w:rStyle w:val="FootnoteReference"/>
        </w:rPr>
        <w:footnoteRef/>
      </w:r>
      <w:r w:rsidR="3DD49DB7">
        <w:rPr/>
        <w:t xml:space="preserve"> Antonio D'Andrea I fatti dietro gli "emoticon": la Corte "copre" qualsiasi condotta del parlamentare veicolata consapevolmente tramite "Whatsapp" in Giurisprudenza costituzionale 4/2023, pp. 1739-1746</w:t>
      </w:r>
    </w:p>
  </w:footnote>
  <w:footnote w:id="18564">
    <w:p w:rsidR="3DD49DB7" w:rsidP="3DD49DB7" w:rsidRDefault="3DD49DB7" w14:paraId="1F6B2921" w14:textId="79C6DCC9">
      <w:pPr>
        <w:pStyle w:val="FootnoteText"/>
        <w:bidi w:val="0"/>
      </w:pPr>
      <w:r w:rsidRPr="3DD49DB7">
        <w:rPr>
          <w:rStyle w:val="FootnoteReference"/>
        </w:rPr>
        <w:footnoteRef/>
      </w:r>
      <w:r w:rsidR="3DD49DB7">
        <w:rPr/>
        <w:t xml:space="preserve"> Wanda Nocerino Le recenti riforme in materia di intercettazioni: alcune criticità e qualche prospettiva in La Legislazione penale 1/2025, 2, pp. 205-229</w:t>
      </w:r>
    </w:p>
  </w:footnote>
  <w:footnote w:id="22063">
    <w:p w:rsidR="3DD49DB7" w:rsidP="3DD49DB7" w:rsidRDefault="3DD49DB7" w14:paraId="598FD16C" w14:textId="6A8D998A">
      <w:pPr>
        <w:pStyle w:val="FootnoteText"/>
        <w:bidi w:val="0"/>
      </w:pPr>
      <w:r w:rsidRPr="3DD49DB7">
        <w:rPr>
          <w:rStyle w:val="FootnoteReference"/>
        </w:rPr>
        <w:footnoteRef/>
      </w:r>
      <w:r w:rsidR="3DD49DB7">
        <w:rPr/>
        <w:t xml:space="preserve"> Wanda Nocerino Le recenti riforme in materia di intercettazioni: alcune criticità e qualche prospettiva in La Legislazione penale 1/2025, 2, pp. 205-229</w:t>
      </w:r>
    </w:p>
  </w:footnote>
</w:footnotes>
</file>

<file path=word/numbering.xml><?xml version="1.0" encoding="utf-8"?>
<w:numbering xmlns:w="http://schemas.openxmlformats.org/wordprocessingml/2006/main">
  <w:abstractNum xmlns:w="http://schemas.openxmlformats.org/wordprocessingml/2006/main" w:abstractNumId="8">
    <w:nsid w:val="2808d7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956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a5f4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d8f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007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d8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f01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258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5076FA"/>
    <w:rsid w:val="000119A6"/>
    <w:rsid w:val="002C27CF"/>
    <w:rsid w:val="002C3232"/>
    <w:rsid w:val="002D5A14"/>
    <w:rsid w:val="009528E4"/>
    <w:rsid w:val="00BC66D1"/>
    <w:rsid w:val="00CE718A"/>
    <w:rsid w:val="00CF997C"/>
    <w:rsid w:val="010097B1"/>
    <w:rsid w:val="011AD0F8"/>
    <w:rsid w:val="011B3F19"/>
    <w:rsid w:val="015C025F"/>
    <w:rsid w:val="01CC3813"/>
    <w:rsid w:val="01D8AA68"/>
    <w:rsid w:val="01DBC1A0"/>
    <w:rsid w:val="01F44168"/>
    <w:rsid w:val="025F7FA5"/>
    <w:rsid w:val="0323AC90"/>
    <w:rsid w:val="03362B69"/>
    <w:rsid w:val="0340FDA2"/>
    <w:rsid w:val="043F9281"/>
    <w:rsid w:val="04C9280F"/>
    <w:rsid w:val="056F04C4"/>
    <w:rsid w:val="059A3195"/>
    <w:rsid w:val="059BE9F7"/>
    <w:rsid w:val="05C40C2F"/>
    <w:rsid w:val="05DAD06F"/>
    <w:rsid w:val="05E1AFE4"/>
    <w:rsid w:val="05FE56AE"/>
    <w:rsid w:val="065864E8"/>
    <w:rsid w:val="06797814"/>
    <w:rsid w:val="06A36374"/>
    <w:rsid w:val="06B4FEEC"/>
    <w:rsid w:val="06CAB532"/>
    <w:rsid w:val="0733E559"/>
    <w:rsid w:val="07881F77"/>
    <w:rsid w:val="07907EC7"/>
    <w:rsid w:val="07BF8F19"/>
    <w:rsid w:val="07FC6AB5"/>
    <w:rsid w:val="07FD4694"/>
    <w:rsid w:val="082090B9"/>
    <w:rsid w:val="0860BEE7"/>
    <w:rsid w:val="0875F24D"/>
    <w:rsid w:val="0894CC02"/>
    <w:rsid w:val="091255DD"/>
    <w:rsid w:val="091FEBB8"/>
    <w:rsid w:val="093F9620"/>
    <w:rsid w:val="0969F0E2"/>
    <w:rsid w:val="097E66BC"/>
    <w:rsid w:val="099953A8"/>
    <w:rsid w:val="099DAB6D"/>
    <w:rsid w:val="099FFC56"/>
    <w:rsid w:val="0A0DBD0D"/>
    <w:rsid w:val="0A256A71"/>
    <w:rsid w:val="0A5FD5E0"/>
    <w:rsid w:val="0A96B435"/>
    <w:rsid w:val="0AA3B459"/>
    <w:rsid w:val="0AA73508"/>
    <w:rsid w:val="0AAC4798"/>
    <w:rsid w:val="0AB64A48"/>
    <w:rsid w:val="0B0629B5"/>
    <w:rsid w:val="0B15964A"/>
    <w:rsid w:val="0B3D7D4D"/>
    <w:rsid w:val="0B5D8191"/>
    <w:rsid w:val="0B637C14"/>
    <w:rsid w:val="0B7A1097"/>
    <w:rsid w:val="0C1EE665"/>
    <w:rsid w:val="0C6B8A7D"/>
    <w:rsid w:val="0C9748AF"/>
    <w:rsid w:val="0CA07E02"/>
    <w:rsid w:val="0CAA4D95"/>
    <w:rsid w:val="0CB66832"/>
    <w:rsid w:val="0CCA9C15"/>
    <w:rsid w:val="0CEECAB4"/>
    <w:rsid w:val="0D053661"/>
    <w:rsid w:val="0D440DE1"/>
    <w:rsid w:val="0D566E37"/>
    <w:rsid w:val="0D8949CB"/>
    <w:rsid w:val="0DDEF7F5"/>
    <w:rsid w:val="0DDF8D90"/>
    <w:rsid w:val="0E58A969"/>
    <w:rsid w:val="0E8479AC"/>
    <w:rsid w:val="0E85AE67"/>
    <w:rsid w:val="0EC3D3AE"/>
    <w:rsid w:val="0F10A3E9"/>
    <w:rsid w:val="0F110977"/>
    <w:rsid w:val="0F940215"/>
    <w:rsid w:val="10437319"/>
    <w:rsid w:val="10564D5B"/>
    <w:rsid w:val="1064A180"/>
    <w:rsid w:val="107B50C5"/>
    <w:rsid w:val="108EF816"/>
    <w:rsid w:val="10C3772D"/>
    <w:rsid w:val="113B1772"/>
    <w:rsid w:val="11550679"/>
    <w:rsid w:val="11A9D8F1"/>
    <w:rsid w:val="11DEE381"/>
    <w:rsid w:val="11F724EF"/>
    <w:rsid w:val="12075457"/>
    <w:rsid w:val="1232EA5F"/>
    <w:rsid w:val="1287F1EE"/>
    <w:rsid w:val="1299D48A"/>
    <w:rsid w:val="12F009DC"/>
    <w:rsid w:val="12F78904"/>
    <w:rsid w:val="131D47C7"/>
    <w:rsid w:val="134774F2"/>
    <w:rsid w:val="1358E451"/>
    <w:rsid w:val="137596AC"/>
    <w:rsid w:val="13760F76"/>
    <w:rsid w:val="1380EB0B"/>
    <w:rsid w:val="13AF64CF"/>
    <w:rsid w:val="13B61B65"/>
    <w:rsid w:val="140DEF42"/>
    <w:rsid w:val="14224C4D"/>
    <w:rsid w:val="142FB3E2"/>
    <w:rsid w:val="1456FAFB"/>
    <w:rsid w:val="145EA6D3"/>
    <w:rsid w:val="14607D9E"/>
    <w:rsid w:val="149D6CFA"/>
    <w:rsid w:val="14A749B8"/>
    <w:rsid w:val="1557F3E4"/>
    <w:rsid w:val="15BF4935"/>
    <w:rsid w:val="15E98351"/>
    <w:rsid w:val="1634D579"/>
    <w:rsid w:val="164128C5"/>
    <w:rsid w:val="1648AA31"/>
    <w:rsid w:val="16583D60"/>
    <w:rsid w:val="1670594A"/>
    <w:rsid w:val="16BA5633"/>
    <w:rsid w:val="16FA2A21"/>
    <w:rsid w:val="17026AE6"/>
    <w:rsid w:val="1732AA03"/>
    <w:rsid w:val="17595F31"/>
    <w:rsid w:val="17795E1E"/>
    <w:rsid w:val="183C0397"/>
    <w:rsid w:val="18A7F310"/>
    <w:rsid w:val="18D0C50B"/>
    <w:rsid w:val="19707442"/>
    <w:rsid w:val="19716EA6"/>
    <w:rsid w:val="1971CFF3"/>
    <w:rsid w:val="1986C11F"/>
    <w:rsid w:val="198EC1AE"/>
    <w:rsid w:val="19A0AA10"/>
    <w:rsid w:val="19C30698"/>
    <w:rsid w:val="19F6A05F"/>
    <w:rsid w:val="1A03E123"/>
    <w:rsid w:val="1A2468EF"/>
    <w:rsid w:val="1A423D40"/>
    <w:rsid w:val="1A61DBAF"/>
    <w:rsid w:val="1AAA9D12"/>
    <w:rsid w:val="1AB60531"/>
    <w:rsid w:val="1AC22E72"/>
    <w:rsid w:val="1AE27DDD"/>
    <w:rsid w:val="1B21DBF3"/>
    <w:rsid w:val="1B2F3C3E"/>
    <w:rsid w:val="1B6C01E6"/>
    <w:rsid w:val="1B876DF9"/>
    <w:rsid w:val="1BBB0F2D"/>
    <w:rsid w:val="1BF31B1C"/>
    <w:rsid w:val="1C4969F8"/>
    <w:rsid w:val="1C49D703"/>
    <w:rsid w:val="1C822F00"/>
    <w:rsid w:val="1CB3FCBF"/>
    <w:rsid w:val="1CD57D2E"/>
    <w:rsid w:val="1D7DB3C1"/>
    <w:rsid w:val="1D904CB6"/>
    <w:rsid w:val="1D941EDF"/>
    <w:rsid w:val="1DCE2B44"/>
    <w:rsid w:val="1DF3676F"/>
    <w:rsid w:val="1E1EC02D"/>
    <w:rsid w:val="1E204775"/>
    <w:rsid w:val="1E4A1C8B"/>
    <w:rsid w:val="1EFDDF5E"/>
    <w:rsid w:val="1F1C0121"/>
    <w:rsid w:val="1F24E4F9"/>
    <w:rsid w:val="1FA1C8BF"/>
    <w:rsid w:val="1FC16A8D"/>
    <w:rsid w:val="2016A87F"/>
    <w:rsid w:val="20567026"/>
    <w:rsid w:val="20C2A947"/>
    <w:rsid w:val="20E17C4F"/>
    <w:rsid w:val="20E796FF"/>
    <w:rsid w:val="21973173"/>
    <w:rsid w:val="21BFF1D8"/>
    <w:rsid w:val="21C2CC1B"/>
    <w:rsid w:val="21EDDC8B"/>
    <w:rsid w:val="21F42F9C"/>
    <w:rsid w:val="21F5BEC5"/>
    <w:rsid w:val="225DB896"/>
    <w:rsid w:val="22851188"/>
    <w:rsid w:val="229AF4C3"/>
    <w:rsid w:val="22CB913A"/>
    <w:rsid w:val="2372953D"/>
    <w:rsid w:val="2376C9CF"/>
    <w:rsid w:val="237D8EB9"/>
    <w:rsid w:val="23DF1001"/>
    <w:rsid w:val="2407672D"/>
    <w:rsid w:val="2439A78E"/>
    <w:rsid w:val="24AFF34D"/>
    <w:rsid w:val="24B42E6A"/>
    <w:rsid w:val="24BA1BD7"/>
    <w:rsid w:val="24D28382"/>
    <w:rsid w:val="24D97B0A"/>
    <w:rsid w:val="2528D2E9"/>
    <w:rsid w:val="25B77C18"/>
    <w:rsid w:val="25F036CB"/>
    <w:rsid w:val="262D2AFA"/>
    <w:rsid w:val="26492A18"/>
    <w:rsid w:val="266F8B46"/>
    <w:rsid w:val="2679EF75"/>
    <w:rsid w:val="267F3FA0"/>
    <w:rsid w:val="26E5430E"/>
    <w:rsid w:val="2725578C"/>
    <w:rsid w:val="2734B049"/>
    <w:rsid w:val="273D0FEE"/>
    <w:rsid w:val="275F7CCC"/>
    <w:rsid w:val="2776AE92"/>
    <w:rsid w:val="27826D24"/>
    <w:rsid w:val="27951FE2"/>
    <w:rsid w:val="28098DF3"/>
    <w:rsid w:val="28118FC7"/>
    <w:rsid w:val="28A6387A"/>
    <w:rsid w:val="28E5EB1E"/>
    <w:rsid w:val="292D70FE"/>
    <w:rsid w:val="298ECCB5"/>
    <w:rsid w:val="29DF1223"/>
    <w:rsid w:val="2A4D0F40"/>
    <w:rsid w:val="2AB24821"/>
    <w:rsid w:val="2ABAC662"/>
    <w:rsid w:val="2B040848"/>
    <w:rsid w:val="2B340C3F"/>
    <w:rsid w:val="2B6162D2"/>
    <w:rsid w:val="2BE2B0F5"/>
    <w:rsid w:val="2C1F605A"/>
    <w:rsid w:val="2C21426D"/>
    <w:rsid w:val="2C3FF820"/>
    <w:rsid w:val="2CEBAF28"/>
    <w:rsid w:val="2D39EA78"/>
    <w:rsid w:val="2D7AFA5B"/>
    <w:rsid w:val="2D80DA70"/>
    <w:rsid w:val="2D84017A"/>
    <w:rsid w:val="2DCF5C6B"/>
    <w:rsid w:val="2DEED164"/>
    <w:rsid w:val="2E133B5E"/>
    <w:rsid w:val="2E23A5A0"/>
    <w:rsid w:val="2E57B07B"/>
    <w:rsid w:val="2E62FFDF"/>
    <w:rsid w:val="2E99433C"/>
    <w:rsid w:val="2EAC36E1"/>
    <w:rsid w:val="2EE06C03"/>
    <w:rsid w:val="2EF25B04"/>
    <w:rsid w:val="2F023FDC"/>
    <w:rsid w:val="2F1CA7FC"/>
    <w:rsid w:val="2F4FEC4B"/>
    <w:rsid w:val="2F5CA3DC"/>
    <w:rsid w:val="2F63B68D"/>
    <w:rsid w:val="2F681470"/>
    <w:rsid w:val="2FD761CC"/>
    <w:rsid w:val="2FF1E976"/>
    <w:rsid w:val="2FF9BC99"/>
    <w:rsid w:val="303EFF3B"/>
    <w:rsid w:val="30660FBF"/>
    <w:rsid w:val="30C1FDD8"/>
    <w:rsid w:val="30EA30B7"/>
    <w:rsid w:val="30EED06E"/>
    <w:rsid w:val="31A1420C"/>
    <w:rsid w:val="31A20554"/>
    <w:rsid w:val="31BA1645"/>
    <w:rsid w:val="32342C14"/>
    <w:rsid w:val="324E2C6F"/>
    <w:rsid w:val="326D3E6A"/>
    <w:rsid w:val="32A57346"/>
    <w:rsid w:val="32ED8F04"/>
    <w:rsid w:val="32F07E38"/>
    <w:rsid w:val="3305E59B"/>
    <w:rsid w:val="334FD564"/>
    <w:rsid w:val="3370AFDE"/>
    <w:rsid w:val="33B41426"/>
    <w:rsid w:val="33CAB349"/>
    <w:rsid w:val="33F6C71C"/>
    <w:rsid w:val="34522C77"/>
    <w:rsid w:val="3455F017"/>
    <w:rsid w:val="3465D682"/>
    <w:rsid w:val="347AB4BB"/>
    <w:rsid w:val="347D0AF3"/>
    <w:rsid w:val="349C503A"/>
    <w:rsid w:val="34C4ED10"/>
    <w:rsid w:val="35213C22"/>
    <w:rsid w:val="35C8AB23"/>
    <w:rsid w:val="35D6F1D8"/>
    <w:rsid w:val="35D88FCC"/>
    <w:rsid w:val="35E79CA8"/>
    <w:rsid w:val="35F49C4B"/>
    <w:rsid w:val="36123094"/>
    <w:rsid w:val="36304363"/>
    <w:rsid w:val="36706A8B"/>
    <w:rsid w:val="3687728D"/>
    <w:rsid w:val="3687AEED"/>
    <w:rsid w:val="369ECE01"/>
    <w:rsid w:val="36AE5D7D"/>
    <w:rsid w:val="36BAA295"/>
    <w:rsid w:val="3728261A"/>
    <w:rsid w:val="37583FCD"/>
    <w:rsid w:val="381F3204"/>
    <w:rsid w:val="3829146F"/>
    <w:rsid w:val="38638F16"/>
    <w:rsid w:val="386CE18D"/>
    <w:rsid w:val="387DDDC0"/>
    <w:rsid w:val="389B5814"/>
    <w:rsid w:val="38C7920F"/>
    <w:rsid w:val="38EAD21D"/>
    <w:rsid w:val="39002081"/>
    <w:rsid w:val="393F721A"/>
    <w:rsid w:val="396175F4"/>
    <w:rsid w:val="3962A8E1"/>
    <w:rsid w:val="396FBD38"/>
    <w:rsid w:val="39A696C5"/>
    <w:rsid w:val="39C59403"/>
    <w:rsid w:val="39D76A99"/>
    <w:rsid w:val="39D980AD"/>
    <w:rsid w:val="3A30723E"/>
    <w:rsid w:val="3A346F33"/>
    <w:rsid w:val="3A3DDF71"/>
    <w:rsid w:val="3A4FB10D"/>
    <w:rsid w:val="3A654FC0"/>
    <w:rsid w:val="3AC65995"/>
    <w:rsid w:val="3AE7EC5C"/>
    <w:rsid w:val="3AF78512"/>
    <w:rsid w:val="3B0D9CD6"/>
    <w:rsid w:val="3B20B1B1"/>
    <w:rsid w:val="3B69A3E6"/>
    <w:rsid w:val="3B8A4AC1"/>
    <w:rsid w:val="3BA51934"/>
    <w:rsid w:val="3BB2642E"/>
    <w:rsid w:val="3BE83A95"/>
    <w:rsid w:val="3C018D01"/>
    <w:rsid w:val="3C046365"/>
    <w:rsid w:val="3C1F8A40"/>
    <w:rsid w:val="3C29C184"/>
    <w:rsid w:val="3C3FE160"/>
    <w:rsid w:val="3C4F989C"/>
    <w:rsid w:val="3C5CFB69"/>
    <w:rsid w:val="3CA09028"/>
    <w:rsid w:val="3CA21959"/>
    <w:rsid w:val="3D698A85"/>
    <w:rsid w:val="3D6FAF36"/>
    <w:rsid w:val="3D8A0C41"/>
    <w:rsid w:val="3DD49DB7"/>
    <w:rsid w:val="3E8213F4"/>
    <w:rsid w:val="3EAE35C6"/>
    <w:rsid w:val="3EF868D2"/>
    <w:rsid w:val="3F11A955"/>
    <w:rsid w:val="3F63A46B"/>
    <w:rsid w:val="3F76B506"/>
    <w:rsid w:val="3F874541"/>
    <w:rsid w:val="3FBFA348"/>
    <w:rsid w:val="3FCE657B"/>
    <w:rsid w:val="3FDF7726"/>
    <w:rsid w:val="3FEFD304"/>
    <w:rsid w:val="406FF0C2"/>
    <w:rsid w:val="409FB93C"/>
    <w:rsid w:val="40B949CB"/>
    <w:rsid w:val="40E7DB1B"/>
    <w:rsid w:val="411C9FBA"/>
    <w:rsid w:val="41248805"/>
    <w:rsid w:val="41264145"/>
    <w:rsid w:val="41433257"/>
    <w:rsid w:val="41AEACC6"/>
    <w:rsid w:val="41C15873"/>
    <w:rsid w:val="41CDEDFB"/>
    <w:rsid w:val="41E14629"/>
    <w:rsid w:val="41E68FF8"/>
    <w:rsid w:val="41F2A1AE"/>
    <w:rsid w:val="420BBFB0"/>
    <w:rsid w:val="4215E239"/>
    <w:rsid w:val="4230C2F1"/>
    <w:rsid w:val="42513FB6"/>
    <w:rsid w:val="42581ACF"/>
    <w:rsid w:val="42BE3688"/>
    <w:rsid w:val="43BFA3A2"/>
    <w:rsid w:val="43D8698C"/>
    <w:rsid w:val="43E83D86"/>
    <w:rsid w:val="44002EAA"/>
    <w:rsid w:val="441385C3"/>
    <w:rsid w:val="44224BB2"/>
    <w:rsid w:val="4447F9EC"/>
    <w:rsid w:val="4449BCED"/>
    <w:rsid w:val="445AE7CC"/>
    <w:rsid w:val="446F9E92"/>
    <w:rsid w:val="44945B7D"/>
    <w:rsid w:val="44DE35A4"/>
    <w:rsid w:val="44F2C855"/>
    <w:rsid w:val="451182B7"/>
    <w:rsid w:val="45135805"/>
    <w:rsid w:val="451FA739"/>
    <w:rsid w:val="45221FD7"/>
    <w:rsid w:val="4526FBB3"/>
    <w:rsid w:val="45465097"/>
    <w:rsid w:val="458934C8"/>
    <w:rsid w:val="46705612"/>
    <w:rsid w:val="467E806D"/>
    <w:rsid w:val="46883100"/>
    <w:rsid w:val="469FED6D"/>
    <w:rsid w:val="46AB2FEF"/>
    <w:rsid w:val="46D745BB"/>
    <w:rsid w:val="46F134C8"/>
    <w:rsid w:val="46FF053A"/>
    <w:rsid w:val="4736A91D"/>
    <w:rsid w:val="47379D59"/>
    <w:rsid w:val="4738ED1E"/>
    <w:rsid w:val="4763099D"/>
    <w:rsid w:val="4776528C"/>
    <w:rsid w:val="47B2982E"/>
    <w:rsid w:val="47DFB4B5"/>
    <w:rsid w:val="484AACDE"/>
    <w:rsid w:val="4864A91B"/>
    <w:rsid w:val="48807123"/>
    <w:rsid w:val="48D8DAF4"/>
    <w:rsid w:val="4900AC5E"/>
    <w:rsid w:val="490BE7FF"/>
    <w:rsid w:val="49111554"/>
    <w:rsid w:val="496A517F"/>
    <w:rsid w:val="499F94C6"/>
    <w:rsid w:val="499FE1F2"/>
    <w:rsid w:val="49C1AC68"/>
    <w:rsid w:val="49CF2F77"/>
    <w:rsid w:val="49D025EE"/>
    <w:rsid w:val="49E96B32"/>
    <w:rsid w:val="4A00F8AE"/>
    <w:rsid w:val="4A06F584"/>
    <w:rsid w:val="4A4D5041"/>
    <w:rsid w:val="4A6D2810"/>
    <w:rsid w:val="4A91FED7"/>
    <w:rsid w:val="4AE1CAED"/>
    <w:rsid w:val="4B4D5DAD"/>
    <w:rsid w:val="4BC68CA9"/>
    <w:rsid w:val="4BCD3490"/>
    <w:rsid w:val="4BF00572"/>
    <w:rsid w:val="4BF38AAE"/>
    <w:rsid w:val="4BFDFBE3"/>
    <w:rsid w:val="4C763743"/>
    <w:rsid w:val="4C99BBC5"/>
    <w:rsid w:val="4CA565DA"/>
    <w:rsid w:val="4CCC5514"/>
    <w:rsid w:val="4CD1AA68"/>
    <w:rsid w:val="4D6648BD"/>
    <w:rsid w:val="4D6E42B6"/>
    <w:rsid w:val="4D76B669"/>
    <w:rsid w:val="4D8E8E40"/>
    <w:rsid w:val="4DAFD20F"/>
    <w:rsid w:val="4DDE1CBA"/>
    <w:rsid w:val="4DFA2355"/>
    <w:rsid w:val="4E014D94"/>
    <w:rsid w:val="4E274705"/>
    <w:rsid w:val="4E3D7948"/>
    <w:rsid w:val="4E86B15F"/>
    <w:rsid w:val="4E9AA54D"/>
    <w:rsid w:val="4EC40B41"/>
    <w:rsid w:val="4ECCAD4C"/>
    <w:rsid w:val="4F147867"/>
    <w:rsid w:val="4F4A551E"/>
    <w:rsid w:val="4F8B98FA"/>
    <w:rsid w:val="4F937CC2"/>
    <w:rsid w:val="4F9C6733"/>
    <w:rsid w:val="4FAEC280"/>
    <w:rsid w:val="4FEE3BB2"/>
    <w:rsid w:val="50026BBD"/>
    <w:rsid w:val="5065F101"/>
    <w:rsid w:val="508A449D"/>
    <w:rsid w:val="50B20CBF"/>
    <w:rsid w:val="50CF3CE0"/>
    <w:rsid w:val="510EC7D4"/>
    <w:rsid w:val="5111599E"/>
    <w:rsid w:val="515A57E3"/>
    <w:rsid w:val="517A1431"/>
    <w:rsid w:val="5198DDFF"/>
    <w:rsid w:val="51A107F9"/>
    <w:rsid w:val="51A874C2"/>
    <w:rsid w:val="51AB9AA9"/>
    <w:rsid w:val="51ADDDAD"/>
    <w:rsid w:val="51D2ABD2"/>
    <w:rsid w:val="5204E110"/>
    <w:rsid w:val="522ACFF3"/>
    <w:rsid w:val="52310199"/>
    <w:rsid w:val="52527AEC"/>
    <w:rsid w:val="5283429E"/>
    <w:rsid w:val="52A325D4"/>
    <w:rsid w:val="5351079F"/>
    <w:rsid w:val="53E269C2"/>
    <w:rsid w:val="53EC8E66"/>
    <w:rsid w:val="5422DBE4"/>
    <w:rsid w:val="549E26F1"/>
    <w:rsid w:val="54AD0A76"/>
    <w:rsid w:val="54D500FC"/>
    <w:rsid w:val="557CCD62"/>
    <w:rsid w:val="55AC934F"/>
    <w:rsid w:val="55DA3F18"/>
    <w:rsid w:val="55F2843F"/>
    <w:rsid w:val="56097CE9"/>
    <w:rsid w:val="562909E7"/>
    <w:rsid w:val="5631996F"/>
    <w:rsid w:val="567FCD60"/>
    <w:rsid w:val="56CD8846"/>
    <w:rsid w:val="56D63DB7"/>
    <w:rsid w:val="56EDC92B"/>
    <w:rsid w:val="571BA548"/>
    <w:rsid w:val="571C904C"/>
    <w:rsid w:val="5744D956"/>
    <w:rsid w:val="575B4B6C"/>
    <w:rsid w:val="578E192D"/>
    <w:rsid w:val="57CBD0FB"/>
    <w:rsid w:val="57ECAF46"/>
    <w:rsid w:val="57EE9376"/>
    <w:rsid w:val="57EFECC8"/>
    <w:rsid w:val="57FDCBA6"/>
    <w:rsid w:val="580D985C"/>
    <w:rsid w:val="581E4616"/>
    <w:rsid w:val="58314F6B"/>
    <w:rsid w:val="5883E894"/>
    <w:rsid w:val="58A7E386"/>
    <w:rsid w:val="58C3AE18"/>
    <w:rsid w:val="58E29F46"/>
    <w:rsid w:val="591706CD"/>
    <w:rsid w:val="5918190B"/>
    <w:rsid w:val="5920C0C3"/>
    <w:rsid w:val="592ECF05"/>
    <w:rsid w:val="594BDAEC"/>
    <w:rsid w:val="5960E461"/>
    <w:rsid w:val="597DFE0A"/>
    <w:rsid w:val="598E8E83"/>
    <w:rsid w:val="59A7CE08"/>
    <w:rsid w:val="59AA7044"/>
    <w:rsid w:val="59BEDBEB"/>
    <w:rsid w:val="59CD7DEA"/>
    <w:rsid w:val="59CE3C59"/>
    <w:rsid w:val="5A0DADD4"/>
    <w:rsid w:val="5A25687E"/>
    <w:rsid w:val="5A4F7F78"/>
    <w:rsid w:val="5A520B55"/>
    <w:rsid w:val="5ABDCE2B"/>
    <w:rsid w:val="5AE2E2D6"/>
    <w:rsid w:val="5B0B95AC"/>
    <w:rsid w:val="5B185046"/>
    <w:rsid w:val="5B1EADC7"/>
    <w:rsid w:val="5B232C26"/>
    <w:rsid w:val="5B294D9F"/>
    <w:rsid w:val="5B4071AE"/>
    <w:rsid w:val="5B518355"/>
    <w:rsid w:val="5B6F21C1"/>
    <w:rsid w:val="5B9C000E"/>
    <w:rsid w:val="5B9C89F4"/>
    <w:rsid w:val="5BE8E5CB"/>
    <w:rsid w:val="5BFD5F4C"/>
    <w:rsid w:val="5C065A42"/>
    <w:rsid w:val="5C7E75E6"/>
    <w:rsid w:val="5C9BF552"/>
    <w:rsid w:val="5CF5F8E2"/>
    <w:rsid w:val="5D08B7B7"/>
    <w:rsid w:val="5D1B8716"/>
    <w:rsid w:val="5D3D02B4"/>
    <w:rsid w:val="5D4D49A8"/>
    <w:rsid w:val="5D9252A9"/>
    <w:rsid w:val="5DD20DD9"/>
    <w:rsid w:val="5E005A37"/>
    <w:rsid w:val="5E06AED3"/>
    <w:rsid w:val="5E3BDE6E"/>
    <w:rsid w:val="5E6F880F"/>
    <w:rsid w:val="5E8A56BD"/>
    <w:rsid w:val="5EB1B4F4"/>
    <w:rsid w:val="5EC6064D"/>
    <w:rsid w:val="5ED775F2"/>
    <w:rsid w:val="5EDD3BDF"/>
    <w:rsid w:val="5F2C902D"/>
    <w:rsid w:val="5F340A92"/>
    <w:rsid w:val="5F3AE66B"/>
    <w:rsid w:val="5F3D0FAE"/>
    <w:rsid w:val="5F9A1911"/>
    <w:rsid w:val="5FA638F3"/>
    <w:rsid w:val="6026B306"/>
    <w:rsid w:val="605076FA"/>
    <w:rsid w:val="60614AEF"/>
    <w:rsid w:val="60627DE8"/>
    <w:rsid w:val="6070F965"/>
    <w:rsid w:val="60ADCE59"/>
    <w:rsid w:val="611976BA"/>
    <w:rsid w:val="61199078"/>
    <w:rsid w:val="613C3325"/>
    <w:rsid w:val="6154C0F9"/>
    <w:rsid w:val="617770B4"/>
    <w:rsid w:val="61CC9434"/>
    <w:rsid w:val="61CDE881"/>
    <w:rsid w:val="621BD92D"/>
    <w:rsid w:val="6238C5AB"/>
    <w:rsid w:val="626551A2"/>
    <w:rsid w:val="62DF09FD"/>
    <w:rsid w:val="63681ED3"/>
    <w:rsid w:val="63D4DACB"/>
    <w:rsid w:val="63D86DDD"/>
    <w:rsid w:val="63E42F4D"/>
    <w:rsid w:val="63FBDAA9"/>
    <w:rsid w:val="647C9642"/>
    <w:rsid w:val="64AB72F1"/>
    <w:rsid w:val="65690D52"/>
    <w:rsid w:val="658E67CF"/>
    <w:rsid w:val="658F3F57"/>
    <w:rsid w:val="659835F2"/>
    <w:rsid w:val="65AEF52E"/>
    <w:rsid w:val="65E50B37"/>
    <w:rsid w:val="65FAA280"/>
    <w:rsid w:val="6608BFE0"/>
    <w:rsid w:val="6657256C"/>
    <w:rsid w:val="668767B5"/>
    <w:rsid w:val="6757F9F1"/>
    <w:rsid w:val="677CCEFF"/>
    <w:rsid w:val="67C465D3"/>
    <w:rsid w:val="67D1F2B3"/>
    <w:rsid w:val="68597211"/>
    <w:rsid w:val="686D2642"/>
    <w:rsid w:val="68CB79E6"/>
    <w:rsid w:val="68D2E58C"/>
    <w:rsid w:val="68D833FA"/>
    <w:rsid w:val="68E1EAFE"/>
    <w:rsid w:val="69017F29"/>
    <w:rsid w:val="69137047"/>
    <w:rsid w:val="69826CEF"/>
    <w:rsid w:val="6992ECF5"/>
    <w:rsid w:val="69BE6FAC"/>
    <w:rsid w:val="69C78E8B"/>
    <w:rsid w:val="69E74010"/>
    <w:rsid w:val="6A64A133"/>
    <w:rsid w:val="6AC590D8"/>
    <w:rsid w:val="6AEA64A5"/>
    <w:rsid w:val="6B68C957"/>
    <w:rsid w:val="6BAEC923"/>
    <w:rsid w:val="6BEC486D"/>
    <w:rsid w:val="6C18825A"/>
    <w:rsid w:val="6C9A32EF"/>
    <w:rsid w:val="6C9ED401"/>
    <w:rsid w:val="6CF91A04"/>
    <w:rsid w:val="6D3C142E"/>
    <w:rsid w:val="6DC4EF4B"/>
    <w:rsid w:val="6E297F53"/>
    <w:rsid w:val="6E4EE580"/>
    <w:rsid w:val="6E89C8E3"/>
    <w:rsid w:val="6E934CC6"/>
    <w:rsid w:val="6EDF02F2"/>
    <w:rsid w:val="6F151FF1"/>
    <w:rsid w:val="6F17C3B6"/>
    <w:rsid w:val="6F45E941"/>
    <w:rsid w:val="6F5F8E8A"/>
    <w:rsid w:val="6FA957ED"/>
    <w:rsid w:val="6FB2020B"/>
    <w:rsid w:val="6FB56D2F"/>
    <w:rsid w:val="6FC7B0EB"/>
    <w:rsid w:val="6FCA38F6"/>
    <w:rsid w:val="6FCCA2ED"/>
    <w:rsid w:val="6FD46266"/>
    <w:rsid w:val="6FF5971B"/>
    <w:rsid w:val="6FFDA255"/>
    <w:rsid w:val="7011C245"/>
    <w:rsid w:val="701AAE94"/>
    <w:rsid w:val="7078B51B"/>
    <w:rsid w:val="709AA927"/>
    <w:rsid w:val="70C2EF0D"/>
    <w:rsid w:val="7157BB52"/>
    <w:rsid w:val="717FC70A"/>
    <w:rsid w:val="7183288D"/>
    <w:rsid w:val="719B601F"/>
    <w:rsid w:val="71B21E99"/>
    <w:rsid w:val="71B7D737"/>
    <w:rsid w:val="71CCC3D8"/>
    <w:rsid w:val="71DD2680"/>
    <w:rsid w:val="72521D58"/>
    <w:rsid w:val="726F2121"/>
    <w:rsid w:val="7270B1AE"/>
    <w:rsid w:val="72720D3C"/>
    <w:rsid w:val="72999E0D"/>
    <w:rsid w:val="72F75A81"/>
    <w:rsid w:val="73176E8C"/>
    <w:rsid w:val="731AE0EC"/>
    <w:rsid w:val="73B26EA8"/>
    <w:rsid w:val="73C55D8A"/>
    <w:rsid w:val="73D4E8F1"/>
    <w:rsid w:val="73DBA5E9"/>
    <w:rsid w:val="7408C2B1"/>
    <w:rsid w:val="74871E68"/>
    <w:rsid w:val="74CBC079"/>
    <w:rsid w:val="74DC7807"/>
    <w:rsid w:val="7533932B"/>
    <w:rsid w:val="75A6F1AE"/>
    <w:rsid w:val="75AA04D2"/>
    <w:rsid w:val="75C05B6B"/>
    <w:rsid w:val="75DE5862"/>
    <w:rsid w:val="761EFAA9"/>
    <w:rsid w:val="762E0B13"/>
    <w:rsid w:val="7640EABE"/>
    <w:rsid w:val="76496F4B"/>
    <w:rsid w:val="764F9C9C"/>
    <w:rsid w:val="767E36D8"/>
    <w:rsid w:val="768EB940"/>
    <w:rsid w:val="76AB80E5"/>
    <w:rsid w:val="76B3991D"/>
    <w:rsid w:val="76D576BE"/>
    <w:rsid w:val="76DB482C"/>
    <w:rsid w:val="76DCF7B2"/>
    <w:rsid w:val="770B959D"/>
    <w:rsid w:val="777F4D2E"/>
    <w:rsid w:val="77937F34"/>
    <w:rsid w:val="77AB10F1"/>
    <w:rsid w:val="77AD1B77"/>
    <w:rsid w:val="77B321E9"/>
    <w:rsid w:val="77DF83F4"/>
    <w:rsid w:val="78276F4C"/>
    <w:rsid w:val="78532B27"/>
    <w:rsid w:val="785AC0A3"/>
    <w:rsid w:val="785CCE2D"/>
    <w:rsid w:val="786D19EC"/>
    <w:rsid w:val="789B429F"/>
    <w:rsid w:val="78A2AE57"/>
    <w:rsid w:val="78D4AAE6"/>
    <w:rsid w:val="79E6CD03"/>
    <w:rsid w:val="79F3BBF9"/>
    <w:rsid w:val="7A1C914E"/>
    <w:rsid w:val="7A4DF06B"/>
    <w:rsid w:val="7AAEDE68"/>
    <w:rsid w:val="7AB05857"/>
    <w:rsid w:val="7AEC429F"/>
    <w:rsid w:val="7AEE92C2"/>
    <w:rsid w:val="7B131473"/>
    <w:rsid w:val="7B50C5CF"/>
    <w:rsid w:val="7BC73924"/>
    <w:rsid w:val="7BF28449"/>
    <w:rsid w:val="7C07096B"/>
    <w:rsid w:val="7C4E88A3"/>
    <w:rsid w:val="7C55BB9B"/>
    <w:rsid w:val="7CB17D7B"/>
    <w:rsid w:val="7CB3A013"/>
    <w:rsid w:val="7CCB3E4A"/>
    <w:rsid w:val="7CCCDFA0"/>
    <w:rsid w:val="7D157FFB"/>
    <w:rsid w:val="7D58F616"/>
    <w:rsid w:val="7DA162E7"/>
    <w:rsid w:val="7DC9FF16"/>
    <w:rsid w:val="7DDD649E"/>
    <w:rsid w:val="7DF05124"/>
    <w:rsid w:val="7DF0A2A4"/>
    <w:rsid w:val="7DFB8324"/>
    <w:rsid w:val="7E071D73"/>
    <w:rsid w:val="7E3A291E"/>
    <w:rsid w:val="7E3E764C"/>
    <w:rsid w:val="7E80AA5F"/>
    <w:rsid w:val="7E8FD5B3"/>
    <w:rsid w:val="7E9B91AF"/>
    <w:rsid w:val="7EF8C4F2"/>
    <w:rsid w:val="7F059258"/>
    <w:rsid w:val="7F6A6C94"/>
    <w:rsid w:val="7FA1D27E"/>
    <w:rsid w:val="7FB580A1"/>
    <w:rsid w:val="7FBA1B2C"/>
    <w:rsid w:val="7FD22288"/>
    <w:rsid w:val="7FFC40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05DF"/>
  <w15:chartTrackingRefBased/>
  <w15:docId w15:val="{448B1645-531D-4D4B-960B-4E610EC6A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line="360" w:lineRule="auto"/>
      <w:ind w:firstLine="567"/>
      <w:jc w:val="both"/>
    </w:pPr>
    <w:rPr>
      <w:rFonts w:ascii="Times New Roman" w:hAnsi="Times New Roman"/>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uiPriority w:val="99"/>
    <w:name w:val="footnote text"/>
    <w:basedOn w:val="Normal"/>
    <w:semiHidden/>
    <w:unhideWhenUsed/>
    <w:rsid w:val="77AB10F1"/>
    <w:rPr>
      <w:sz w:val="20"/>
      <w:szCs w:val="20"/>
    </w:rPr>
    <w:pPr>
      <w:spacing w:after="0" w:line="240" w:lineRule="auto"/>
    </w:pPr>
  </w:style>
  <w:style w:type="character" w:styleId="FootnoteReference">
    <w:uiPriority w:val="99"/>
    <w:name w:val="footnote reference"/>
    <w:basedOn w:val="DefaultParagraphFont"/>
    <w:semiHidden/>
    <w:unhideWhenUsed/>
    <w:rsid w:val="77AB10F1"/>
    <w:rPr>
      <w:vertAlign w:val="superscript"/>
    </w:rPr>
  </w:style>
  <w:style w:type="character" w:styleId="Hyperlink">
    <w:uiPriority w:val="99"/>
    <w:name w:val="Hyperlink"/>
    <w:basedOn w:val="DefaultParagraphFont"/>
    <w:unhideWhenUsed/>
    <w:rsid w:val="67C465D3"/>
    <w:rPr>
      <w:color w:val="467886"/>
      <w:u w:val="single"/>
    </w:rPr>
  </w:style>
  <w:style w:type="paragraph" w:styleId="ListParagraph">
    <w:uiPriority w:val="34"/>
    <w:name w:val="List Paragraph"/>
    <w:basedOn w:val="Normal"/>
    <w:qFormat/>
    <w:rsid w:val="67C465D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footnotes.xml" Id="R6bde602717ad4560" /><Relationship Type="http://schemas.openxmlformats.org/officeDocument/2006/relationships/numbering" Target="numbering.xml" Id="R3ee593ad824243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2026-03-19T15:52:27.0605113Z</dcterms:created>
  <dcterms:modified xsi:type="dcterms:W3CDTF">2026-05-16T13:17:17.1069029Z</dcterms:modified>
  <dc:creator>Francesco Marra</dc:creator>
  <lastModifiedBy>Francesco Marra</lastModifiedBy>
</coreProperties>
</file>