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44224BB2" w:rsidP="44224BB2" w:rsidRDefault="44224BB2" w14:paraId="32D454D7" w14:textId="5181B46A">
      <w:pPr>
        <w:spacing w:before="0" w:beforeAutospacing="off" w:line="360" w:lineRule="auto"/>
        <w:ind w:firstLine="0"/>
        <w:jc w:val="left"/>
      </w:pPr>
      <w:r w:rsidRPr="7AF0079F" w:rsidR="0809CBAB">
        <w:rPr>
          <w:rFonts w:ascii="Times New Roman" w:hAnsi="Times New Roman" w:eastAsia="Times New Roman" w:cs="Times New Roman"/>
          <w:b/>
          <w:bCs w:val="1"/>
          <w:i w:val="0"/>
          <w:iCs w:val="0"/>
          <w:noProof w:val="0"/>
          <w:sz w:val="28"/>
          <w:szCs w:val="24"/>
          <w:lang w:val="it-IT"/>
        </w:rPr>
        <w:t xml:space="preserve">CAPITOLO </w:t>
      </w:r>
      <w:r w:rsidRPr="7AF0079F" w:rsidR="275BE2B3">
        <w:rPr>
          <w:rFonts w:ascii="Times New Roman" w:hAnsi="Times New Roman" w:eastAsia="Times New Roman" w:cs="Times New Roman"/>
          <w:b/>
          <w:bCs w:val="1"/>
          <w:i w:val="0"/>
          <w:iCs w:val="0"/>
          <w:noProof w:val="0"/>
          <w:sz w:val="28"/>
          <w:szCs w:val="24"/>
          <w:lang w:val="it-IT"/>
        </w:rPr>
        <w:t xml:space="preserve">4 </w:t>
      </w:r>
    </w:p>
    <w:p w:rsidR="44224BB2" w:rsidP="7AF0079F" w:rsidRDefault="44224BB2" w14:paraId="7314E47A" w14:textId="5B0EB314">
      <w:pPr>
        <w:spacing w:before="0" w:beforeAutospacing="off" w:line="360" w:lineRule="auto"/>
        <w:ind w:firstLine="0"/>
        <w:rPr>
          <w:rFonts w:ascii="Times New Roman" w:hAnsi="Times New Roman" w:eastAsia="Times New Roman" w:cs="Times New Roman"/>
          <w:b w:val="1"/>
          <w:bCs w:val="1"/>
          <w:i w:val="0"/>
          <w:iCs w:val="0"/>
          <w:noProof w:val="0"/>
          <w:sz w:val="24"/>
          <w:szCs w:val="24"/>
          <w:lang w:val="it-IT"/>
        </w:rPr>
      </w:pPr>
    </w:p>
    <w:p w:rsidR="346CD7B6" w:rsidP="191420C3" w:rsidRDefault="346CD7B6" w14:paraId="3EE78203" w14:textId="55BD7004">
      <w:pPr>
        <w:spacing w:before="0" w:beforeAutospacing="off" w:line="360" w:lineRule="auto"/>
        <w:ind w:firstLine="0"/>
        <w:jc w:val="left"/>
      </w:pPr>
      <w:r w:rsidRPr="191420C3" w:rsidR="346CD7B6">
        <w:rPr>
          <w:rFonts w:ascii="Times New Roman" w:hAnsi="Times New Roman" w:eastAsia="Times New Roman" w:cs="Times New Roman"/>
          <w:b/>
          <w:bCs w:val="1"/>
          <w:i w:val="0"/>
          <w:iCs w:val="0"/>
          <w:noProof w:val="0"/>
          <w:sz w:val="28"/>
          <w:szCs w:val="24"/>
          <w:lang w:val="it-IT"/>
        </w:rPr>
        <w:t xml:space="preserve">Framework </w:t>
      </w:r>
      <w:r w:rsidRPr="191420C3" w:rsidR="0F6CB64B">
        <w:rPr>
          <w:rFonts w:ascii="Times New Roman" w:hAnsi="Times New Roman" w:eastAsia="Times New Roman" w:cs="Times New Roman"/>
          <w:b/>
          <w:bCs w:val="1"/>
          <w:i w:val="0"/>
          <w:iCs w:val="0"/>
          <w:noProof w:val="0"/>
          <w:sz w:val="28"/>
          <w:szCs w:val="24"/>
          <w:lang w:val="it-IT"/>
        </w:rPr>
        <w:t>o</w:t>
      </w:r>
      <w:r w:rsidRPr="191420C3" w:rsidR="346CD7B6">
        <w:rPr>
          <w:rFonts w:ascii="Times New Roman" w:hAnsi="Times New Roman" w:eastAsia="Times New Roman" w:cs="Times New Roman"/>
          <w:b/>
          <w:bCs w:val="1"/>
          <w:i w:val="0"/>
          <w:iCs w:val="0"/>
          <w:noProof w:val="0"/>
          <w:sz w:val="28"/>
          <w:szCs w:val="24"/>
          <w:lang w:val="it-IT"/>
        </w:rPr>
        <w:t xml:space="preserve">perativi e </w:t>
      </w:r>
      <w:r w:rsidRPr="191420C3" w:rsidR="0634A473">
        <w:rPr>
          <w:rFonts w:ascii="Times New Roman" w:hAnsi="Times New Roman" w:eastAsia="Times New Roman" w:cs="Times New Roman"/>
          <w:b/>
          <w:bCs w:val="1"/>
          <w:i w:val="0"/>
          <w:iCs w:val="0"/>
          <w:noProof w:val="0"/>
          <w:sz w:val="28"/>
          <w:szCs w:val="24"/>
          <w:lang w:val="it-IT"/>
        </w:rPr>
        <w:t>v</w:t>
      </w:r>
      <w:r w:rsidRPr="191420C3" w:rsidR="346CD7B6">
        <w:rPr>
          <w:rFonts w:ascii="Times New Roman" w:hAnsi="Times New Roman" w:eastAsia="Times New Roman" w:cs="Times New Roman"/>
          <w:b/>
          <w:bCs w:val="1"/>
          <w:i w:val="0"/>
          <w:iCs w:val="0"/>
          <w:noProof w:val="0"/>
          <w:sz w:val="28"/>
          <w:szCs w:val="24"/>
          <w:lang w:val="it-IT"/>
        </w:rPr>
        <w:t xml:space="preserve">alore </w:t>
      </w:r>
      <w:r w:rsidRPr="191420C3" w:rsidR="4E0654C2">
        <w:rPr>
          <w:rFonts w:ascii="Times New Roman" w:hAnsi="Times New Roman" w:eastAsia="Times New Roman" w:cs="Times New Roman"/>
          <w:b/>
          <w:bCs w:val="1"/>
          <w:i w:val="0"/>
          <w:iCs w:val="0"/>
          <w:noProof w:val="0"/>
          <w:sz w:val="28"/>
          <w:szCs w:val="24"/>
          <w:lang w:val="it-IT"/>
        </w:rPr>
        <w:t>p</w:t>
      </w:r>
      <w:r w:rsidRPr="191420C3" w:rsidR="346CD7B6">
        <w:rPr>
          <w:rFonts w:ascii="Times New Roman" w:hAnsi="Times New Roman" w:eastAsia="Times New Roman" w:cs="Times New Roman"/>
          <w:b/>
          <w:bCs w:val="1"/>
          <w:i w:val="0"/>
          <w:iCs w:val="0"/>
          <w:noProof w:val="0"/>
          <w:sz w:val="28"/>
          <w:szCs w:val="24"/>
          <w:lang w:val="it-IT"/>
        </w:rPr>
        <w:t xml:space="preserve">robatorio nel </w:t>
      </w:r>
      <w:r w:rsidRPr="191420C3" w:rsidR="24223814">
        <w:rPr>
          <w:rFonts w:ascii="Times New Roman" w:hAnsi="Times New Roman" w:eastAsia="Times New Roman" w:cs="Times New Roman"/>
          <w:b/>
          <w:bCs w:val="1"/>
          <w:i w:val="0"/>
          <w:iCs w:val="0"/>
          <w:noProof w:val="0"/>
          <w:sz w:val="28"/>
          <w:szCs w:val="24"/>
          <w:lang w:val="it-IT"/>
        </w:rPr>
        <w:t>c</w:t>
      </w:r>
      <w:r w:rsidRPr="191420C3" w:rsidR="346CD7B6">
        <w:rPr>
          <w:rFonts w:ascii="Times New Roman" w:hAnsi="Times New Roman" w:eastAsia="Times New Roman" w:cs="Times New Roman"/>
          <w:b/>
          <w:bCs w:val="1"/>
          <w:i w:val="0"/>
          <w:iCs w:val="0"/>
          <w:noProof w:val="0"/>
          <w:sz w:val="28"/>
          <w:szCs w:val="24"/>
          <w:lang w:val="it-IT"/>
        </w:rPr>
        <w:t xml:space="preserve">ontesto </w:t>
      </w:r>
      <w:r w:rsidRPr="191420C3" w:rsidR="662BFD84">
        <w:rPr>
          <w:rFonts w:ascii="Times New Roman" w:hAnsi="Times New Roman" w:eastAsia="Times New Roman" w:cs="Times New Roman"/>
          <w:b/>
          <w:bCs w:val="1"/>
          <w:i w:val="0"/>
          <w:iCs w:val="0"/>
          <w:noProof w:val="0"/>
          <w:sz w:val="28"/>
          <w:szCs w:val="24"/>
          <w:lang w:val="it-IT"/>
        </w:rPr>
        <w:t>i</w:t>
      </w:r>
      <w:r w:rsidRPr="191420C3" w:rsidR="346CD7B6">
        <w:rPr>
          <w:rFonts w:ascii="Times New Roman" w:hAnsi="Times New Roman" w:eastAsia="Times New Roman" w:cs="Times New Roman"/>
          <w:b/>
          <w:bCs w:val="1"/>
          <w:i w:val="0"/>
          <w:iCs w:val="0"/>
          <w:noProof w:val="0"/>
          <w:sz w:val="28"/>
          <w:szCs w:val="24"/>
          <w:lang w:val="it-IT"/>
        </w:rPr>
        <w:t>taliano</w:t>
      </w:r>
    </w:p>
    <w:p w:rsidR="44224BB2" w:rsidP="7AF0079F" w:rsidRDefault="44224BB2" w14:paraId="07CBE06A" w14:textId="24791643">
      <w:pPr>
        <w:spacing w:before="0" w:beforeAutospacing="off" w:line="360" w:lineRule="auto"/>
        <w:ind w:firstLine="567"/>
        <w:jc w:val="both"/>
      </w:pPr>
      <w:r w:rsidRPr="191420C3" w:rsidR="0AEBECF0">
        <w:rPr>
          <w:rFonts w:ascii="Times New Roman" w:hAnsi="Times New Roman" w:eastAsia="Times New Roman" w:cs="Times New Roman"/>
          <w:bCs w:val="1"/>
          <w:i w:val="0"/>
          <w:iCs w:val="0"/>
          <w:noProof w:val="0"/>
          <w:sz w:val="24"/>
          <w:szCs w:val="24"/>
          <w:lang w:val="it-IT"/>
        </w:rPr>
        <w:t xml:space="preserve">Nell’attuale </w:t>
      </w:r>
      <w:r w:rsidRPr="191420C3" w:rsidR="777586B9">
        <w:rPr>
          <w:rFonts w:ascii="Times New Roman" w:hAnsi="Times New Roman" w:eastAsia="Times New Roman" w:cs="Times New Roman"/>
          <w:bCs w:val="1"/>
          <w:i w:val="0"/>
          <w:iCs w:val="0"/>
          <w:noProof w:val="0"/>
          <w:sz w:val="24"/>
          <w:szCs w:val="24"/>
          <w:lang w:val="it-IT"/>
        </w:rPr>
        <w:t>panorama</w:t>
      </w:r>
      <w:r w:rsidRPr="191420C3" w:rsidR="0AEBECF0">
        <w:rPr>
          <w:rFonts w:ascii="Times New Roman" w:hAnsi="Times New Roman" w:eastAsia="Times New Roman" w:cs="Times New Roman"/>
          <w:bCs w:val="1"/>
          <w:i w:val="0"/>
          <w:iCs w:val="0"/>
          <w:noProof w:val="0"/>
          <w:sz w:val="24"/>
          <w:szCs w:val="24"/>
          <w:lang w:val="it-IT"/>
        </w:rPr>
        <w:t xml:space="preserve"> di progressiva digitalizzazione, l’incremento dei fenomeni criminosi informatici ha determinato una crescente rilevanza della prova digitale quale strumento idoneo a ricostruire il nesso tra soggetti e condotte illecite. Tale tipologia di prova, tuttavia, presenta peculiarità proprie, soprattutto con riguardo alle modalità di acquisizione, conservazione e documentazione, che impongono una particolare attenzione alla corretta gestione </w:t>
      </w:r>
      <w:r w:rsidRPr="191420C3" w:rsidR="0AEBECF0">
        <w:rPr>
          <w:rFonts w:ascii="Times New Roman" w:hAnsi="Times New Roman" w:eastAsia="Times New Roman" w:cs="Times New Roman"/>
          <w:bCs w:val="1"/>
          <w:i w:val="0"/>
          <w:iCs w:val="0"/>
          <w:noProof w:val="0"/>
          <w:sz w:val="24"/>
          <w:szCs w:val="24"/>
          <w:lang w:val="it-IT"/>
        </w:rPr>
        <w:t>della chain</w:t>
      </w:r>
      <w:r w:rsidRPr="191420C3" w:rsidR="0AEBECF0">
        <w:rPr>
          <w:rFonts w:ascii="Times New Roman" w:hAnsi="Times New Roman" w:eastAsia="Times New Roman" w:cs="Times New Roman"/>
          <w:bCs w:val="1"/>
          <w:i w:val="0"/>
          <w:iCs w:val="0"/>
          <w:noProof w:val="0"/>
          <w:sz w:val="24"/>
          <w:szCs w:val="24"/>
          <w:lang w:val="it-IT"/>
        </w:rPr>
        <w:t xml:space="preserve"> of </w:t>
      </w:r>
      <w:r w:rsidRPr="191420C3" w:rsidR="0AEBECF0">
        <w:rPr>
          <w:rFonts w:ascii="Times New Roman" w:hAnsi="Times New Roman" w:eastAsia="Times New Roman" w:cs="Times New Roman"/>
          <w:bCs w:val="1"/>
          <w:i w:val="0"/>
          <w:iCs w:val="0"/>
          <w:noProof w:val="0"/>
          <w:sz w:val="24"/>
          <w:szCs w:val="24"/>
          <w:lang w:val="it-IT"/>
        </w:rPr>
        <w:t>custody</w:t>
      </w:r>
      <w:r w:rsidRPr="191420C3" w:rsidR="0AEBECF0">
        <w:rPr>
          <w:rFonts w:ascii="Times New Roman" w:hAnsi="Times New Roman" w:eastAsia="Times New Roman" w:cs="Times New Roman"/>
          <w:bCs w:val="1"/>
          <w:i w:val="0"/>
          <w:iCs w:val="0"/>
          <w:noProof w:val="0"/>
          <w:sz w:val="24"/>
          <w:szCs w:val="24"/>
          <w:lang w:val="it-IT"/>
        </w:rPr>
        <w:t>.</w:t>
      </w:r>
      <w:r w:rsidRPr="191420C3" w:rsidR="2213A0EE">
        <w:rPr>
          <w:rFonts w:ascii="Times New Roman" w:hAnsi="Times New Roman" w:eastAsia="Times New Roman" w:cs="Times New Roman"/>
          <w:bCs w:val="1"/>
          <w:i w:val="0"/>
          <w:iCs w:val="0"/>
          <w:noProof w:val="0"/>
          <w:sz w:val="24"/>
          <w:szCs w:val="24"/>
          <w:lang w:val="it-IT"/>
        </w:rPr>
        <w:t xml:space="preserve"> </w:t>
      </w:r>
      <w:r w:rsidRPr="191420C3" w:rsidR="0AEBECF0">
        <w:rPr>
          <w:rFonts w:ascii="Times New Roman" w:hAnsi="Times New Roman" w:eastAsia="Times New Roman" w:cs="Times New Roman"/>
          <w:bCs w:val="1"/>
          <w:i w:val="0"/>
          <w:iCs w:val="0"/>
          <w:noProof w:val="0"/>
          <w:sz w:val="24"/>
          <w:szCs w:val="24"/>
          <w:lang w:val="it-IT"/>
        </w:rPr>
        <w:t xml:space="preserve">Con tale espressione si fa riferimento al complesso delle attività dirette a garantire la tracciabilità, la continuità e la documentazione cronologica di ogni operazione compiuta sul reperto digitale, dalla sua individuazione fino alla sua utilizzazione nel procedimento. Nel settore della </w:t>
      </w:r>
      <w:r w:rsidRPr="191420C3" w:rsidR="0AEBECF0">
        <w:rPr>
          <w:rFonts w:ascii="Times New Roman" w:hAnsi="Times New Roman" w:eastAsia="Times New Roman" w:cs="Times New Roman"/>
          <w:bCs w:val="1"/>
          <w:i w:val="0"/>
          <w:iCs w:val="0"/>
          <w:noProof w:val="0"/>
          <w:sz w:val="24"/>
          <w:szCs w:val="24"/>
          <w:lang w:val="it-IT"/>
        </w:rPr>
        <w:t>digital</w:t>
      </w:r>
      <w:r w:rsidRPr="191420C3" w:rsidR="0AEBECF0">
        <w:rPr>
          <w:rFonts w:ascii="Times New Roman" w:hAnsi="Times New Roman" w:eastAsia="Times New Roman" w:cs="Times New Roman"/>
          <w:bCs w:val="1"/>
          <w:i w:val="0"/>
          <w:iCs w:val="0"/>
          <w:noProof w:val="0"/>
          <w:sz w:val="24"/>
          <w:szCs w:val="24"/>
          <w:lang w:val="it-IT"/>
        </w:rPr>
        <w:t xml:space="preserve"> </w:t>
      </w:r>
      <w:r w:rsidRPr="191420C3" w:rsidR="0AEBECF0">
        <w:rPr>
          <w:rFonts w:ascii="Times New Roman" w:hAnsi="Times New Roman" w:eastAsia="Times New Roman" w:cs="Times New Roman"/>
          <w:bCs w:val="1"/>
          <w:i w:val="0"/>
          <w:iCs w:val="0"/>
          <w:noProof w:val="0"/>
          <w:sz w:val="24"/>
          <w:szCs w:val="24"/>
          <w:lang w:val="it-IT"/>
        </w:rPr>
        <w:t>forensics</w:t>
      </w:r>
      <w:r w:rsidRPr="191420C3" w:rsidR="0AEBECF0">
        <w:rPr>
          <w:rFonts w:ascii="Times New Roman" w:hAnsi="Times New Roman" w:eastAsia="Times New Roman" w:cs="Times New Roman"/>
          <w:bCs w:val="1"/>
          <w:i w:val="0"/>
          <w:iCs w:val="0"/>
          <w:noProof w:val="0"/>
          <w:sz w:val="24"/>
          <w:szCs w:val="24"/>
          <w:lang w:val="it-IT"/>
        </w:rPr>
        <w:t>, infatti, l’evidenza informatica attraversa diversi passaggi procedimentali</w:t>
      </w:r>
      <w:r w:rsidRPr="191420C3" w:rsidR="778D44F5">
        <w:rPr>
          <w:rFonts w:ascii="Times New Roman" w:hAnsi="Times New Roman" w:eastAsia="Times New Roman" w:cs="Times New Roman"/>
          <w:bCs w:val="1"/>
          <w:i w:val="0"/>
          <w:iCs w:val="0"/>
          <w:noProof w:val="0"/>
          <w:sz w:val="24"/>
          <w:szCs w:val="24"/>
          <w:lang w:val="it-IT"/>
        </w:rPr>
        <w:t xml:space="preserve"> </w:t>
      </w:r>
      <w:r w:rsidRPr="191420C3">
        <w:rPr>
          <w:rStyle w:val="FootnoteReference"/>
          <w:rFonts w:ascii="Times New Roman" w:hAnsi="Times New Roman" w:eastAsia="Times New Roman" w:cs="Times New Roman"/>
          <w:bCs w:val="1"/>
          <w:i w:val="0"/>
          <w:iCs w:val="0"/>
          <w:noProof w:val="0"/>
          <w:sz w:val="24"/>
          <w:szCs w:val="24"/>
          <w:lang w:val="it-IT"/>
        </w:rPr>
        <w:footnoteReference w:id="29389"/>
      </w:r>
      <w:r w:rsidRPr="191420C3" w:rsidR="0AEBECF0">
        <w:rPr>
          <w:rFonts w:ascii="Times New Roman" w:hAnsi="Times New Roman" w:eastAsia="Times New Roman" w:cs="Times New Roman"/>
          <w:bCs w:val="1"/>
          <w:i w:val="0"/>
          <w:iCs w:val="0"/>
          <w:noProof w:val="0"/>
          <w:sz w:val="24"/>
          <w:szCs w:val="24"/>
          <w:lang w:val="it-IT"/>
        </w:rPr>
        <w:t xml:space="preserve"> e organizzativi, coinvolgendo soggetti differenti, dal primo intervenuto alle autorità deputate alla conduzione dell’indagine. In questo percorso, il rischio di alterazioni, contaminazioni o contestazioni circa l’attendibilità del dato assume un rilievo particolarmente significativo.</w:t>
      </w:r>
      <w:r w:rsidRPr="191420C3" w:rsidR="68051C41">
        <w:rPr>
          <w:rFonts w:ascii="Times New Roman" w:hAnsi="Times New Roman" w:eastAsia="Times New Roman" w:cs="Times New Roman"/>
          <w:bCs w:val="1"/>
          <w:i w:val="0"/>
          <w:iCs w:val="0"/>
          <w:noProof w:val="0"/>
          <w:sz w:val="24"/>
          <w:szCs w:val="24"/>
          <w:lang w:val="it-IT"/>
        </w:rPr>
        <w:t xml:space="preserve"> Ne consegue l’esigenza di predisporre strumenti capaci di assicurare trasparenza, integrità, sicurezza e verificabilità delle operazioni compiute sulla prova. In tale prospettiva si colloca la tecnologia blockchain, intesa come struttura distribuita di registrazione dei dati, organizzata in blocchi tra loro collegati in modo sequenziale e operante all’interno di una rete peer-to-peer. La particolare architettura di tale sistema consente di creare un archivio in cui ogni blocco dipende da quello precedente, dando vita a una catena sostanzialmente immutabile e idonea a conservare una traccia permanente delle operazioni effettuate. Ciò permette ai soggetti autorizzati di controllare in ogni momento la correttezza delle registrazioni, attraverso la semplice verifica della sequenza dei dati memorizzati.</w:t>
      </w:r>
      <w:r w:rsidRPr="191420C3" w:rsidR="68322AB8">
        <w:rPr>
          <w:rFonts w:ascii="Times New Roman" w:hAnsi="Times New Roman" w:eastAsia="Times New Roman" w:cs="Times New Roman"/>
          <w:bCs w:val="1"/>
          <w:i w:val="0"/>
          <w:iCs w:val="0"/>
          <w:noProof w:val="0"/>
          <w:sz w:val="24"/>
          <w:szCs w:val="24"/>
          <w:lang w:val="it-IT"/>
        </w:rPr>
        <w:t xml:space="preserve"> </w:t>
      </w:r>
    </w:p>
    <w:p w:rsidR="0A929388" w:rsidP="191420C3" w:rsidRDefault="0A929388" w14:paraId="2686EC22" w14:textId="119CC11C">
      <w:pPr>
        <w:spacing w:before="0" w:beforeAutospacing="off" w:line="360" w:lineRule="auto"/>
        <w:ind w:firstLine="567"/>
        <w:jc w:val="both"/>
      </w:pPr>
      <w:r w:rsidRPr="191420C3" w:rsidR="0A929388">
        <w:rPr>
          <w:rFonts w:ascii="Times New Roman" w:hAnsi="Times New Roman" w:eastAsia="Times New Roman" w:cs="Times New Roman"/>
          <w:bCs w:val="1"/>
          <w:i w:val="0"/>
          <w:iCs w:val="0"/>
          <w:noProof w:val="0"/>
          <w:sz w:val="24"/>
          <w:szCs w:val="24"/>
          <w:lang w:val="it-IT"/>
        </w:rPr>
        <w:t xml:space="preserve">Tra le diverse implementazioni esistenti, </w:t>
      </w:r>
      <w:r w:rsidRPr="191420C3" w:rsidR="0A929388">
        <w:rPr>
          <w:rFonts w:ascii="Times New Roman" w:hAnsi="Times New Roman" w:eastAsia="Times New Roman" w:cs="Times New Roman"/>
          <w:bCs w:val="1"/>
          <w:i w:val="0"/>
          <w:iCs w:val="0"/>
          <w:noProof w:val="0"/>
          <w:sz w:val="24"/>
          <w:szCs w:val="24"/>
          <w:lang w:val="it-IT"/>
        </w:rPr>
        <w:t>Ethereum</w:t>
      </w:r>
      <w:r w:rsidRPr="191420C3" w:rsidR="0A929388">
        <w:rPr>
          <w:rFonts w:ascii="Times New Roman" w:hAnsi="Times New Roman" w:eastAsia="Times New Roman" w:cs="Times New Roman"/>
          <w:bCs w:val="1"/>
          <w:i w:val="0"/>
          <w:iCs w:val="0"/>
          <w:noProof w:val="0"/>
          <w:sz w:val="24"/>
          <w:szCs w:val="24"/>
          <w:lang w:val="it-IT"/>
        </w:rPr>
        <w:t xml:space="preserve"> assume un ruolo di rilievo in quanto integra un linguaggio di programmazione Turing-complete, che consente la creazione di smart </w:t>
      </w:r>
      <w:r w:rsidRPr="191420C3" w:rsidR="0A929388">
        <w:rPr>
          <w:rFonts w:ascii="Times New Roman" w:hAnsi="Times New Roman" w:eastAsia="Times New Roman" w:cs="Times New Roman"/>
          <w:bCs w:val="1"/>
          <w:i w:val="0"/>
          <w:iCs w:val="0"/>
          <w:noProof w:val="0"/>
          <w:sz w:val="24"/>
          <w:szCs w:val="24"/>
          <w:lang w:val="it-IT"/>
        </w:rPr>
        <w:t>contracts</w:t>
      </w:r>
      <w:r w:rsidRPr="191420C3" w:rsidR="0A929388">
        <w:rPr>
          <w:rFonts w:ascii="Times New Roman" w:hAnsi="Times New Roman" w:eastAsia="Times New Roman" w:cs="Times New Roman"/>
          <w:bCs w:val="1"/>
          <w:i w:val="0"/>
          <w:iCs w:val="0"/>
          <w:noProof w:val="0"/>
          <w:sz w:val="24"/>
          <w:szCs w:val="24"/>
          <w:lang w:val="it-IT"/>
        </w:rPr>
        <w:t xml:space="preserve"> e di applicazioni decentralizzate</w:t>
      </w:r>
      <w:r w:rsidRPr="191420C3" w:rsidR="25884636">
        <w:rPr>
          <w:rFonts w:ascii="Times New Roman" w:hAnsi="Times New Roman" w:eastAsia="Times New Roman" w:cs="Times New Roman"/>
          <w:bCs w:val="1"/>
          <w:i w:val="0"/>
          <w:iCs w:val="0"/>
          <w:noProof w:val="0"/>
          <w:sz w:val="24"/>
          <w:szCs w:val="24"/>
          <w:lang w:val="it-IT"/>
        </w:rPr>
        <w:t xml:space="preserve"> </w:t>
      </w:r>
      <w:r w:rsidRPr="191420C3">
        <w:rPr>
          <w:rStyle w:val="FootnoteReference"/>
          <w:rFonts w:ascii="Times New Roman" w:hAnsi="Times New Roman" w:eastAsia="Times New Roman" w:cs="Times New Roman"/>
          <w:bCs w:val="1"/>
          <w:i w:val="0"/>
          <w:iCs w:val="0"/>
          <w:noProof w:val="0"/>
          <w:sz w:val="24"/>
          <w:szCs w:val="24"/>
          <w:lang w:val="it-IT"/>
        </w:rPr>
        <w:footnoteReference w:id="15971"/>
      </w:r>
      <w:r w:rsidRPr="191420C3" w:rsidR="0A929388">
        <w:rPr>
          <w:rFonts w:ascii="Times New Roman" w:hAnsi="Times New Roman" w:eastAsia="Times New Roman" w:cs="Times New Roman"/>
          <w:bCs w:val="1"/>
          <w:i w:val="0"/>
          <w:iCs w:val="0"/>
          <w:noProof w:val="0"/>
          <w:sz w:val="24"/>
          <w:szCs w:val="24"/>
          <w:lang w:val="it-IT"/>
        </w:rPr>
        <w:t xml:space="preserve">. Tali strumenti permettono di definire in modo autonomo regole di funzionamento concernenti la titolarità dei beni, le modalità delle transazioni e i criteri di aggiornamento dello stato del sistema. Alla luce di queste caratteristiche, la blockchain si presenta come una tecnologia particolarmente adatta alla conservazione e alla tracciabilità </w:t>
      </w:r>
      <w:r w:rsidRPr="191420C3" w:rsidR="0A929388">
        <w:rPr>
          <w:rFonts w:ascii="Times New Roman" w:hAnsi="Times New Roman" w:eastAsia="Times New Roman" w:cs="Times New Roman"/>
          <w:bCs w:val="1"/>
          <w:i w:val="0"/>
          <w:iCs w:val="0"/>
          <w:noProof w:val="0"/>
          <w:sz w:val="24"/>
          <w:szCs w:val="24"/>
          <w:lang w:val="it-IT"/>
        </w:rPr>
        <w:t>della chain</w:t>
      </w:r>
      <w:r w:rsidRPr="191420C3" w:rsidR="0A929388">
        <w:rPr>
          <w:rFonts w:ascii="Times New Roman" w:hAnsi="Times New Roman" w:eastAsia="Times New Roman" w:cs="Times New Roman"/>
          <w:bCs w:val="1"/>
          <w:i w:val="0"/>
          <w:iCs w:val="0"/>
          <w:noProof w:val="0"/>
          <w:sz w:val="24"/>
          <w:szCs w:val="24"/>
          <w:lang w:val="it-IT"/>
        </w:rPr>
        <w:t xml:space="preserve"> of </w:t>
      </w:r>
      <w:r w:rsidRPr="191420C3" w:rsidR="0A929388">
        <w:rPr>
          <w:rFonts w:ascii="Times New Roman" w:hAnsi="Times New Roman" w:eastAsia="Times New Roman" w:cs="Times New Roman"/>
          <w:bCs w:val="1"/>
          <w:i w:val="0"/>
          <w:iCs w:val="0"/>
          <w:noProof w:val="0"/>
          <w:sz w:val="24"/>
          <w:szCs w:val="24"/>
          <w:lang w:val="it-IT"/>
        </w:rPr>
        <w:t>custody</w:t>
      </w:r>
      <w:r w:rsidRPr="191420C3" w:rsidR="0A929388">
        <w:rPr>
          <w:rFonts w:ascii="Times New Roman" w:hAnsi="Times New Roman" w:eastAsia="Times New Roman" w:cs="Times New Roman"/>
          <w:bCs w:val="1"/>
          <w:i w:val="0"/>
          <w:iCs w:val="0"/>
          <w:noProof w:val="0"/>
          <w:sz w:val="24"/>
          <w:szCs w:val="24"/>
          <w:lang w:val="it-IT"/>
        </w:rPr>
        <w:t xml:space="preserve"> in ambito forense, poiché offre garanzie elevate in termini di trasparenza, autenticità, sicurezza e </w:t>
      </w:r>
      <w:r w:rsidRPr="191420C3" w:rsidR="0A929388">
        <w:rPr>
          <w:rFonts w:ascii="Times New Roman" w:hAnsi="Times New Roman" w:eastAsia="Times New Roman" w:cs="Times New Roman"/>
          <w:bCs w:val="1"/>
          <w:i w:val="0"/>
          <w:iCs w:val="0"/>
          <w:noProof w:val="0"/>
          <w:sz w:val="24"/>
          <w:szCs w:val="24"/>
          <w:lang w:val="it-IT"/>
        </w:rPr>
        <w:t>auditabilità</w:t>
      </w:r>
      <w:r w:rsidRPr="191420C3" w:rsidR="0A929388">
        <w:rPr>
          <w:rFonts w:ascii="Times New Roman" w:hAnsi="Times New Roman" w:eastAsia="Times New Roman" w:cs="Times New Roman"/>
          <w:bCs w:val="1"/>
          <w:i w:val="0"/>
          <w:iCs w:val="0"/>
          <w:noProof w:val="0"/>
          <w:sz w:val="24"/>
          <w:szCs w:val="24"/>
          <w:lang w:val="it-IT"/>
        </w:rPr>
        <w:t xml:space="preserve">. In particolare, l’impiego degli smart </w:t>
      </w:r>
      <w:r w:rsidRPr="191420C3" w:rsidR="0A929388">
        <w:rPr>
          <w:rFonts w:ascii="Times New Roman" w:hAnsi="Times New Roman" w:eastAsia="Times New Roman" w:cs="Times New Roman"/>
          <w:bCs w:val="1"/>
          <w:i w:val="0"/>
          <w:iCs w:val="0"/>
          <w:noProof w:val="0"/>
          <w:sz w:val="24"/>
          <w:szCs w:val="24"/>
          <w:lang w:val="it-IT"/>
        </w:rPr>
        <w:t>contracts</w:t>
      </w:r>
      <w:r w:rsidRPr="191420C3" w:rsidR="0A929388">
        <w:rPr>
          <w:rFonts w:ascii="Times New Roman" w:hAnsi="Times New Roman" w:eastAsia="Times New Roman" w:cs="Times New Roman"/>
          <w:bCs w:val="1"/>
          <w:i w:val="0"/>
          <w:iCs w:val="0"/>
          <w:noProof w:val="0"/>
          <w:sz w:val="24"/>
          <w:szCs w:val="24"/>
          <w:lang w:val="it-IT"/>
        </w:rPr>
        <w:t xml:space="preserve"> sulla piattaforma </w:t>
      </w:r>
      <w:r w:rsidRPr="191420C3" w:rsidR="0A929388">
        <w:rPr>
          <w:rFonts w:ascii="Times New Roman" w:hAnsi="Times New Roman" w:eastAsia="Times New Roman" w:cs="Times New Roman"/>
          <w:bCs w:val="1"/>
          <w:i w:val="0"/>
          <w:iCs w:val="0"/>
          <w:noProof w:val="0"/>
          <w:sz w:val="24"/>
          <w:szCs w:val="24"/>
          <w:lang w:val="it-IT"/>
        </w:rPr>
        <w:t>Ethereum</w:t>
      </w:r>
      <w:r w:rsidRPr="191420C3" w:rsidR="0A929388">
        <w:rPr>
          <w:rFonts w:ascii="Times New Roman" w:hAnsi="Times New Roman" w:eastAsia="Times New Roman" w:cs="Times New Roman"/>
          <w:bCs w:val="1"/>
          <w:i w:val="0"/>
          <w:iCs w:val="0"/>
          <w:noProof w:val="0"/>
          <w:sz w:val="24"/>
          <w:szCs w:val="24"/>
          <w:lang w:val="it-IT"/>
        </w:rPr>
        <w:t xml:space="preserve"> consente di valorizzare ulteriormente tali potenzialità, grazie alla capacità del sistema di operare in modo programmabile, autonomo e strettamente connesso alla logica della rete </w:t>
      </w:r>
      <w:r w:rsidRPr="191420C3" w:rsidR="0A929388">
        <w:rPr>
          <w:rFonts w:ascii="Times New Roman" w:hAnsi="Times New Roman" w:eastAsia="Times New Roman" w:cs="Times New Roman"/>
          <w:bCs w:val="1"/>
          <w:i w:val="0"/>
          <w:iCs w:val="0"/>
          <w:noProof w:val="0"/>
          <w:sz w:val="24"/>
          <w:szCs w:val="24"/>
          <w:lang w:val="it-IT"/>
        </w:rPr>
        <w:t>blockchain</w:t>
      </w:r>
      <w:r w:rsidRPr="191420C3" w:rsidR="42B41E61">
        <w:rPr>
          <w:rFonts w:ascii="Times New Roman" w:hAnsi="Times New Roman" w:eastAsia="Times New Roman" w:cs="Times New Roman"/>
          <w:bCs w:val="1"/>
          <w:i w:val="0"/>
          <w:iCs w:val="0"/>
          <w:noProof w:val="0"/>
          <w:sz w:val="24"/>
          <w:szCs w:val="24"/>
          <w:lang w:val="it-IT"/>
        </w:rPr>
        <w:t xml:space="preserve"> </w:t>
      </w:r>
      <w:r w:rsidRPr="191420C3">
        <w:rPr>
          <w:rStyle w:val="FootnoteReference"/>
          <w:rFonts w:ascii="Times New Roman" w:hAnsi="Times New Roman" w:eastAsia="Times New Roman" w:cs="Times New Roman"/>
          <w:bCs w:val="1"/>
          <w:i w:val="0"/>
          <w:iCs w:val="0"/>
          <w:noProof w:val="0"/>
          <w:sz w:val="24"/>
          <w:szCs w:val="24"/>
          <w:lang w:val="it-IT"/>
        </w:rPr>
        <w:footnoteReference w:id="17754"/>
      </w:r>
      <w:r w:rsidRPr="191420C3" w:rsidR="0A929388">
        <w:rPr>
          <w:rFonts w:ascii="Times New Roman" w:hAnsi="Times New Roman" w:eastAsia="Times New Roman" w:cs="Times New Roman"/>
          <w:bCs w:val="1"/>
          <w:i w:val="0"/>
          <w:iCs w:val="0"/>
          <w:noProof w:val="0"/>
          <w:sz w:val="24"/>
          <w:szCs w:val="24"/>
          <w:lang w:val="it-IT"/>
        </w:rPr>
        <w:t>.</w:t>
      </w:r>
    </w:p>
    <w:p w:rsidR="191420C3" w:rsidP="191420C3" w:rsidRDefault="191420C3" w14:paraId="7E2E5D85" w14:textId="7BAF43D3">
      <w:pPr>
        <w:pStyle w:val="Normal"/>
        <w:spacing w:before="0" w:beforeAutospacing="off" w:line="360" w:lineRule="auto"/>
        <w:ind w:firstLine="0"/>
        <w:rPr>
          <w:rFonts w:ascii="Times New Roman" w:hAnsi="Times New Roman" w:eastAsia="Times New Roman" w:cs="Times New Roman"/>
          <w:b w:val="1"/>
          <w:bCs w:val="1"/>
          <w:i w:val="0"/>
          <w:iCs w:val="0"/>
          <w:noProof w:val="0"/>
          <w:sz w:val="24"/>
          <w:szCs w:val="24"/>
          <w:lang w:val="it-IT"/>
        </w:rPr>
      </w:pPr>
    </w:p>
    <w:p w:rsidR="6F8A7B8F" w:rsidP="191420C3" w:rsidRDefault="6F8A7B8F" w14:paraId="75436DEB" w14:textId="6604F149">
      <w:pPr>
        <w:spacing w:before="0" w:beforeAutospacing="off" w:line="240" w:lineRule="auto"/>
        <w:ind w:firstLine="0"/>
        <w:jc w:val="center"/>
      </w:pPr>
      <w:r w:rsidR="6F8A7B8F">
        <w:rPr>
          <w:rFonts w:ascii="Times New Roman" w:hAnsi="Times New Roman"/>
        </w:rPr>
        <w:drawing>
          <wp:inline wp14:editId="3D98F5F2" wp14:anchorId="28121CF5">
            <wp:extent cx="5581650" cy="2181225"/>
            <wp:effectExtent l="0" t="0" r="0" b="0"/>
            <wp:docPr id="11836552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3655218" name="Picture 1183655218"/>
                    <pic:cNvPicPr/>
                  </pic:nvPicPr>
                  <pic:blipFill>
                    <a:blip xmlns:r="http://schemas.openxmlformats.org/officeDocument/2006/relationships" r:embed="rId799576321">
                      <a:extLst>
                        <a:ext uri="{28A0092B-C50C-407E-A947-70E740481C1C}">
                          <a14:useLocalDpi xmlns:a14="http://schemas.microsoft.com/office/drawing/2010/main"/>
                        </a:ext>
                      </a:extLst>
                    </a:blip>
                    <a:stretch>
                      <a:fillRect/>
                    </a:stretch>
                  </pic:blipFill>
                  <pic:spPr>
                    <a:xfrm>
                      <a:off x="0" y="0"/>
                      <a:ext cx="5581650" cy="2181225"/>
                    </a:xfrm>
                    <a:prstGeom prst="rect">
                      <a:avLst/>
                    </a:prstGeom>
                  </pic:spPr>
                </pic:pic>
              </a:graphicData>
            </a:graphic>
          </wp:inline>
        </w:drawing>
      </w:r>
      <w:r w:rsidRPr="191420C3" w:rsidR="0D896DBC">
        <w:rPr>
          <w:rFonts w:ascii="Times New Roman" w:hAnsi="Times New Roman" w:eastAsia="Times New Roman" w:cs="Times New Roman"/>
          <w:b/>
          <w:bCs w:val="1"/>
          <w:i w:val="0"/>
          <w:iCs w:val="0"/>
          <w:noProof w:val="0"/>
          <w:sz w:val="22"/>
          <w:szCs w:val="24"/>
          <w:lang w:val="it-IT"/>
        </w:rPr>
        <w:t xml:space="preserve">Fig. 1. Blockchain </w:t>
      </w:r>
    </w:p>
    <w:p w:rsidR="191420C3" w:rsidP="191420C3" w:rsidRDefault="191420C3" w14:paraId="325643CA" w14:textId="4FE4E032">
      <w:pPr>
        <w:spacing w:before="0" w:beforeAutospacing="off" w:line="360" w:lineRule="auto"/>
        <w:ind w:firstLine="0"/>
        <w:rPr>
          <w:rFonts w:ascii="Times New Roman" w:hAnsi="Times New Roman" w:eastAsia="Times New Roman" w:cs="Times New Roman"/>
          <w:b w:val="1"/>
          <w:bCs w:val="1"/>
          <w:i w:val="0"/>
          <w:iCs w:val="0"/>
          <w:noProof w:val="0"/>
          <w:sz w:val="24"/>
          <w:szCs w:val="24"/>
          <w:lang w:val="it-IT"/>
        </w:rPr>
      </w:pPr>
    </w:p>
    <w:p w:rsidR="44224BB2" w:rsidP="7AF0079F" w:rsidRDefault="44224BB2" w14:paraId="5D64BF5E" w14:textId="464A5B93">
      <w:pPr>
        <w:spacing w:before="0" w:beforeAutospacing="off" w:line="360" w:lineRule="auto"/>
        <w:ind w:firstLine="0"/>
        <w:jc w:val="left"/>
      </w:pPr>
      <w:r w:rsidRPr="191420C3" w:rsidR="346CD7B6">
        <w:rPr>
          <w:rFonts w:ascii="Times New Roman" w:hAnsi="Times New Roman" w:eastAsia="Times New Roman" w:cs="Times New Roman"/>
          <w:b/>
          <w:bCs w:val="1"/>
          <w:i w:val="0"/>
          <w:iCs w:val="0"/>
          <w:noProof w:val="0"/>
          <w:sz w:val="24"/>
          <w:szCs w:val="24"/>
          <w:lang w:val="it-IT"/>
        </w:rPr>
        <w:t xml:space="preserve">4.1 Modelli Applicativi come ”Forensic-Chain” </w:t>
      </w:r>
    </w:p>
    <w:p w:rsidR="4E043E38" w:rsidP="191420C3" w:rsidRDefault="4E043E38" w14:paraId="4A44C746" w14:textId="57B1E146">
      <w:pPr>
        <w:pStyle w:val="Normal"/>
        <w:spacing w:before="0" w:beforeAutospacing="off" w:line="360" w:lineRule="auto"/>
        <w:ind w:firstLine="567"/>
        <w:jc w:val="both"/>
      </w:pPr>
      <w:r w:rsidRPr="09769FAC" w:rsidR="4E043E38">
        <w:rPr>
          <w:rFonts w:ascii="Times New Roman" w:hAnsi="Times New Roman" w:eastAsia="Times New Roman" w:cs="Times New Roman"/>
          <w:i w:val="0"/>
          <w:iCs w:val="0"/>
          <w:noProof w:val="0"/>
          <w:sz w:val="24"/>
          <w:szCs w:val="24"/>
          <w:lang w:val="it-IT"/>
        </w:rPr>
        <w:t>Forensic</w:t>
      </w:r>
      <w:r w:rsidRPr="09769FAC" w:rsidR="4E043E38">
        <w:rPr>
          <w:rFonts w:ascii="Times New Roman" w:hAnsi="Times New Roman" w:eastAsia="Times New Roman" w:cs="Times New Roman"/>
          <w:i w:val="0"/>
          <w:iCs w:val="0"/>
          <w:noProof w:val="0"/>
          <w:sz w:val="24"/>
          <w:szCs w:val="24"/>
          <w:lang w:val="it-IT"/>
        </w:rPr>
        <w:t xml:space="preserve">-Chain è una soluzione basata sulla tecnologia blockchain, progettata per la gestione e la tracciabilità </w:t>
      </w:r>
      <w:r w:rsidRPr="09769FAC" w:rsidR="4E043E38">
        <w:rPr>
          <w:rFonts w:ascii="Times New Roman" w:hAnsi="Times New Roman" w:eastAsia="Times New Roman" w:cs="Times New Roman"/>
          <w:i w:val="0"/>
          <w:iCs w:val="0"/>
          <w:noProof w:val="0"/>
          <w:sz w:val="24"/>
          <w:szCs w:val="24"/>
          <w:lang w:val="it-IT"/>
        </w:rPr>
        <w:t>della chain</w:t>
      </w:r>
      <w:r w:rsidRPr="09769FAC" w:rsidR="4E043E38">
        <w:rPr>
          <w:rFonts w:ascii="Times New Roman" w:hAnsi="Times New Roman" w:eastAsia="Times New Roman" w:cs="Times New Roman"/>
          <w:i w:val="0"/>
          <w:iCs w:val="0"/>
          <w:noProof w:val="0"/>
          <w:sz w:val="24"/>
          <w:szCs w:val="24"/>
          <w:lang w:val="it-IT"/>
        </w:rPr>
        <w:t xml:space="preserve"> of </w:t>
      </w:r>
      <w:r w:rsidRPr="09769FAC" w:rsidR="4E043E38">
        <w:rPr>
          <w:rFonts w:ascii="Times New Roman" w:hAnsi="Times New Roman" w:eastAsia="Times New Roman" w:cs="Times New Roman"/>
          <w:i w:val="0"/>
          <w:iCs w:val="0"/>
          <w:noProof w:val="0"/>
          <w:sz w:val="24"/>
          <w:szCs w:val="24"/>
          <w:lang w:val="it-IT"/>
        </w:rPr>
        <w:t>custody</w:t>
      </w:r>
      <w:r w:rsidRPr="09769FAC" w:rsidR="4E043E38">
        <w:rPr>
          <w:rFonts w:ascii="Times New Roman" w:hAnsi="Times New Roman" w:eastAsia="Times New Roman" w:cs="Times New Roman"/>
          <w:i w:val="0"/>
          <w:iCs w:val="0"/>
          <w:noProof w:val="0"/>
          <w:sz w:val="24"/>
          <w:szCs w:val="24"/>
          <w:lang w:val="it-IT"/>
        </w:rPr>
        <w:t xml:space="preserve"> nel campo della </w:t>
      </w:r>
      <w:r w:rsidRPr="09769FAC" w:rsidR="4E043E38">
        <w:rPr>
          <w:rFonts w:ascii="Times New Roman" w:hAnsi="Times New Roman" w:eastAsia="Times New Roman" w:cs="Times New Roman"/>
          <w:i w:val="0"/>
          <w:iCs w:val="0"/>
          <w:noProof w:val="0"/>
          <w:sz w:val="24"/>
          <w:szCs w:val="24"/>
          <w:lang w:val="it-IT"/>
        </w:rPr>
        <w:t>digital</w:t>
      </w:r>
      <w:r w:rsidRPr="09769FAC" w:rsidR="4E043E38">
        <w:rPr>
          <w:rFonts w:ascii="Times New Roman" w:hAnsi="Times New Roman" w:eastAsia="Times New Roman" w:cs="Times New Roman"/>
          <w:i w:val="0"/>
          <w:iCs w:val="0"/>
          <w:noProof w:val="0"/>
          <w:sz w:val="24"/>
          <w:szCs w:val="24"/>
          <w:lang w:val="it-IT"/>
        </w:rPr>
        <w:t xml:space="preserve"> </w:t>
      </w:r>
      <w:r w:rsidRPr="09769FAC" w:rsidR="4E043E38">
        <w:rPr>
          <w:rFonts w:ascii="Times New Roman" w:hAnsi="Times New Roman" w:eastAsia="Times New Roman" w:cs="Times New Roman"/>
          <w:i w:val="0"/>
          <w:iCs w:val="0"/>
          <w:noProof w:val="0"/>
          <w:sz w:val="24"/>
          <w:szCs w:val="24"/>
          <w:lang w:val="it-IT"/>
        </w:rPr>
        <w:t>forensics</w:t>
      </w:r>
      <w:r w:rsidRPr="09769FAC" w:rsidR="4E043E38">
        <w:rPr>
          <w:rFonts w:ascii="Times New Roman" w:hAnsi="Times New Roman" w:eastAsia="Times New Roman" w:cs="Times New Roman"/>
          <w:i w:val="0"/>
          <w:iCs w:val="0"/>
          <w:noProof w:val="0"/>
          <w:sz w:val="24"/>
          <w:szCs w:val="24"/>
          <w:lang w:val="it-IT"/>
        </w:rPr>
        <w:t>. La blockchain può essere definita come una struttura dati distribuita che consente la creazione di un registro digitale condiviso, in cui vengono registrate e conservate le transazioni (intese come eventi o atti documentali) tra tutte le parti coinvolte in una rete decentralizzata di computer. A tutela del processo di registrazione e</w:t>
      </w:r>
      <w:r w:rsidRPr="09769FAC" w:rsidR="0D5C8F02">
        <w:rPr>
          <w:rFonts w:ascii="Times New Roman" w:hAnsi="Times New Roman" w:eastAsia="Times New Roman" w:cs="Times New Roman"/>
          <w:i w:val="0"/>
          <w:iCs w:val="0"/>
          <w:noProof w:val="0"/>
          <w:sz w:val="24"/>
          <w:szCs w:val="24"/>
          <w:lang w:val="it-IT"/>
        </w:rPr>
        <w:t xml:space="preserve"> </w:t>
      </w:r>
      <w:r w:rsidRPr="09769FAC" w:rsidR="4E043E38">
        <w:rPr>
          <w:rFonts w:ascii="Times New Roman" w:hAnsi="Times New Roman" w:eastAsia="Times New Roman" w:cs="Times New Roman"/>
          <w:i w:val="0"/>
          <w:iCs w:val="0"/>
          <w:noProof w:val="0"/>
          <w:sz w:val="24"/>
          <w:szCs w:val="24"/>
          <w:lang w:val="it-IT"/>
        </w:rPr>
        <w:t xml:space="preserve">conservazione delle transazioni, la blockchain fa ricorso a tecniche crittografiche, che garantiscono l’immutabilità del tracciamento e la formazione di una audit </w:t>
      </w:r>
      <w:r w:rsidRPr="09769FAC" w:rsidR="4E043E38">
        <w:rPr>
          <w:rFonts w:ascii="Times New Roman" w:hAnsi="Times New Roman" w:eastAsia="Times New Roman" w:cs="Times New Roman"/>
          <w:i w:val="0"/>
          <w:iCs w:val="0"/>
          <w:noProof w:val="0"/>
          <w:sz w:val="24"/>
          <w:szCs w:val="24"/>
          <w:lang w:val="it-IT"/>
        </w:rPr>
        <w:t>trail</w:t>
      </w:r>
      <w:r w:rsidRPr="09769FAC" w:rsidR="4E043E38">
        <w:rPr>
          <w:rFonts w:ascii="Times New Roman" w:hAnsi="Times New Roman" w:eastAsia="Times New Roman" w:cs="Times New Roman"/>
          <w:i w:val="0"/>
          <w:iCs w:val="0"/>
          <w:noProof w:val="0"/>
          <w:sz w:val="24"/>
          <w:szCs w:val="24"/>
          <w:lang w:val="it-IT"/>
        </w:rPr>
        <w:t xml:space="preserve"> inattaccabile.</w:t>
      </w:r>
      <w:r w:rsidRPr="09769FAC" w:rsidR="7EA8A4E3">
        <w:rPr>
          <w:rFonts w:ascii="Times New Roman" w:hAnsi="Times New Roman" w:eastAsia="Times New Roman" w:cs="Times New Roman"/>
          <w:i w:val="0"/>
          <w:iCs w:val="0"/>
          <w:noProof w:val="0"/>
          <w:sz w:val="24"/>
          <w:szCs w:val="24"/>
          <w:lang w:val="it-IT"/>
        </w:rPr>
        <w:t xml:space="preserve"> In relazione </w:t>
      </w:r>
      <w:r w:rsidRPr="09769FAC" w:rsidR="7EA8A4E3">
        <w:rPr>
          <w:rFonts w:ascii="Times New Roman" w:hAnsi="Times New Roman" w:eastAsia="Times New Roman" w:cs="Times New Roman"/>
          <w:i w:val="0"/>
          <w:iCs w:val="0"/>
          <w:noProof w:val="0"/>
          <w:sz w:val="24"/>
          <w:szCs w:val="24"/>
          <w:lang w:val="it-IT"/>
        </w:rPr>
        <w:t>alla chain</w:t>
      </w:r>
      <w:r w:rsidRPr="09769FAC" w:rsidR="7EA8A4E3">
        <w:rPr>
          <w:rFonts w:ascii="Times New Roman" w:hAnsi="Times New Roman" w:eastAsia="Times New Roman" w:cs="Times New Roman"/>
          <w:i w:val="0"/>
          <w:iCs w:val="0"/>
          <w:noProof w:val="0"/>
          <w:sz w:val="24"/>
          <w:szCs w:val="24"/>
          <w:lang w:val="it-IT"/>
        </w:rPr>
        <w:t xml:space="preserve"> of </w:t>
      </w:r>
      <w:r w:rsidRPr="09769FAC" w:rsidR="7EA8A4E3">
        <w:rPr>
          <w:rFonts w:ascii="Times New Roman" w:hAnsi="Times New Roman" w:eastAsia="Times New Roman" w:cs="Times New Roman"/>
          <w:i w:val="0"/>
          <w:iCs w:val="0"/>
          <w:noProof w:val="0"/>
          <w:sz w:val="24"/>
          <w:szCs w:val="24"/>
          <w:lang w:val="it-IT"/>
        </w:rPr>
        <w:t>custody</w:t>
      </w:r>
      <w:r w:rsidRPr="09769FAC" w:rsidR="7EA8A4E3">
        <w:rPr>
          <w:rFonts w:ascii="Times New Roman" w:hAnsi="Times New Roman" w:eastAsia="Times New Roman" w:cs="Times New Roman"/>
          <w:i w:val="0"/>
          <w:iCs w:val="0"/>
          <w:noProof w:val="0"/>
          <w:sz w:val="24"/>
          <w:szCs w:val="24"/>
          <w:lang w:val="it-IT"/>
        </w:rPr>
        <w:t xml:space="preserve">, la capacità della blockchain, in particolare quando combinata con l’uso di </w:t>
      </w:r>
      <w:r w:rsidRPr="09769FAC" w:rsidR="7EA8A4E3">
        <w:rPr>
          <w:rFonts w:ascii="Times New Roman" w:hAnsi="Times New Roman" w:eastAsia="Times New Roman" w:cs="Times New Roman"/>
          <w:i w:val="0"/>
          <w:iCs w:val="0"/>
          <w:noProof w:val="0"/>
          <w:sz w:val="24"/>
          <w:szCs w:val="24"/>
          <w:lang w:val="it-IT"/>
        </w:rPr>
        <w:t>hashing</w:t>
      </w:r>
      <w:r w:rsidRPr="09769FAC" w:rsidR="7EA8A4E3">
        <w:rPr>
          <w:rFonts w:ascii="Times New Roman" w:hAnsi="Times New Roman" w:eastAsia="Times New Roman" w:cs="Times New Roman"/>
          <w:i w:val="0"/>
          <w:iCs w:val="0"/>
          <w:noProof w:val="0"/>
          <w:sz w:val="24"/>
          <w:szCs w:val="24"/>
          <w:lang w:val="it-IT"/>
        </w:rPr>
        <w:t xml:space="preserve"> crittografico e di meccanismi di cifratura, può produrre una documentazione relativa all’accesso alle prove digitali che è sostanzialmente immune da manipolazioni. La prova che deve essere conservata viene inizialmente sottoposta a cifratura sicura e integrata con funzionalità blockchain</w:t>
      </w:r>
      <w:r w:rsidRPr="09769FAC" w:rsidR="7EA8A4E3">
        <w:rPr>
          <w:rFonts w:ascii="Times New Roman" w:hAnsi="Times New Roman" w:eastAsia="Times New Roman" w:cs="Times New Roman"/>
          <w:i w:val="0"/>
          <w:iCs w:val="0"/>
          <w:noProof w:val="0"/>
          <w:sz w:val="24"/>
          <w:szCs w:val="24"/>
          <w:lang w:val="it-IT"/>
        </w:rPr>
        <w:t xml:space="preserve">. I dati cifrati restano accessibili esclusivamente alle parti autorizzate sulla rete, ma al contempo viene automaticamente registrata, attraverso smart </w:t>
      </w:r>
      <w:r w:rsidRPr="09769FAC" w:rsidR="7EA8A4E3">
        <w:rPr>
          <w:rFonts w:ascii="Times New Roman" w:hAnsi="Times New Roman" w:eastAsia="Times New Roman" w:cs="Times New Roman"/>
          <w:i w:val="0"/>
          <w:iCs w:val="0"/>
          <w:noProof w:val="0"/>
          <w:sz w:val="24"/>
          <w:szCs w:val="24"/>
          <w:lang w:val="it-IT"/>
        </w:rPr>
        <w:t>contract</w:t>
      </w:r>
      <w:r w:rsidRPr="09769FAC" w:rsidR="7EA8A4E3">
        <w:rPr>
          <w:rFonts w:ascii="Times New Roman" w:hAnsi="Times New Roman" w:eastAsia="Times New Roman" w:cs="Times New Roman"/>
          <w:i w:val="0"/>
          <w:iCs w:val="0"/>
          <w:noProof w:val="0"/>
          <w:sz w:val="24"/>
          <w:szCs w:val="24"/>
          <w:lang w:val="it-IT"/>
        </w:rPr>
        <w:t>, l’informazione relativa alla data, all’orario e, eventualmente, all’identificativo dell’utente che ha effettuato l’accesso</w:t>
      </w:r>
      <w:r w:rsidRPr="09769FAC" w:rsidR="4706BB44">
        <w:rPr>
          <w:rFonts w:ascii="Times New Roman" w:hAnsi="Times New Roman" w:eastAsia="Times New Roman" w:cs="Times New Roman"/>
          <w:i w:val="0"/>
          <w:iCs w:val="0"/>
          <w:noProof w:val="0"/>
          <w:sz w:val="24"/>
          <w:szCs w:val="24"/>
          <w:lang w:val="it-IT"/>
        </w:rPr>
        <w:t xml:space="preserve"> </w:t>
      </w:r>
      <w:r w:rsidRPr="09769FAC">
        <w:rPr>
          <w:rStyle w:val="FootnoteReference"/>
          <w:rFonts w:ascii="Times New Roman" w:hAnsi="Times New Roman" w:eastAsia="Times New Roman" w:cs="Times New Roman"/>
          <w:i w:val="0"/>
          <w:iCs w:val="0"/>
          <w:noProof w:val="0"/>
          <w:sz w:val="24"/>
          <w:szCs w:val="24"/>
          <w:lang w:val="it-IT"/>
        </w:rPr>
        <w:footnoteReference w:id="3305"/>
      </w:r>
      <w:r w:rsidRPr="09769FAC" w:rsidR="7EA8A4E3">
        <w:rPr>
          <w:rFonts w:ascii="Times New Roman" w:hAnsi="Times New Roman" w:eastAsia="Times New Roman" w:cs="Times New Roman"/>
          <w:i w:val="0"/>
          <w:iCs w:val="0"/>
          <w:noProof w:val="0"/>
          <w:sz w:val="24"/>
          <w:szCs w:val="24"/>
          <w:lang w:val="it-IT"/>
        </w:rPr>
        <w:t>. Tale registrazione è inserita in un record immutabile della blockchain</w:t>
      </w:r>
      <w:r w:rsidRPr="09769FAC" w:rsidR="3CBD9911">
        <w:rPr>
          <w:rFonts w:ascii="Times New Roman" w:hAnsi="Times New Roman" w:eastAsia="Times New Roman" w:cs="Times New Roman"/>
          <w:i w:val="0"/>
          <w:iCs w:val="0"/>
          <w:noProof w:val="0"/>
          <w:sz w:val="24"/>
          <w:szCs w:val="24"/>
          <w:lang w:val="it-IT"/>
        </w:rPr>
        <w:t xml:space="preserve"> m</w:t>
      </w:r>
      <w:r w:rsidRPr="09769FAC" w:rsidR="295D48F0">
        <w:rPr>
          <w:rFonts w:ascii="Times New Roman" w:hAnsi="Times New Roman" w:eastAsia="Times New Roman" w:cs="Times New Roman"/>
          <w:i w:val="0"/>
          <w:iCs w:val="0"/>
          <w:noProof w:val="0"/>
          <w:sz w:val="24"/>
          <w:szCs w:val="24"/>
          <w:lang w:val="it-IT"/>
        </w:rPr>
        <w:t xml:space="preserve">a </w:t>
      </w:r>
      <w:r w:rsidRPr="09769FAC" w:rsidR="493B6DC9">
        <w:rPr>
          <w:rFonts w:ascii="Times New Roman" w:hAnsi="Times New Roman" w:eastAsia="Times New Roman" w:cs="Times New Roman"/>
          <w:i w:val="0"/>
          <w:iCs w:val="0"/>
          <w:noProof w:val="0"/>
          <w:sz w:val="24"/>
          <w:szCs w:val="24"/>
          <w:lang w:val="it-IT"/>
        </w:rPr>
        <w:t xml:space="preserve">la </w:t>
      </w:r>
      <w:r w:rsidRPr="09769FAC" w:rsidR="295D48F0">
        <w:rPr>
          <w:rFonts w:ascii="Times New Roman" w:hAnsi="Times New Roman" w:eastAsia="Times New Roman" w:cs="Times New Roman"/>
          <w:i w:val="0"/>
          <w:iCs w:val="0"/>
          <w:noProof w:val="0"/>
          <w:sz w:val="24"/>
          <w:szCs w:val="24"/>
          <w:lang w:val="it-IT"/>
        </w:rPr>
        <w:t xml:space="preserve">blockchain stessa è </w:t>
      </w:r>
      <w:r w:rsidRPr="09769FAC" w:rsidR="77EC5506">
        <w:rPr>
          <w:rFonts w:ascii="Times New Roman" w:hAnsi="Times New Roman" w:eastAsia="Times New Roman" w:cs="Times New Roman"/>
          <w:i w:val="0"/>
          <w:iCs w:val="0"/>
          <w:noProof w:val="0"/>
          <w:sz w:val="24"/>
          <w:szCs w:val="24"/>
          <w:lang w:val="it-IT"/>
        </w:rPr>
        <w:t>l</w:t>
      </w:r>
      <w:r w:rsidRPr="09769FAC" w:rsidR="295D48F0">
        <w:rPr>
          <w:rFonts w:ascii="Times New Roman" w:hAnsi="Times New Roman" w:eastAsia="Times New Roman" w:cs="Times New Roman"/>
          <w:i w:val="0"/>
          <w:iCs w:val="0"/>
          <w:noProof w:val="0"/>
          <w:sz w:val="24"/>
          <w:szCs w:val="24"/>
          <w:lang w:val="it-IT"/>
        </w:rPr>
        <w:t xml:space="preserve">eggibile attraverso una funzione speciale, in modo analogo a come avviene per la decodifica della blockchain di Bitcoin. Questa caratteristica consente, ad esempio, ai tribunali di verificare </w:t>
      </w:r>
      <w:r w:rsidRPr="09769FAC" w:rsidR="295D48F0">
        <w:rPr>
          <w:rFonts w:ascii="Times New Roman" w:hAnsi="Times New Roman" w:eastAsia="Times New Roman" w:cs="Times New Roman"/>
          <w:i w:val="0"/>
          <w:iCs w:val="0"/>
          <w:noProof w:val="0"/>
          <w:sz w:val="24"/>
          <w:szCs w:val="24"/>
          <w:lang w:val="it-IT"/>
        </w:rPr>
        <w:t>l’hash</w:t>
      </w:r>
      <w:r w:rsidRPr="09769FAC" w:rsidR="295D48F0">
        <w:rPr>
          <w:rFonts w:ascii="Times New Roman" w:hAnsi="Times New Roman" w:eastAsia="Times New Roman" w:cs="Times New Roman"/>
          <w:i w:val="0"/>
          <w:iCs w:val="0"/>
          <w:noProof w:val="0"/>
          <w:sz w:val="24"/>
          <w:szCs w:val="24"/>
          <w:lang w:val="it-IT"/>
        </w:rPr>
        <w:t xml:space="preserve"> iniziale dei dati, inclusi elementi come tempo, data e luogo del</w:t>
      </w:r>
      <w:r w:rsidRPr="09769FAC" w:rsidR="7FF3084C">
        <w:rPr>
          <w:rFonts w:ascii="Times New Roman" w:hAnsi="Times New Roman" w:eastAsia="Times New Roman" w:cs="Times New Roman"/>
          <w:i w:val="0"/>
          <w:iCs w:val="0"/>
          <w:noProof w:val="0"/>
          <w:sz w:val="24"/>
          <w:szCs w:val="24"/>
          <w:lang w:val="it-IT"/>
        </w:rPr>
        <w:t>la prima acquisizione</w:t>
      </w:r>
      <w:r w:rsidRPr="09769FAC">
        <w:rPr>
          <w:rStyle w:val="FootnoteReference"/>
          <w:rFonts w:ascii="Times New Roman" w:hAnsi="Times New Roman" w:eastAsia="Times New Roman" w:cs="Times New Roman"/>
          <w:i w:val="0"/>
          <w:iCs w:val="0"/>
          <w:noProof w:val="0"/>
          <w:sz w:val="24"/>
          <w:szCs w:val="24"/>
          <w:lang w:val="it-IT"/>
        </w:rPr>
        <w:footnoteReference w:id="12559"/>
      </w:r>
      <w:r w:rsidRPr="09769FAC" w:rsidR="48057B30">
        <w:rPr>
          <w:rFonts w:ascii="Times New Roman" w:hAnsi="Times New Roman" w:eastAsia="Times New Roman" w:cs="Times New Roman"/>
          <w:i w:val="0"/>
          <w:iCs w:val="0"/>
          <w:noProof w:val="0"/>
          <w:sz w:val="24"/>
          <w:szCs w:val="24"/>
          <w:lang w:val="it-IT"/>
        </w:rPr>
        <w:t>.</w:t>
      </w:r>
    </w:p>
    <w:p w:rsidR="21E6A9FC" w:rsidP="191420C3" w:rsidRDefault="21E6A9FC" w14:paraId="0A0A021D" w14:textId="3BA2E4F2">
      <w:pPr>
        <w:pStyle w:val="Normal"/>
        <w:spacing w:before="0" w:beforeAutospacing="off" w:line="240" w:lineRule="auto"/>
        <w:ind w:firstLine="0"/>
        <w:jc w:val="center"/>
      </w:pPr>
      <w:r w:rsidR="21E6A9FC">
        <w:rPr>
          <w:rFonts w:ascii="Times New Roman" w:hAnsi="Times New Roman"/>
        </w:rPr>
        <w:drawing>
          <wp:inline wp14:editId="6C558BB5" wp14:anchorId="2E34A344">
            <wp:extent cx="5029200" cy="5581650"/>
            <wp:effectExtent l="0" t="0" r="0" b="0"/>
            <wp:docPr id="15167335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6733559" name="Picture 1516733559"/>
                    <pic:cNvPicPr/>
                  </pic:nvPicPr>
                  <pic:blipFill>
                    <a:blip xmlns:r="http://schemas.openxmlformats.org/officeDocument/2006/relationships" r:embed="rId2141539956">
                      <a:extLst>
                        <a:ext uri="{28A0092B-C50C-407E-A947-70E740481C1C}">
                          <a14:useLocalDpi xmlns:a14="http://schemas.microsoft.com/office/drawing/2010/main"/>
                        </a:ext>
                      </a:extLst>
                    </a:blip>
                    <a:stretch>
                      <a:fillRect/>
                    </a:stretch>
                  </pic:blipFill>
                  <pic:spPr>
                    <a:xfrm>
                      <a:off x="0" y="0"/>
                      <a:ext cx="5029200" cy="5581650"/>
                    </a:xfrm>
                    <a:prstGeom prst="rect">
                      <a:avLst/>
                    </a:prstGeom>
                  </pic:spPr>
                </pic:pic>
              </a:graphicData>
            </a:graphic>
          </wp:inline>
        </w:drawing>
      </w:r>
      <w:r w:rsidRPr="191420C3" w:rsidR="21E6A9FC">
        <w:rPr>
          <w:rFonts w:ascii="Times New Roman" w:hAnsi="Times New Roman" w:eastAsia="Times New Roman" w:cs="Times New Roman"/>
          <w:b w:val="1"/>
          <w:bCs w:val="1"/>
          <w:i w:val="0"/>
          <w:iCs w:val="0"/>
          <w:noProof w:val="0"/>
          <w:sz w:val="24"/>
          <w:szCs w:val="24"/>
          <w:lang w:val="it-IT"/>
        </w:rPr>
        <w:t xml:space="preserve"> </w:t>
      </w:r>
    </w:p>
    <w:p w:rsidR="21E6A9FC" w:rsidP="191420C3" w:rsidRDefault="21E6A9FC" w14:paraId="6D993BCE" w14:textId="577C98B3">
      <w:pPr>
        <w:pStyle w:val="Normal"/>
        <w:spacing w:before="0" w:beforeAutospacing="off" w:line="276" w:lineRule="auto"/>
        <w:ind w:firstLine="0"/>
        <w:jc w:val="center"/>
      </w:pPr>
      <w:r w:rsidRPr="191420C3" w:rsidR="21E6A9FC">
        <w:rPr>
          <w:rFonts w:ascii="Times New Roman" w:hAnsi="Times New Roman" w:eastAsia="Times New Roman" w:cs="Times New Roman"/>
          <w:b/>
          <w:bCs w:val="1"/>
          <w:i w:val="0"/>
          <w:iCs w:val="0"/>
          <w:noProof w:val="0"/>
          <w:sz w:val="22"/>
          <w:szCs w:val="24"/>
          <w:lang w:val="it-IT"/>
        </w:rPr>
        <w:t xml:space="preserve">Fig. </w:t>
      </w:r>
      <w:r w:rsidRPr="191420C3" w:rsidR="21E6A9FC">
        <w:rPr>
          <w:rFonts w:ascii="Times New Roman" w:hAnsi="Times New Roman" w:eastAsia="Times New Roman" w:cs="Times New Roman"/>
          <w:b/>
          <w:bCs w:val="1"/>
          <w:i w:val="0"/>
          <w:iCs w:val="0"/>
          <w:noProof w:val="0"/>
          <w:sz w:val="22"/>
          <w:szCs w:val="24"/>
          <w:lang w:val="it-IT"/>
        </w:rPr>
        <w:t>2 :</w:t>
      </w:r>
      <w:r w:rsidRPr="191420C3" w:rsidR="21E6A9FC">
        <w:rPr>
          <w:rFonts w:ascii="Times New Roman" w:hAnsi="Times New Roman" w:eastAsia="Times New Roman" w:cs="Times New Roman"/>
          <w:b/>
          <w:bCs w:val="1"/>
          <w:i w:val="0"/>
          <w:iCs w:val="0"/>
          <w:noProof w:val="0"/>
          <w:sz w:val="22"/>
          <w:szCs w:val="24"/>
          <w:lang w:val="it-IT"/>
        </w:rPr>
        <w:t xml:space="preserve"> Genesi blocco</w:t>
      </w:r>
    </w:p>
    <w:p w:rsidR="191420C3" w:rsidP="191420C3" w:rsidRDefault="191420C3" w14:paraId="7CCE409C" w14:textId="7273053B">
      <w:pPr>
        <w:pStyle w:val="Normal"/>
        <w:spacing w:before="0" w:beforeAutospacing="off" w:line="360" w:lineRule="auto"/>
        <w:ind w:firstLine="0"/>
        <w:rPr>
          <w:rFonts w:ascii="Times New Roman" w:hAnsi="Times New Roman" w:eastAsia="Times New Roman" w:cs="Times New Roman"/>
          <w:b w:val="1"/>
          <w:bCs w:val="1"/>
          <w:i w:val="0"/>
          <w:iCs w:val="0"/>
          <w:noProof w:val="0"/>
          <w:sz w:val="24"/>
          <w:szCs w:val="24"/>
          <w:lang w:val="it-IT"/>
        </w:rPr>
      </w:pPr>
    </w:p>
    <w:p w:rsidR="242A1DF6" w:rsidP="191420C3" w:rsidRDefault="242A1DF6" w14:paraId="6E5FA34B" w14:textId="595A2558">
      <w:pPr>
        <w:pStyle w:val="Normal"/>
        <w:spacing w:before="0" w:beforeAutospacing="off" w:line="360" w:lineRule="auto"/>
        <w:ind w:firstLine="567"/>
        <w:jc w:val="both"/>
      </w:pPr>
      <w:r w:rsidRPr="191420C3" w:rsidR="242A1DF6">
        <w:rPr>
          <w:rFonts w:ascii="Times New Roman" w:hAnsi="Times New Roman" w:eastAsia="Times New Roman" w:cs="Times New Roman"/>
          <w:bCs w:val="1"/>
          <w:i w:val="0"/>
          <w:iCs w:val="0"/>
          <w:noProof w:val="0"/>
          <w:sz w:val="24"/>
          <w:szCs w:val="24"/>
          <w:lang w:val="it-IT"/>
        </w:rPr>
        <w:t>Gli accessi successivi sono resi possibili solo mediante un programma speciale (analogamente a quello utilizzato per leggere la blockchain di Bitcoin)</w:t>
      </w:r>
      <w:r w:rsidRPr="191420C3" w:rsidR="5C49A1D8">
        <w:rPr>
          <w:rFonts w:ascii="Times New Roman" w:hAnsi="Times New Roman" w:eastAsia="Times New Roman" w:cs="Times New Roman"/>
          <w:bCs w:val="1"/>
          <w:i w:val="0"/>
          <w:iCs w:val="0"/>
          <w:noProof w:val="0"/>
          <w:sz w:val="24"/>
          <w:szCs w:val="24"/>
          <w:lang w:val="it-IT"/>
        </w:rPr>
        <w:t xml:space="preserve"> e o</w:t>
      </w:r>
      <w:r w:rsidRPr="191420C3" w:rsidR="242A1DF6">
        <w:rPr>
          <w:rFonts w:ascii="Times New Roman" w:hAnsi="Times New Roman" w:eastAsia="Times New Roman" w:cs="Times New Roman"/>
          <w:bCs w:val="1"/>
          <w:i w:val="0"/>
          <w:iCs w:val="0"/>
          <w:noProof w:val="0"/>
          <w:sz w:val="24"/>
          <w:szCs w:val="24"/>
          <w:lang w:val="it-IT"/>
        </w:rPr>
        <w:t xml:space="preserve">gni accesso o trasferimento della prova genera un nuovo ingresso nella </w:t>
      </w:r>
      <w:r w:rsidRPr="191420C3" w:rsidR="242A1DF6">
        <w:rPr>
          <w:rFonts w:ascii="Times New Roman" w:hAnsi="Times New Roman" w:eastAsia="Times New Roman" w:cs="Times New Roman"/>
          <w:bCs w:val="1"/>
          <w:i w:val="0"/>
          <w:iCs w:val="0"/>
          <w:noProof w:val="0"/>
          <w:sz w:val="24"/>
          <w:szCs w:val="24"/>
          <w:lang w:val="it-IT"/>
        </w:rPr>
        <w:t>blockchain</w:t>
      </w:r>
      <w:r w:rsidRPr="191420C3" w:rsidR="46DFDFE2">
        <w:rPr>
          <w:rFonts w:ascii="Times New Roman" w:hAnsi="Times New Roman" w:eastAsia="Times New Roman" w:cs="Times New Roman"/>
          <w:bCs w:val="1"/>
          <w:i w:val="0"/>
          <w:iCs w:val="0"/>
          <w:noProof w:val="0"/>
          <w:sz w:val="24"/>
          <w:szCs w:val="24"/>
          <w:lang w:val="it-IT"/>
        </w:rPr>
        <w:t xml:space="preserve"> </w:t>
      </w:r>
      <w:r w:rsidRPr="191420C3">
        <w:rPr>
          <w:rStyle w:val="FootnoteReference"/>
          <w:rFonts w:ascii="Times New Roman" w:hAnsi="Times New Roman" w:eastAsia="Times New Roman" w:cs="Times New Roman"/>
          <w:bCs w:val="1"/>
          <w:i w:val="0"/>
          <w:iCs w:val="0"/>
          <w:noProof w:val="0"/>
          <w:sz w:val="24"/>
          <w:szCs w:val="24"/>
          <w:lang w:val="it-IT"/>
        </w:rPr>
        <w:footnoteReference w:id="27398"/>
      </w:r>
      <w:r w:rsidRPr="191420C3" w:rsidR="242A1DF6">
        <w:rPr>
          <w:rFonts w:ascii="Times New Roman" w:hAnsi="Times New Roman" w:eastAsia="Times New Roman" w:cs="Times New Roman"/>
          <w:bCs w:val="1"/>
          <w:i w:val="0"/>
          <w:iCs w:val="0"/>
          <w:noProof w:val="0"/>
          <w:sz w:val="24"/>
          <w:szCs w:val="24"/>
          <w:lang w:val="it-IT"/>
        </w:rPr>
        <w:t>.</w:t>
      </w:r>
    </w:p>
    <w:p w:rsidR="242A1DF6" w:rsidP="191420C3" w:rsidRDefault="242A1DF6" w14:paraId="1D206943" w14:textId="2FA64553">
      <w:pPr>
        <w:pStyle w:val="Normal"/>
        <w:spacing w:before="0" w:beforeAutospacing="off" w:line="360" w:lineRule="auto"/>
        <w:ind w:firstLine="567"/>
        <w:jc w:val="both"/>
      </w:pPr>
      <w:r w:rsidRPr="191420C3" w:rsidR="242A1DF6">
        <w:rPr>
          <w:rFonts w:ascii="Times New Roman" w:hAnsi="Times New Roman" w:eastAsia="Times New Roman" w:cs="Times New Roman"/>
          <w:bCs w:val="1"/>
          <w:i w:val="0"/>
          <w:iCs w:val="0"/>
          <w:noProof w:val="0"/>
          <w:sz w:val="24"/>
          <w:szCs w:val="24"/>
          <w:lang w:val="it-IT"/>
        </w:rPr>
        <w:t xml:space="preserve">In termini più semplici, durante ogni accesso successivo alla prova, viene aggiunto un nuovo blocco alla catena </w:t>
      </w:r>
      <w:r w:rsidRPr="191420C3" w:rsidR="242A1DF6">
        <w:rPr>
          <w:rFonts w:ascii="Times New Roman" w:hAnsi="Times New Roman" w:eastAsia="Times New Roman" w:cs="Times New Roman"/>
          <w:bCs w:val="1"/>
          <w:i w:val="0"/>
          <w:iCs w:val="0"/>
          <w:noProof w:val="0"/>
          <w:sz w:val="24"/>
          <w:szCs w:val="24"/>
          <w:lang w:val="it-IT"/>
        </w:rPr>
        <w:t>della chain</w:t>
      </w:r>
      <w:r w:rsidRPr="191420C3" w:rsidR="242A1DF6">
        <w:rPr>
          <w:rFonts w:ascii="Times New Roman" w:hAnsi="Times New Roman" w:eastAsia="Times New Roman" w:cs="Times New Roman"/>
          <w:bCs w:val="1"/>
          <w:i w:val="0"/>
          <w:iCs w:val="0"/>
          <w:noProof w:val="0"/>
          <w:sz w:val="24"/>
          <w:szCs w:val="24"/>
          <w:lang w:val="it-IT"/>
        </w:rPr>
        <w:t xml:space="preserve"> of </w:t>
      </w:r>
      <w:r w:rsidRPr="191420C3" w:rsidR="242A1DF6">
        <w:rPr>
          <w:rFonts w:ascii="Times New Roman" w:hAnsi="Times New Roman" w:eastAsia="Times New Roman" w:cs="Times New Roman"/>
          <w:bCs w:val="1"/>
          <w:i w:val="0"/>
          <w:iCs w:val="0"/>
          <w:noProof w:val="0"/>
          <w:sz w:val="24"/>
          <w:szCs w:val="24"/>
          <w:lang w:val="it-IT"/>
        </w:rPr>
        <w:t>custody</w:t>
      </w:r>
      <w:r w:rsidRPr="191420C3" w:rsidR="242A1DF6">
        <w:rPr>
          <w:rFonts w:ascii="Times New Roman" w:hAnsi="Times New Roman" w:eastAsia="Times New Roman" w:cs="Times New Roman"/>
          <w:bCs w:val="1"/>
          <w:i w:val="0"/>
          <w:iCs w:val="0"/>
          <w:noProof w:val="0"/>
          <w:sz w:val="24"/>
          <w:szCs w:val="24"/>
          <w:lang w:val="it-IT"/>
        </w:rPr>
        <w:t xml:space="preserve">: tale blocco è non contestabile, </w:t>
      </w:r>
      <w:r w:rsidRPr="191420C3" w:rsidR="6498562D">
        <w:rPr>
          <w:rFonts w:ascii="Times New Roman" w:hAnsi="Times New Roman" w:eastAsia="Times New Roman" w:cs="Times New Roman"/>
          <w:bCs w:val="1"/>
          <w:i w:val="0"/>
          <w:iCs w:val="0"/>
          <w:noProof w:val="0"/>
          <w:sz w:val="24"/>
          <w:szCs w:val="24"/>
          <w:lang w:val="it-IT"/>
        </w:rPr>
        <w:t>irreversibile</w:t>
      </w:r>
      <w:r w:rsidRPr="191420C3" w:rsidR="242A1DF6">
        <w:rPr>
          <w:rFonts w:ascii="Times New Roman" w:hAnsi="Times New Roman" w:eastAsia="Times New Roman" w:cs="Times New Roman"/>
          <w:bCs w:val="1"/>
          <w:i w:val="0"/>
          <w:iCs w:val="0"/>
          <w:noProof w:val="0"/>
          <w:sz w:val="24"/>
          <w:szCs w:val="24"/>
          <w:lang w:val="it-IT"/>
        </w:rPr>
        <w:t xml:space="preserve"> e protetto da crittografia, e viene generato ogni volta che viene modificato o toccato anche solo un elemento di informazione critico, come mostrato nella Figura 3.</w:t>
      </w:r>
    </w:p>
    <w:p w:rsidR="242A1DF6" w:rsidP="191420C3" w:rsidRDefault="242A1DF6" w14:paraId="24FB23AA" w14:textId="26F1809C">
      <w:pPr>
        <w:pStyle w:val="Normal"/>
        <w:spacing w:before="0" w:beforeAutospacing="off" w:line="240" w:lineRule="auto"/>
        <w:ind w:firstLine="0"/>
        <w:jc w:val="center"/>
        <w:rPr>
          <w:rFonts w:ascii="Times New Roman" w:hAnsi="Times New Roman" w:eastAsia="Times New Roman" w:cs="Times New Roman"/>
          <w:b w:val="1"/>
          <w:bCs w:val="1"/>
          <w:i w:val="0"/>
          <w:iCs w:val="0"/>
          <w:noProof w:val="0"/>
          <w:sz w:val="24"/>
          <w:szCs w:val="24"/>
          <w:lang w:val="it-IT"/>
        </w:rPr>
      </w:pPr>
      <w:r w:rsidRPr="191420C3" w:rsidR="242A1DF6">
        <w:rPr>
          <w:rFonts w:ascii="Times New Roman" w:hAnsi="Times New Roman" w:eastAsia="Times New Roman" w:cs="Times New Roman"/>
          <w:b w:val="1"/>
          <w:bCs w:val="1"/>
          <w:i w:val="0"/>
          <w:iCs w:val="0"/>
          <w:noProof w:val="0"/>
          <w:sz w:val="24"/>
          <w:szCs w:val="24"/>
          <w:lang w:val="it-IT"/>
        </w:rPr>
        <w:t xml:space="preserve"> </w:t>
      </w:r>
      <w:r w:rsidR="22CEF6A9">
        <w:rPr>
          <w:rFonts w:ascii="Times New Roman" w:hAnsi="Times New Roman"/>
        </w:rPr>
        <w:drawing>
          <wp:inline wp14:editId="729D3A67" wp14:anchorId="5AF1F656">
            <wp:extent cx="5581650" cy="2914650"/>
            <wp:effectExtent l="0" t="0" r="0" b="0"/>
            <wp:docPr id="425282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528276" name="Picture 42528276"/>
                    <pic:cNvPicPr/>
                  </pic:nvPicPr>
                  <pic:blipFill>
                    <a:blip xmlns:r="http://schemas.openxmlformats.org/officeDocument/2006/relationships" r:embed="rId981484858">
                      <a:extLst>
                        <a:ext uri="{28A0092B-C50C-407E-A947-70E740481C1C}">
                          <a14:useLocalDpi xmlns:a14="http://schemas.microsoft.com/office/drawing/2010/main"/>
                        </a:ext>
                      </a:extLst>
                    </a:blip>
                    <a:stretch>
                      <a:fillRect/>
                    </a:stretch>
                  </pic:blipFill>
                  <pic:spPr>
                    <a:xfrm>
                      <a:off x="0" y="0"/>
                      <a:ext cx="5581650" cy="2914650"/>
                    </a:xfrm>
                    <a:prstGeom prst="rect">
                      <a:avLst/>
                    </a:prstGeom>
                  </pic:spPr>
                </pic:pic>
              </a:graphicData>
            </a:graphic>
          </wp:inline>
        </w:drawing>
      </w:r>
    </w:p>
    <w:p w:rsidR="22CEF6A9" w:rsidP="191420C3" w:rsidRDefault="22CEF6A9" w14:paraId="670B1128" w14:textId="12130350">
      <w:pPr>
        <w:pStyle w:val="Normal"/>
        <w:spacing w:before="0" w:beforeAutospacing="off" w:line="276" w:lineRule="auto"/>
        <w:ind w:firstLine="0"/>
        <w:jc w:val="center"/>
      </w:pPr>
      <w:r w:rsidRPr="191420C3" w:rsidR="22CEF6A9">
        <w:rPr>
          <w:rFonts w:ascii="Times New Roman" w:hAnsi="Times New Roman" w:eastAsia="Times New Roman" w:cs="Times New Roman"/>
          <w:b/>
          <w:bCs w:val="1"/>
          <w:i w:val="0"/>
          <w:iCs w:val="0"/>
          <w:noProof w:val="0"/>
          <w:sz w:val="22"/>
          <w:szCs w:val="24"/>
          <w:lang w:val="it-IT"/>
        </w:rPr>
        <w:t xml:space="preserve">Fig. </w:t>
      </w:r>
      <w:r w:rsidRPr="191420C3" w:rsidR="22CEF6A9">
        <w:rPr>
          <w:rFonts w:ascii="Times New Roman" w:hAnsi="Times New Roman" w:eastAsia="Times New Roman" w:cs="Times New Roman"/>
          <w:b/>
          <w:bCs w:val="1"/>
          <w:i w:val="0"/>
          <w:iCs w:val="0"/>
          <w:noProof w:val="0"/>
          <w:sz w:val="22"/>
          <w:szCs w:val="24"/>
          <w:lang w:val="it-IT"/>
        </w:rPr>
        <w:t>3 :</w:t>
      </w:r>
      <w:r w:rsidRPr="191420C3" w:rsidR="22CEF6A9">
        <w:rPr>
          <w:rFonts w:ascii="Times New Roman" w:hAnsi="Times New Roman" w:eastAsia="Times New Roman" w:cs="Times New Roman"/>
          <w:b/>
          <w:bCs w:val="1"/>
          <w:i w:val="0"/>
          <w:iCs w:val="0"/>
          <w:noProof w:val="0"/>
          <w:sz w:val="22"/>
          <w:szCs w:val="24"/>
          <w:lang w:val="it-IT"/>
        </w:rPr>
        <w:t xml:space="preserve"> Forensic-Chain</w:t>
      </w:r>
    </w:p>
    <w:p w:rsidR="191420C3" w:rsidP="191420C3" w:rsidRDefault="191420C3" w14:paraId="43C7F9C6" w14:textId="1DE87D60">
      <w:pPr>
        <w:pStyle w:val="Normal"/>
        <w:spacing w:before="0" w:beforeAutospacing="off" w:line="360" w:lineRule="auto"/>
        <w:ind w:firstLine="0"/>
        <w:rPr>
          <w:rFonts w:ascii="Times New Roman" w:hAnsi="Times New Roman" w:eastAsia="Times New Roman" w:cs="Times New Roman"/>
          <w:b w:val="1"/>
          <w:bCs w:val="1"/>
          <w:i w:val="0"/>
          <w:iCs w:val="0"/>
          <w:noProof w:val="0"/>
          <w:sz w:val="24"/>
          <w:szCs w:val="24"/>
          <w:lang w:val="it-IT"/>
        </w:rPr>
      </w:pPr>
    </w:p>
    <w:p w:rsidR="242A1DF6" w:rsidP="191420C3" w:rsidRDefault="242A1DF6" w14:paraId="563726CB" w14:textId="397F9F18">
      <w:pPr>
        <w:pStyle w:val="Normal"/>
        <w:spacing w:before="0" w:beforeAutospacing="off" w:line="360" w:lineRule="auto"/>
        <w:ind w:firstLine="567"/>
        <w:jc w:val="both"/>
      </w:pPr>
      <w:r w:rsidRPr="191420C3" w:rsidR="242A1DF6">
        <w:rPr>
          <w:rFonts w:ascii="Times New Roman" w:hAnsi="Times New Roman" w:eastAsia="Times New Roman" w:cs="Times New Roman"/>
          <w:bCs w:val="1"/>
          <w:i w:val="0"/>
          <w:iCs w:val="0"/>
          <w:noProof w:val="0"/>
          <w:sz w:val="24"/>
          <w:szCs w:val="24"/>
          <w:lang w:val="it-IT"/>
        </w:rPr>
        <w:t xml:space="preserve">Il tracciamento automatizzato degli accessi, realizzato tramite smart </w:t>
      </w:r>
      <w:r w:rsidRPr="191420C3" w:rsidR="242A1DF6">
        <w:rPr>
          <w:rFonts w:ascii="Times New Roman" w:hAnsi="Times New Roman" w:eastAsia="Times New Roman" w:cs="Times New Roman"/>
          <w:bCs w:val="1"/>
          <w:i w:val="0"/>
          <w:iCs w:val="0"/>
          <w:noProof w:val="0"/>
          <w:sz w:val="24"/>
          <w:szCs w:val="24"/>
          <w:lang w:val="it-IT"/>
        </w:rPr>
        <w:t>contract</w:t>
      </w:r>
      <w:r w:rsidRPr="191420C3" w:rsidR="242A1DF6">
        <w:rPr>
          <w:rFonts w:ascii="Times New Roman" w:hAnsi="Times New Roman" w:eastAsia="Times New Roman" w:cs="Times New Roman"/>
          <w:bCs w:val="1"/>
          <w:i w:val="0"/>
          <w:iCs w:val="0"/>
          <w:noProof w:val="0"/>
          <w:sz w:val="24"/>
          <w:szCs w:val="24"/>
          <w:lang w:val="it-IT"/>
        </w:rPr>
        <w:t xml:space="preserve">, consente di rilevare la creazione di copie della prova e di registrarle nella </w:t>
      </w:r>
      <w:r w:rsidRPr="191420C3" w:rsidR="242A1DF6">
        <w:rPr>
          <w:rFonts w:ascii="Times New Roman" w:hAnsi="Times New Roman" w:eastAsia="Times New Roman" w:cs="Times New Roman"/>
          <w:bCs w:val="1"/>
          <w:i w:val="0"/>
          <w:iCs w:val="0"/>
          <w:noProof w:val="0"/>
          <w:sz w:val="24"/>
          <w:szCs w:val="24"/>
          <w:lang w:val="it-IT"/>
        </w:rPr>
        <w:t>blockchain</w:t>
      </w:r>
      <w:r w:rsidRPr="191420C3" w:rsidR="4D8A98A6">
        <w:rPr>
          <w:rFonts w:ascii="Times New Roman" w:hAnsi="Times New Roman" w:eastAsia="Times New Roman" w:cs="Times New Roman"/>
          <w:bCs w:val="1"/>
          <w:i w:val="0"/>
          <w:iCs w:val="0"/>
          <w:noProof w:val="0"/>
          <w:sz w:val="24"/>
          <w:szCs w:val="24"/>
          <w:lang w:val="it-IT"/>
        </w:rPr>
        <w:t xml:space="preserve"> </w:t>
      </w:r>
      <w:r w:rsidRPr="191420C3" w:rsidR="242A1DF6">
        <w:rPr>
          <w:rFonts w:ascii="Times New Roman" w:hAnsi="Times New Roman" w:eastAsia="Times New Roman" w:cs="Times New Roman"/>
          <w:bCs w:val="1"/>
          <w:i w:val="0"/>
          <w:iCs w:val="0"/>
          <w:noProof w:val="0"/>
          <w:sz w:val="24"/>
          <w:szCs w:val="24"/>
          <w:lang w:val="it-IT"/>
        </w:rPr>
        <w:t xml:space="preserve"> </w:t>
      </w:r>
      <w:r w:rsidRPr="191420C3" w:rsidR="316D482D">
        <w:rPr>
          <w:rFonts w:ascii="Times New Roman" w:hAnsi="Times New Roman" w:eastAsia="Times New Roman" w:cs="Times New Roman"/>
          <w:bCs w:val="1"/>
          <w:i w:val="0"/>
          <w:iCs w:val="0"/>
          <w:noProof w:val="0"/>
          <w:sz w:val="24"/>
          <w:szCs w:val="24"/>
          <w:lang w:val="it-IT"/>
        </w:rPr>
        <w:t>ma</w:t>
      </w:r>
      <w:r w:rsidRPr="191420C3" w:rsidR="242A1DF6">
        <w:rPr>
          <w:rFonts w:ascii="Times New Roman" w:hAnsi="Times New Roman" w:eastAsia="Times New Roman" w:cs="Times New Roman"/>
          <w:bCs w:val="1"/>
          <w:i w:val="0"/>
          <w:iCs w:val="0"/>
          <w:noProof w:val="0"/>
          <w:sz w:val="24"/>
          <w:szCs w:val="24"/>
          <w:lang w:val="it-IT"/>
        </w:rPr>
        <w:t>, le cop</w:t>
      </w:r>
      <w:r w:rsidRPr="191420C3" w:rsidR="242A1DF6">
        <w:rPr>
          <w:rFonts w:ascii="Times New Roman" w:hAnsi="Times New Roman" w:eastAsia="Times New Roman" w:cs="Times New Roman"/>
          <w:bCs w:val="1"/>
          <w:i w:val="0"/>
          <w:iCs w:val="0"/>
          <w:noProof w:val="0"/>
          <w:sz w:val="24"/>
          <w:szCs w:val="24"/>
          <w:lang w:val="it-IT"/>
        </w:rPr>
        <w:t xml:space="preserve">ie autorizzate o altre attività di manutenzione e conservazione dei registri sono inserite </w:t>
      </w:r>
      <w:r w:rsidRPr="191420C3" w:rsidR="242A1DF6">
        <w:rPr>
          <w:rFonts w:ascii="Times New Roman" w:hAnsi="Times New Roman" w:eastAsia="Times New Roman" w:cs="Times New Roman"/>
          <w:bCs w:val="1"/>
          <w:i w:val="0"/>
          <w:iCs w:val="0"/>
          <w:noProof w:val="0"/>
          <w:sz w:val="24"/>
          <w:szCs w:val="24"/>
          <w:lang w:val="it-IT"/>
        </w:rPr>
        <w:t>nella chain</w:t>
      </w:r>
      <w:r w:rsidRPr="191420C3" w:rsidR="242A1DF6">
        <w:rPr>
          <w:rFonts w:ascii="Times New Roman" w:hAnsi="Times New Roman" w:eastAsia="Times New Roman" w:cs="Times New Roman"/>
          <w:bCs w:val="1"/>
          <w:i w:val="0"/>
          <w:iCs w:val="0"/>
          <w:noProof w:val="0"/>
          <w:sz w:val="24"/>
          <w:szCs w:val="24"/>
          <w:lang w:val="it-IT"/>
        </w:rPr>
        <w:t xml:space="preserve"> of </w:t>
      </w:r>
      <w:r w:rsidRPr="191420C3" w:rsidR="242A1DF6">
        <w:rPr>
          <w:rFonts w:ascii="Times New Roman" w:hAnsi="Times New Roman" w:eastAsia="Times New Roman" w:cs="Times New Roman"/>
          <w:bCs w:val="1"/>
          <w:i w:val="0"/>
          <w:iCs w:val="0"/>
          <w:noProof w:val="0"/>
          <w:sz w:val="24"/>
          <w:szCs w:val="24"/>
          <w:lang w:val="it-IT"/>
        </w:rPr>
        <w:t>custody</w:t>
      </w:r>
      <w:r w:rsidRPr="191420C3" w:rsidR="242A1DF6">
        <w:rPr>
          <w:rFonts w:ascii="Times New Roman" w:hAnsi="Times New Roman" w:eastAsia="Times New Roman" w:cs="Times New Roman"/>
          <w:bCs w:val="1"/>
          <w:i w:val="0"/>
          <w:iCs w:val="0"/>
          <w:noProof w:val="0"/>
          <w:sz w:val="24"/>
          <w:szCs w:val="24"/>
          <w:lang w:val="it-IT"/>
        </w:rPr>
        <w:t xml:space="preserve"> della blockchain in modo specifico e differenziato. </w:t>
      </w:r>
      <w:r w:rsidRPr="191420C3" w:rsidR="242A1DF6">
        <w:rPr>
          <w:rFonts w:ascii="Times New Roman" w:hAnsi="Times New Roman" w:eastAsia="Times New Roman" w:cs="Times New Roman"/>
          <w:bCs w:val="1"/>
          <w:i w:val="0"/>
          <w:iCs w:val="0"/>
          <w:noProof w:val="0"/>
          <w:sz w:val="24"/>
          <w:szCs w:val="24"/>
          <w:lang w:val="it-IT"/>
        </w:rPr>
        <w:t>Forensic</w:t>
      </w:r>
      <w:r w:rsidRPr="191420C3" w:rsidR="242A1DF6">
        <w:rPr>
          <w:rFonts w:ascii="Times New Roman" w:hAnsi="Times New Roman" w:eastAsia="Times New Roman" w:cs="Times New Roman"/>
          <w:bCs w:val="1"/>
          <w:i w:val="0"/>
          <w:iCs w:val="0"/>
          <w:noProof w:val="0"/>
          <w:sz w:val="24"/>
          <w:szCs w:val="24"/>
          <w:lang w:val="it-IT"/>
        </w:rPr>
        <w:t xml:space="preserve">-Chain viene attivato dal First Responder, che calcola </w:t>
      </w:r>
      <w:r w:rsidRPr="191420C3" w:rsidR="242A1DF6">
        <w:rPr>
          <w:rFonts w:ascii="Times New Roman" w:hAnsi="Times New Roman" w:eastAsia="Times New Roman" w:cs="Times New Roman"/>
          <w:bCs w:val="1"/>
          <w:i w:val="0"/>
          <w:iCs w:val="0"/>
          <w:noProof w:val="0"/>
          <w:sz w:val="24"/>
          <w:szCs w:val="24"/>
          <w:lang w:val="it-IT"/>
        </w:rPr>
        <w:t>l’hash</w:t>
      </w:r>
      <w:r w:rsidRPr="191420C3" w:rsidR="242A1DF6">
        <w:rPr>
          <w:rFonts w:ascii="Times New Roman" w:hAnsi="Times New Roman" w:eastAsia="Times New Roman" w:cs="Times New Roman"/>
          <w:bCs w:val="1"/>
          <w:i w:val="0"/>
          <w:iCs w:val="0"/>
          <w:noProof w:val="0"/>
          <w:sz w:val="24"/>
          <w:szCs w:val="24"/>
          <w:lang w:val="it-IT"/>
        </w:rPr>
        <w:t xml:space="preserve"> della prova digitale e lo registra in modo sicuro sulla blockchain mediante smart </w:t>
      </w:r>
      <w:r w:rsidRPr="191420C3" w:rsidR="242A1DF6">
        <w:rPr>
          <w:rFonts w:ascii="Times New Roman" w:hAnsi="Times New Roman" w:eastAsia="Times New Roman" w:cs="Times New Roman"/>
          <w:bCs w:val="1"/>
          <w:i w:val="0"/>
          <w:iCs w:val="0"/>
          <w:noProof w:val="0"/>
          <w:sz w:val="24"/>
          <w:szCs w:val="24"/>
          <w:lang w:val="it-IT"/>
        </w:rPr>
        <w:t>contract</w:t>
      </w:r>
      <w:r w:rsidRPr="191420C3" w:rsidR="210F44C1">
        <w:rPr>
          <w:rFonts w:ascii="Times New Roman" w:hAnsi="Times New Roman" w:eastAsia="Times New Roman" w:cs="Times New Roman"/>
          <w:bCs w:val="1"/>
          <w:i w:val="0"/>
          <w:iCs w:val="0"/>
          <w:noProof w:val="0"/>
          <w:sz w:val="24"/>
          <w:szCs w:val="24"/>
          <w:lang w:val="it-IT"/>
        </w:rPr>
        <w:t xml:space="preserve"> mentre a</w:t>
      </w:r>
      <w:r w:rsidRPr="191420C3" w:rsidR="242A1DF6">
        <w:rPr>
          <w:rFonts w:ascii="Times New Roman" w:hAnsi="Times New Roman" w:eastAsia="Times New Roman" w:cs="Times New Roman"/>
          <w:bCs w:val="1"/>
          <w:i w:val="0"/>
          <w:iCs w:val="0"/>
          <w:noProof w:val="0"/>
          <w:sz w:val="24"/>
          <w:szCs w:val="24"/>
          <w:lang w:val="it-IT"/>
        </w:rPr>
        <w:t xml:space="preserve">ltri elementi, quali il luogo, l’orario e la data del presunto reato, sono anch’essi annotati sulla </w:t>
      </w:r>
      <w:r w:rsidRPr="191420C3" w:rsidR="242A1DF6">
        <w:rPr>
          <w:rFonts w:ascii="Times New Roman" w:hAnsi="Times New Roman" w:eastAsia="Times New Roman" w:cs="Times New Roman"/>
          <w:bCs w:val="1"/>
          <w:i w:val="0"/>
          <w:iCs w:val="0"/>
          <w:noProof w:val="0"/>
          <w:sz w:val="24"/>
          <w:szCs w:val="24"/>
          <w:lang w:val="it-IT"/>
        </w:rPr>
        <w:t>blockchain</w:t>
      </w:r>
      <w:r w:rsidRPr="191420C3" w:rsidR="3D0C5D4E">
        <w:rPr>
          <w:rFonts w:ascii="Times New Roman" w:hAnsi="Times New Roman" w:eastAsia="Times New Roman" w:cs="Times New Roman"/>
          <w:bCs w:val="1"/>
          <w:i w:val="0"/>
          <w:iCs w:val="0"/>
          <w:noProof w:val="0"/>
          <w:sz w:val="24"/>
          <w:szCs w:val="24"/>
          <w:lang w:val="it-IT"/>
        </w:rPr>
        <w:t xml:space="preserve"> </w:t>
      </w:r>
      <w:r w:rsidRPr="191420C3">
        <w:rPr>
          <w:rStyle w:val="FootnoteReference"/>
          <w:rFonts w:ascii="Times New Roman" w:hAnsi="Times New Roman" w:eastAsia="Times New Roman" w:cs="Times New Roman"/>
          <w:bCs w:val="1"/>
          <w:i w:val="0"/>
          <w:iCs w:val="0"/>
          <w:noProof w:val="0"/>
          <w:sz w:val="24"/>
          <w:szCs w:val="24"/>
          <w:lang w:val="it-IT"/>
        </w:rPr>
        <w:footnoteReference w:id="20092"/>
      </w:r>
      <w:r w:rsidRPr="191420C3" w:rsidR="242A1DF6">
        <w:rPr>
          <w:rFonts w:ascii="Times New Roman" w:hAnsi="Times New Roman" w:eastAsia="Times New Roman" w:cs="Times New Roman"/>
          <w:bCs w:val="1"/>
          <w:i w:val="0"/>
          <w:iCs w:val="0"/>
          <w:noProof w:val="0"/>
          <w:sz w:val="24"/>
          <w:szCs w:val="24"/>
          <w:lang w:val="it-IT"/>
        </w:rPr>
        <w:t>.</w:t>
      </w:r>
      <w:r w:rsidRPr="191420C3" w:rsidR="1E251F9C">
        <w:rPr>
          <w:rFonts w:ascii="Times New Roman" w:hAnsi="Times New Roman" w:eastAsia="Times New Roman" w:cs="Times New Roman"/>
          <w:bCs w:val="1"/>
          <w:i w:val="0"/>
          <w:iCs w:val="0"/>
          <w:noProof w:val="0"/>
          <w:sz w:val="24"/>
          <w:szCs w:val="24"/>
          <w:lang w:val="it-IT"/>
        </w:rPr>
        <w:t xml:space="preserve"> </w:t>
      </w:r>
      <w:r w:rsidRPr="191420C3" w:rsidR="242A1DF6">
        <w:rPr>
          <w:rFonts w:ascii="Times New Roman" w:hAnsi="Times New Roman" w:eastAsia="Times New Roman" w:cs="Times New Roman"/>
          <w:bCs w:val="1"/>
          <w:i w:val="0"/>
          <w:iCs w:val="0"/>
          <w:noProof w:val="0"/>
          <w:sz w:val="24"/>
          <w:szCs w:val="24"/>
          <w:lang w:val="it-IT"/>
        </w:rPr>
        <w:t xml:space="preserve">Durante l’intera procedura di investigazione in </w:t>
      </w:r>
      <w:r w:rsidRPr="191420C3" w:rsidR="242A1DF6">
        <w:rPr>
          <w:rFonts w:ascii="Times New Roman" w:hAnsi="Times New Roman" w:eastAsia="Times New Roman" w:cs="Times New Roman"/>
          <w:bCs w:val="1"/>
          <w:i w:val="0"/>
          <w:iCs w:val="0"/>
          <w:noProof w:val="0"/>
          <w:sz w:val="24"/>
          <w:szCs w:val="24"/>
          <w:lang w:val="it-IT"/>
        </w:rPr>
        <w:t>digital</w:t>
      </w:r>
      <w:r w:rsidRPr="191420C3" w:rsidR="242A1DF6">
        <w:rPr>
          <w:rFonts w:ascii="Times New Roman" w:hAnsi="Times New Roman" w:eastAsia="Times New Roman" w:cs="Times New Roman"/>
          <w:bCs w:val="1"/>
          <w:i w:val="0"/>
          <w:iCs w:val="0"/>
          <w:noProof w:val="0"/>
          <w:sz w:val="24"/>
          <w:szCs w:val="24"/>
          <w:lang w:val="it-IT"/>
        </w:rPr>
        <w:t xml:space="preserve"> </w:t>
      </w:r>
      <w:r w:rsidRPr="191420C3" w:rsidR="242A1DF6">
        <w:rPr>
          <w:rFonts w:ascii="Times New Roman" w:hAnsi="Times New Roman" w:eastAsia="Times New Roman" w:cs="Times New Roman"/>
          <w:bCs w:val="1"/>
          <w:i w:val="0"/>
          <w:iCs w:val="0"/>
          <w:noProof w:val="0"/>
          <w:sz w:val="24"/>
          <w:szCs w:val="24"/>
          <w:lang w:val="it-IT"/>
        </w:rPr>
        <w:t>forensics</w:t>
      </w:r>
      <w:r w:rsidRPr="191420C3" w:rsidR="242A1DF6">
        <w:rPr>
          <w:rFonts w:ascii="Times New Roman" w:hAnsi="Times New Roman" w:eastAsia="Times New Roman" w:cs="Times New Roman"/>
          <w:bCs w:val="1"/>
          <w:i w:val="0"/>
          <w:iCs w:val="0"/>
          <w:noProof w:val="0"/>
          <w:sz w:val="24"/>
          <w:szCs w:val="24"/>
          <w:lang w:val="it-IT"/>
        </w:rPr>
        <w:t xml:space="preserve">, ogni trasferimento di prova è registrato automaticamente sulla blockchain tramite smart </w:t>
      </w:r>
      <w:r w:rsidRPr="191420C3" w:rsidR="242A1DF6">
        <w:rPr>
          <w:rFonts w:ascii="Times New Roman" w:hAnsi="Times New Roman" w:eastAsia="Times New Roman" w:cs="Times New Roman"/>
          <w:bCs w:val="1"/>
          <w:i w:val="0"/>
          <w:iCs w:val="0"/>
          <w:noProof w:val="0"/>
          <w:sz w:val="24"/>
          <w:szCs w:val="24"/>
          <w:lang w:val="it-IT"/>
        </w:rPr>
        <w:t>contract</w:t>
      </w:r>
      <w:r w:rsidRPr="191420C3" w:rsidR="242A1DF6">
        <w:rPr>
          <w:rFonts w:ascii="Times New Roman" w:hAnsi="Times New Roman" w:eastAsia="Times New Roman" w:cs="Times New Roman"/>
          <w:bCs w:val="1"/>
          <w:i w:val="0"/>
          <w:iCs w:val="0"/>
          <w:noProof w:val="0"/>
          <w:sz w:val="24"/>
          <w:szCs w:val="24"/>
          <w:lang w:val="it-IT"/>
        </w:rPr>
        <w:t xml:space="preserve">, con indicazione di: indirizzo del destinatario, stato attuale della prova, livello di autorizzazione, data e orario. Inoltre, ogni accesso successivo alla prova digitale è registrato in modo sicuro sulla blockchain, attraverso smart </w:t>
      </w:r>
      <w:r w:rsidRPr="191420C3" w:rsidR="242A1DF6">
        <w:rPr>
          <w:rFonts w:ascii="Times New Roman" w:hAnsi="Times New Roman" w:eastAsia="Times New Roman" w:cs="Times New Roman"/>
          <w:bCs w:val="1"/>
          <w:i w:val="0"/>
          <w:iCs w:val="0"/>
          <w:noProof w:val="0"/>
          <w:sz w:val="24"/>
          <w:szCs w:val="24"/>
          <w:lang w:val="it-IT"/>
        </w:rPr>
        <w:t>contract</w:t>
      </w:r>
      <w:r w:rsidRPr="191420C3" w:rsidR="242A1DF6">
        <w:rPr>
          <w:rFonts w:ascii="Times New Roman" w:hAnsi="Times New Roman" w:eastAsia="Times New Roman" w:cs="Times New Roman"/>
          <w:bCs w:val="1"/>
          <w:i w:val="0"/>
          <w:iCs w:val="0"/>
          <w:noProof w:val="0"/>
          <w:sz w:val="24"/>
          <w:szCs w:val="24"/>
          <w:lang w:val="it-IT"/>
        </w:rPr>
        <w:t xml:space="preserve"> attivati dalla corrispondente prova forense, a partire dal momento in cui questa è entrata nel processo</w:t>
      </w:r>
      <w:r w:rsidRPr="191420C3" w:rsidR="7832410D">
        <w:rPr>
          <w:rFonts w:ascii="Times New Roman" w:hAnsi="Times New Roman" w:eastAsia="Times New Roman" w:cs="Times New Roman"/>
          <w:bCs w:val="1"/>
          <w:i w:val="0"/>
          <w:iCs w:val="0"/>
          <w:noProof w:val="0"/>
          <w:sz w:val="24"/>
          <w:szCs w:val="24"/>
          <w:lang w:val="it-IT"/>
        </w:rPr>
        <w:t xml:space="preserve"> </w:t>
      </w:r>
      <w:r w:rsidRPr="191420C3">
        <w:rPr>
          <w:rStyle w:val="FootnoteReference"/>
          <w:rFonts w:ascii="Times New Roman" w:hAnsi="Times New Roman" w:eastAsia="Times New Roman" w:cs="Times New Roman"/>
          <w:bCs w:val="1"/>
          <w:i w:val="0"/>
          <w:iCs w:val="0"/>
          <w:noProof w:val="0"/>
          <w:sz w:val="24"/>
          <w:szCs w:val="24"/>
          <w:lang w:val="it-IT"/>
        </w:rPr>
        <w:footnoteReference w:id="8054"/>
      </w:r>
      <w:r w:rsidRPr="191420C3" w:rsidR="7832410D">
        <w:rPr>
          <w:rFonts w:ascii="Times New Roman" w:hAnsi="Times New Roman" w:eastAsia="Times New Roman" w:cs="Times New Roman"/>
          <w:bCs w:val="1"/>
          <w:i w:val="0"/>
          <w:iCs w:val="0"/>
          <w:noProof w:val="0"/>
          <w:sz w:val="24"/>
          <w:szCs w:val="24"/>
          <w:lang w:val="it-IT"/>
        </w:rPr>
        <w:t>.</w:t>
      </w:r>
      <w:r w:rsidRPr="191420C3" w:rsidR="414CA0B3">
        <w:rPr>
          <w:rFonts w:ascii="Times New Roman" w:hAnsi="Times New Roman" w:eastAsia="Times New Roman" w:cs="Times New Roman"/>
          <w:bCs w:val="1"/>
          <w:i w:val="0"/>
          <w:iCs w:val="0"/>
          <w:noProof w:val="0"/>
          <w:sz w:val="24"/>
          <w:szCs w:val="24"/>
          <w:lang w:val="it-IT"/>
        </w:rPr>
        <w:t xml:space="preserve"> </w:t>
      </w:r>
    </w:p>
    <w:p w:rsidR="298A1836" w:rsidP="191420C3" w:rsidRDefault="298A1836" w14:paraId="5E33D3BF" w14:textId="3A81B859">
      <w:pPr>
        <w:pStyle w:val="Normal"/>
        <w:spacing w:before="0" w:beforeAutospacing="off" w:line="240" w:lineRule="auto"/>
        <w:ind w:firstLine="0"/>
        <w:jc w:val="center"/>
        <w:rPr>
          <w:rFonts w:ascii="Times New Roman" w:hAnsi="Times New Roman" w:eastAsia="Times New Roman" w:cs="Times New Roman"/>
          <w:b w:val="1"/>
          <w:bCs w:val="1"/>
          <w:i w:val="0"/>
          <w:iCs w:val="0"/>
          <w:noProof w:val="0"/>
          <w:sz w:val="24"/>
          <w:szCs w:val="24"/>
          <w:lang w:val="it-IT"/>
        </w:rPr>
      </w:pPr>
      <w:r w:rsidR="298A1836">
        <w:rPr>
          <w:rFonts w:ascii="Times New Roman" w:hAnsi="Times New Roman"/>
        </w:rPr>
        <w:drawing>
          <wp:inline wp14:editId="60643BB8" wp14:anchorId="0099462C">
            <wp:extent cx="4486275" cy="5581650"/>
            <wp:effectExtent l="0" t="0" r="0" b="0"/>
            <wp:docPr id="19135793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3579319" name="Picture 1913579319"/>
                    <pic:cNvPicPr/>
                  </pic:nvPicPr>
                  <pic:blipFill>
                    <a:blip xmlns:r="http://schemas.openxmlformats.org/officeDocument/2006/relationships" r:embed="rId1399730100">
                      <a:extLst>
                        <a:ext uri="{28A0092B-C50C-407E-A947-70E740481C1C}">
                          <a14:useLocalDpi xmlns:a14="http://schemas.microsoft.com/office/drawing/2010/main"/>
                        </a:ext>
                      </a:extLst>
                    </a:blip>
                    <a:stretch>
                      <a:fillRect/>
                    </a:stretch>
                  </pic:blipFill>
                  <pic:spPr>
                    <a:xfrm>
                      <a:off x="0" y="0"/>
                      <a:ext cx="4486275" cy="5581650"/>
                    </a:xfrm>
                    <a:prstGeom prst="rect">
                      <a:avLst/>
                    </a:prstGeom>
                  </pic:spPr>
                </pic:pic>
              </a:graphicData>
            </a:graphic>
          </wp:inline>
        </w:drawing>
      </w:r>
    </w:p>
    <w:p w:rsidR="298A1836" w:rsidP="191420C3" w:rsidRDefault="298A1836" w14:paraId="2FC3CF0C" w14:textId="212F6DCD">
      <w:pPr>
        <w:pStyle w:val="Normal"/>
        <w:spacing w:before="0" w:beforeAutospacing="off" w:line="276" w:lineRule="auto"/>
        <w:ind w:firstLine="0"/>
        <w:jc w:val="center"/>
      </w:pPr>
      <w:r w:rsidRPr="191420C3" w:rsidR="298A1836">
        <w:rPr>
          <w:rFonts w:ascii="Times New Roman" w:hAnsi="Times New Roman" w:eastAsia="Times New Roman" w:cs="Times New Roman"/>
          <w:b/>
          <w:bCs w:val="1"/>
          <w:i w:val="0"/>
          <w:iCs w:val="0"/>
          <w:noProof w:val="0"/>
          <w:sz w:val="22"/>
          <w:szCs w:val="24"/>
          <w:lang w:val="it-IT"/>
        </w:rPr>
        <w:t>Fig</w:t>
      </w:r>
      <w:r w:rsidRPr="191420C3" w:rsidR="298A1836">
        <w:rPr>
          <w:rFonts w:ascii="Times New Roman" w:hAnsi="Times New Roman" w:eastAsia="Times New Roman" w:cs="Times New Roman"/>
          <w:b/>
          <w:bCs w:val="1"/>
          <w:i w:val="0"/>
          <w:iCs w:val="0"/>
          <w:noProof w:val="0"/>
          <w:sz w:val="22"/>
          <w:szCs w:val="24"/>
          <w:lang w:val="it-IT"/>
        </w:rPr>
        <w:t xml:space="preserve"> </w:t>
      </w:r>
      <w:r w:rsidRPr="191420C3" w:rsidR="298A1836">
        <w:rPr>
          <w:rFonts w:ascii="Times New Roman" w:hAnsi="Times New Roman" w:eastAsia="Times New Roman" w:cs="Times New Roman"/>
          <w:b/>
          <w:bCs w:val="1"/>
          <w:i w:val="0"/>
          <w:iCs w:val="0"/>
          <w:noProof w:val="0"/>
          <w:sz w:val="22"/>
          <w:szCs w:val="24"/>
          <w:lang w:val="it-IT"/>
        </w:rPr>
        <w:t>4 :</w:t>
      </w:r>
      <w:r w:rsidRPr="191420C3" w:rsidR="298A1836">
        <w:rPr>
          <w:rFonts w:ascii="Times New Roman" w:hAnsi="Times New Roman" w:eastAsia="Times New Roman" w:cs="Times New Roman"/>
          <w:b/>
          <w:bCs w:val="1"/>
          <w:i w:val="0"/>
          <w:iCs w:val="0"/>
          <w:noProof w:val="0"/>
          <w:sz w:val="22"/>
          <w:szCs w:val="24"/>
          <w:lang w:val="it-IT"/>
        </w:rPr>
        <w:t xml:space="preserve"> </w:t>
      </w:r>
      <w:r w:rsidRPr="191420C3" w:rsidR="298A1836">
        <w:rPr>
          <w:rFonts w:ascii="Times New Roman" w:hAnsi="Times New Roman" w:eastAsia="Times New Roman" w:cs="Times New Roman"/>
          <w:b/>
          <w:bCs w:val="1"/>
          <w:i w:val="0"/>
          <w:iCs w:val="0"/>
          <w:noProof w:val="0"/>
          <w:sz w:val="22"/>
          <w:szCs w:val="24"/>
          <w:lang w:val="it-IT"/>
        </w:rPr>
        <w:t>Forensics</w:t>
      </w:r>
      <w:r w:rsidRPr="191420C3" w:rsidR="298A1836">
        <w:rPr>
          <w:rFonts w:ascii="Times New Roman" w:hAnsi="Times New Roman" w:eastAsia="Times New Roman" w:cs="Times New Roman"/>
          <w:b/>
          <w:bCs w:val="1"/>
          <w:i w:val="0"/>
          <w:iCs w:val="0"/>
          <w:noProof w:val="0"/>
          <w:sz w:val="22"/>
          <w:szCs w:val="24"/>
          <w:lang w:val="it-IT"/>
        </w:rPr>
        <w:t xml:space="preserve"> Chain in azione</w:t>
      </w:r>
    </w:p>
    <w:p w:rsidR="4E6833D7" w:rsidP="191420C3" w:rsidRDefault="4E6833D7" w14:paraId="2E2B4130" w14:textId="7FC2A219">
      <w:pPr>
        <w:pStyle w:val="Normal"/>
        <w:spacing w:before="0" w:beforeAutospacing="off" w:line="360" w:lineRule="auto"/>
        <w:ind w:firstLine="567"/>
        <w:jc w:val="both"/>
      </w:pPr>
      <w:r w:rsidRPr="191420C3" w:rsidR="4E6833D7">
        <w:rPr>
          <w:rFonts w:ascii="Times New Roman" w:hAnsi="Times New Roman" w:eastAsia="Times New Roman" w:cs="Times New Roman"/>
          <w:bCs w:val="1"/>
          <w:i w:val="0"/>
          <w:iCs w:val="0"/>
          <w:noProof w:val="0"/>
          <w:sz w:val="24"/>
          <w:szCs w:val="24"/>
          <w:lang w:val="it-IT"/>
        </w:rPr>
        <w:t>Forensic</w:t>
      </w:r>
      <w:r w:rsidRPr="191420C3" w:rsidR="4E6833D7">
        <w:rPr>
          <w:rFonts w:ascii="Times New Roman" w:hAnsi="Times New Roman" w:eastAsia="Times New Roman" w:cs="Times New Roman"/>
          <w:bCs w:val="1"/>
          <w:i w:val="0"/>
          <w:iCs w:val="0"/>
          <w:noProof w:val="0"/>
          <w:sz w:val="24"/>
          <w:szCs w:val="24"/>
          <w:lang w:val="it-IT"/>
        </w:rPr>
        <w:t xml:space="preserve">-Chain, come modello di chain of </w:t>
      </w:r>
      <w:r w:rsidRPr="191420C3" w:rsidR="4E6833D7">
        <w:rPr>
          <w:rFonts w:ascii="Times New Roman" w:hAnsi="Times New Roman" w:eastAsia="Times New Roman" w:cs="Times New Roman"/>
          <w:bCs w:val="1"/>
          <w:i w:val="0"/>
          <w:iCs w:val="0"/>
          <w:noProof w:val="0"/>
          <w:sz w:val="24"/>
          <w:szCs w:val="24"/>
          <w:lang w:val="it-IT"/>
        </w:rPr>
        <w:t>custody</w:t>
      </w:r>
      <w:r w:rsidRPr="191420C3" w:rsidR="4E6833D7">
        <w:rPr>
          <w:rFonts w:ascii="Times New Roman" w:hAnsi="Times New Roman" w:eastAsia="Times New Roman" w:cs="Times New Roman"/>
          <w:bCs w:val="1"/>
          <w:i w:val="0"/>
          <w:iCs w:val="0"/>
          <w:noProof w:val="0"/>
          <w:sz w:val="24"/>
          <w:szCs w:val="24"/>
          <w:lang w:val="it-IT"/>
        </w:rPr>
        <w:t xml:space="preserve"> per la </w:t>
      </w:r>
      <w:r w:rsidRPr="191420C3" w:rsidR="4E6833D7">
        <w:rPr>
          <w:rFonts w:ascii="Times New Roman" w:hAnsi="Times New Roman" w:eastAsia="Times New Roman" w:cs="Times New Roman"/>
          <w:bCs w:val="1"/>
          <w:i w:val="0"/>
          <w:iCs w:val="0"/>
          <w:noProof w:val="0"/>
          <w:sz w:val="24"/>
          <w:szCs w:val="24"/>
          <w:lang w:val="it-IT"/>
        </w:rPr>
        <w:t>digital</w:t>
      </w:r>
      <w:r w:rsidRPr="191420C3" w:rsidR="4E6833D7">
        <w:rPr>
          <w:rFonts w:ascii="Times New Roman" w:hAnsi="Times New Roman" w:eastAsia="Times New Roman" w:cs="Times New Roman"/>
          <w:bCs w:val="1"/>
          <w:i w:val="0"/>
          <w:iCs w:val="0"/>
          <w:noProof w:val="0"/>
          <w:sz w:val="24"/>
          <w:szCs w:val="24"/>
          <w:lang w:val="it-IT"/>
        </w:rPr>
        <w:t xml:space="preserve"> </w:t>
      </w:r>
      <w:r w:rsidRPr="191420C3" w:rsidR="4E6833D7">
        <w:rPr>
          <w:rFonts w:ascii="Times New Roman" w:hAnsi="Times New Roman" w:eastAsia="Times New Roman" w:cs="Times New Roman"/>
          <w:bCs w:val="1"/>
          <w:i w:val="0"/>
          <w:iCs w:val="0"/>
          <w:noProof w:val="0"/>
          <w:sz w:val="24"/>
          <w:szCs w:val="24"/>
          <w:lang w:val="it-IT"/>
        </w:rPr>
        <w:t>forensics</w:t>
      </w:r>
      <w:r w:rsidRPr="191420C3" w:rsidR="4E6833D7">
        <w:rPr>
          <w:rFonts w:ascii="Times New Roman" w:hAnsi="Times New Roman" w:eastAsia="Times New Roman" w:cs="Times New Roman"/>
          <w:bCs w:val="1"/>
          <w:i w:val="0"/>
          <w:iCs w:val="0"/>
          <w:noProof w:val="0"/>
          <w:sz w:val="24"/>
          <w:szCs w:val="24"/>
          <w:lang w:val="it-IT"/>
        </w:rPr>
        <w:t xml:space="preserve"> basato su blockchain, presenta un potenziale significativo per apportare benefici sostanziali alle applicazioni forensi, garantendo integrità,</w:t>
      </w:r>
      <w:r w:rsidRPr="191420C3" w:rsidR="6C63074B">
        <w:rPr>
          <w:rFonts w:ascii="Times New Roman" w:hAnsi="Times New Roman" w:eastAsia="Times New Roman" w:cs="Times New Roman"/>
          <w:bCs w:val="1"/>
          <w:i w:val="0"/>
          <w:iCs w:val="0"/>
          <w:noProof w:val="0"/>
          <w:sz w:val="24"/>
          <w:szCs w:val="24"/>
          <w:lang w:val="it-IT"/>
        </w:rPr>
        <w:t xml:space="preserve"> </w:t>
      </w:r>
      <w:r w:rsidRPr="191420C3" w:rsidR="4E6833D7">
        <w:rPr>
          <w:rFonts w:ascii="Times New Roman" w:hAnsi="Times New Roman" w:eastAsia="Times New Roman" w:cs="Times New Roman"/>
          <w:bCs w:val="1"/>
          <w:i w:val="0"/>
          <w:iCs w:val="0"/>
          <w:noProof w:val="0"/>
          <w:sz w:val="24"/>
          <w:szCs w:val="24"/>
          <w:lang w:val="it-IT"/>
        </w:rPr>
        <w:t xml:space="preserve">trasparenza, autenticità, sicurezza e tracciabilità delle prove </w:t>
      </w:r>
      <w:r w:rsidRPr="191420C3" w:rsidR="4E6833D7">
        <w:rPr>
          <w:rFonts w:ascii="Times New Roman" w:hAnsi="Times New Roman" w:eastAsia="Times New Roman" w:cs="Times New Roman"/>
          <w:bCs w:val="1"/>
          <w:i w:val="0"/>
          <w:iCs w:val="0"/>
          <w:noProof w:val="0"/>
          <w:sz w:val="24"/>
          <w:szCs w:val="24"/>
          <w:lang w:val="it-IT"/>
        </w:rPr>
        <w:t>digitali</w:t>
      </w:r>
      <w:r w:rsidRPr="191420C3" w:rsidR="31767A68">
        <w:rPr>
          <w:rFonts w:ascii="Times New Roman" w:hAnsi="Times New Roman" w:eastAsia="Times New Roman" w:cs="Times New Roman"/>
          <w:bCs w:val="1"/>
          <w:i w:val="0"/>
          <w:iCs w:val="0"/>
          <w:noProof w:val="0"/>
          <w:sz w:val="24"/>
          <w:szCs w:val="24"/>
          <w:lang w:val="it-IT"/>
        </w:rPr>
        <w:t xml:space="preserve"> </w:t>
      </w:r>
      <w:r w:rsidRPr="191420C3">
        <w:rPr>
          <w:rStyle w:val="FootnoteReference"/>
          <w:rFonts w:ascii="Times New Roman" w:hAnsi="Times New Roman" w:eastAsia="Times New Roman" w:cs="Times New Roman"/>
          <w:bCs w:val="1"/>
          <w:i w:val="0"/>
          <w:iCs w:val="0"/>
          <w:noProof w:val="0"/>
          <w:sz w:val="24"/>
          <w:szCs w:val="24"/>
          <w:lang w:val="it-IT"/>
        </w:rPr>
        <w:footnoteReference w:id="32469"/>
      </w:r>
      <w:r w:rsidRPr="191420C3" w:rsidR="4E6833D7">
        <w:rPr>
          <w:rFonts w:ascii="Times New Roman" w:hAnsi="Times New Roman" w:eastAsia="Times New Roman" w:cs="Times New Roman"/>
          <w:bCs w:val="1"/>
          <w:i w:val="0"/>
          <w:iCs w:val="0"/>
          <w:noProof w:val="0"/>
          <w:sz w:val="24"/>
          <w:szCs w:val="24"/>
          <w:lang w:val="it-IT"/>
        </w:rPr>
        <w:t>.</w:t>
      </w:r>
      <w:r w:rsidRPr="191420C3" w:rsidR="61952DED">
        <w:rPr>
          <w:rFonts w:ascii="Times New Roman" w:hAnsi="Times New Roman" w:eastAsia="Times New Roman" w:cs="Times New Roman"/>
          <w:bCs w:val="1"/>
          <w:i w:val="0"/>
          <w:iCs w:val="0"/>
          <w:noProof w:val="0"/>
          <w:sz w:val="24"/>
          <w:szCs w:val="24"/>
          <w:lang w:val="it-IT"/>
        </w:rPr>
        <w:t xml:space="preserve"> </w:t>
      </w:r>
    </w:p>
    <w:p w:rsidR="4E6833D7" w:rsidP="191420C3" w:rsidRDefault="4E6833D7" w14:paraId="26C1FD22" w14:textId="0456C309">
      <w:pPr>
        <w:pStyle w:val="Normal"/>
        <w:spacing w:before="0" w:beforeAutospacing="off" w:line="360" w:lineRule="auto"/>
        <w:ind w:firstLine="567"/>
        <w:jc w:val="both"/>
      </w:pPr>
      <w:r w:rsidRPr="191420C3" w:rsidR="4E6833D7">
        <w:rPr>
          <w:rFonts w:ascii="Times New Roman" w:hAnsi="Times New Roman" w:eastAsia="Times New Roman" w:cs="Times New Roman"/>
          <w:bCs w:val="1"/>
          <w:i w:val="0"/>
          <w:iCs w:val="0"/>
          <w:noProof w:val="0"/>
          <w:sz w:val="24"/>
          <w:szCs w:val="24"/>
          <w:lang w:val="it-IT"/>
        </w:rPr>
        <w:t>Alcuni dei principali vantaggi sono sintetizzati nei seguenti punti:</w:t>
      </w:r>
    </w:p>
    <w:p w:rsidR="3AB098FB" w:rsidP="191420C3" w:rsidRDefault="3AB098FB" w14:paraId="38635F1C" w14:textId="295A5FAB">
      <w:pPr>
        <w:pStyle w:val="Normal"/>
        <w:spacing w:before="0" w:beforeAutospacing="off" w:line="360" w:lineRule="auto"/>
        <w:ind w:firstLine="567"/>
        <w:jc w:val="both"/>
      </w:pPr>
      <w:r w:rsidRPr="191420C3" w:rsidR="3AB098FB">
        <w:rPr>
          <w:rFonts w:ascii="Times New Roman" w:hAnsi="Times New Roman" w:eastAsia="Times New Roman" w:cs="Times New Roman"/>
          <w:bCs w:val="1"/>
          <w:i w:val="0"/>
          <w:iCs w:val="0"/>
          <w:noProof w:val="0"/>
          <w:sz w:val="24"/>
          <w:szCs w:val="24"/>
          <w:lang w:val="it-IT"/>
        </w:rPr>
        <w:t xml:space="preserve">1 </w:t>
      </w:r>
      <w:r w:rsidRPr="191420C3" w:rsidR="3AB098FB">
        <w:rPr>
          <w:rFonts w:ascii="Times New Roman" w:hAnsi="Times New Roman" w:eastAsia="Times New Roman" w:cs="Times New Roman"/>
          <w:bCs w:val="1"/>
          <w:i w:val="0"/>
          <w:iCs w:val="0"/>
          <w:noProof w:val="0"/>
          <w:sz w:val="24"/>
          <w:szCs w:val="24"/>
          <w:lang w:val="it-IT"/>
        </w:rPr>
        <w:t xml:space="preserve">- </w:t>
      </w:r>
      <w:r w:rsidRPr="191420C3" w:rsidR="4E6833D7">
        <w:rPr>
          <w:rFonts w:ascii="Times New Roman" w:hAnsi="Times New Roman" w:eastAsia="Times New Roman" w:cs="Times New Roman"/>
          <w:bCs w:val="1"/>
          <w:i w:val="0"/>
          <w:iCs w:val="0"/>
          <w:noProof w:val="0"/>
          <w:sz w:val="24"/>
          <w:szCs w:val="24"/>
          <w:lang w:val="it-IT"/>
        </w:rPr>
        <w:t xml:space="preserve"> La</w:t>
      </w:r>
      <w:r w:rsidRPr="191420C3" w:rsidR="4E6833D7">
        <w:rPr>
          <w:rFonts w:ascii="Times New Roman" w:hAnsi="Times New Roman" w:eastAsia="Times New Roman" w:cs="Times New Roman"/>
          <w:bCs w:val="1"/>
          <w:i w:val="0"/>
          <w:iCs w:val="0"/>
          <w:noProof w:val="0"/>
          <w:sz w:val="24"/>
          <w:szCs w:val="24"/>
          <w:lang w:val="it-IT"/>
        </w:rPr>
        <w:t xml:space="preserve"> raccolta, la conservazione e la validazione delle prove possono essere rafforzate grazie all’adozione di </w:t>
      </w:r>
      <w:r w:rsidRPr="191420C3" w:rsidR="4E6833D7">
        <w:rPr>
          <w:rFonts w:ascii="Times New Roman" w:hAnsi="Times New Roman" w:eastAsia="Times New Roman" w:cs="Times New Roman"/>
          <w:bCs w:val="1"/>
          <w:i w:val="0"/>
          <w:iCs w:val="0"/>
          <w:noProof w:val="0"/>
          <w:sz w:val="24"/>
          <w:szCs w:val="24"/>
          <w:lang w:val="it-IT"/>
        </w:rPr>
        <w:t>Forensic</w:t>
      </w:r>
      <w:r w:rsidRPr="191420C3" w:rsidR="4E6833D7">
        <w:rPr>
          <w:rFonts w:ascii="Times New Roman" w:hAnsi="Times New Roman" w:eastAsia="Times New Roman" w:cs="Times New Roman"/>
          <w:bCs w:val="1"/>
          <w:i w:val="0"/>
          <w:iCs w:val="0"/>
          <w:noProof w:val="0"/>
          <w:sz w:val="24"/>
          <w:szCs w:val="24"/>
          <w:lang w:val="it-IT"/>
        </w:rPr>
        <w:t>-Chain.</w:t>
      </w:r>
    </w:p>
    <w:p w:rsidR="2D0CCF85" w:rsidP="191420C3" w:rsidRDefault="2D0CCF85" w14:paraId="59B14A16" w14:textId="47FD7E3C">
      <w:pPr>
        <w:pStyle w:val="Normal"/>
        <w:spacing w:before="0" w:beforeAutospacing="off" w:line="360" w:lineRule="auto"/>
        <w:ind w:firstLine="567"/>
        <w:jc w:val="both"/>
      </w:pPr>
      <w:r w:rsidRPr="191420C3" w:rsidR="2D0CCF85">
        <w:rPr>
          <w:rFonts w:ascii="Times New Roman" w:hAnsi="Times New Roman" w:eastAsia="Times New Roman" w:cs="Times New Roman"/>
          <w:bCs w:val="1"/>
          <w:i w:val="0"/>
          <w:iCs w:val="0"/>
          <w:noProof w:val="0"/>
          <w:sz w:val="24"/>
          <w:szCs w:val="24"/>
          <w:lang w:val="it-IT"/>
        </w:rPr>
        <w:t xml:space="preserve">2 - </w:t>
      </w:r>
      <w:r w:rsidRPr="191420C3" w:rsidR="4E6833D7">
        <w:rPr>
          <w:rFonts w:ascii="Times New Roman" w:hAnsi="Times New Roman" w:eastAsia="Times New Roman" w:cs="Times New Roman"/>
          <w:bCs w:val="1"/>
          <w:i w:val="0"/>
          <w:iCs w:val="0"/>
          <w:noProof w:val="0"/>
          <w:sz w:val="24"/>
          <w:szCs w:val="24"/>
          <w:lang w:val="it-IT"/>
        </w:rPr>
        <w:t>La provenienza di qualsiasi evento o azione può essere ricostruita risalendo al punto in cui è originariamente entrata nel processo.</w:t>
      </w:r>
    </w:p>
    <w:p w:rsidR="711A2BAF" w:rsidP="191420C3" w:rsidRDefault="711A2BAF" w14:paraId="63AF6E21" w14:textId="7966F904">
      <w:pPr>
        <w:pStyle w:val="Normal"/>
        <w:spacing w:before="0" w:beforeAutospacing="off" w:line="360" w:lineRule="auto"/>
        <w:ind w:firstLine="567"/>
        <w:jc w:val="both"/>
      </w:pPr>
      <w:r w:rsidRPr="191420C3" w:rsidR="711A2BAF">
        <w:rPr>
          <w:rFonts w:ascii="Times New Roman" w:hAnsi="Times New Roman" w:eastAsia="Times New Roman" w:cs="Times New Roman"/>
          <w:bCs w:val="1"/>
          <w:i w:val="0"/>
          <w:iCs w:val="0"/>
          <w:noProof w:val="0"/>
          <w:sz w:val="24"/>
          <w:szCs w:val="24"/>
          <w:lang w:val="it-IT"/>
        </w:rPr>
        <w:t xml:space="preserve">3 - </w:t>
      </w:r>
      <w:r w:rsidRPr="191420C3" w:rsidR="4E6833D7">
        <w:rPr>
          <w:rFonts w:ascii="Times New Roman" w:hAnsi="Times New Roman" w:eastAsia="Times New Roman" w:cs="Times New Roman"/>
          <w:bCs w:val="1"/>
          <w:i w:val="0"/>
          <w:iCs w:val="0"/>
          <w:noProof w:val="0"/>
          <w:sz w:val="24"/>
          <w:szCs w:val="24"/>
          <w:lang w:val="it-IT"/>
        </w:rPr>
        <w:t>Forensic</w:t>
      </w:r>
      <w:r w:rsidRPr="191420C3" w:rsidR="4E6833D7">
        <w:rPr>
          <w:rFonts w:ascii="Times New Roman" w:hAnsi="Times New Roman" w:eastAsia="Times New Roman" w:cs="Times New Roman"/>
          <w:bCs w:val="1"/>
          <w:i w:val="0"/>
          <w:iCs w:val="0"/>
          <w:noProof w:val="0"/>
          <w:sz w:val="24"/>
          <w:szCs w:val="24"/>
          <w:lang w:val="it-IT"/>
        </w:rPr>
        <w:t>-Chain contribuisce a migliorare l’efficienza delle transazioni e a ridurre i costi di alcune tipologie di operazioni, grazie alla maggiore trasparenza che elimina la necessità di un terzo di fiducia per la validazione di determinate pretese o trasferimenti di prova, sostituendola con un consenso basato su un “</w:t>
      </w:r>
      <w:r w:rsidRPr="191420C3" w:rsidR="4E6833D7">
        <w:rPr>
          <w:rFonts w:ascii="Times New Roman" w:hAnsi="Times New Roman" w:eastAsia="Times New Roman" w:cs="Times New Roman"/>
          <w:bCs w:val="1"/>
          <w:i w:val="0"/>
          <w:iCs w:val="0"/>
          <w:noProof w:val="0"/>
          <w:sz w:val="24"/>
          <w:szCs w:val="24"/>
          <w:lang w:val="it-IT"/>
        </w:rPr>
        <w:t>Proof</w:t>
      </w:r>
      <w:r w:rsidRPr="191420C3" w:rsidR="4E6833D7">
        <w:rPr>
          <w:rFonts w:ascii="Times New Roman" w:hAnsi="Times New Roman" w:eastAsia="Times New Roman" w:cs="Times New Roman"/>
          <w:bCs w:val="1"/>
          <w:i w:val="0"/>
          <w:iCs w:val="0"/>
          <w:noProof w:val="0"/>
          <w:sz w:val="24"/>
          <w:szCs w:val="24"/>
          <w:lang w:val="it-IT"/>
        </w:rPr>
        <w:t xml:space="preserve"> of Trust” e aumentando la fiducia tra le parti </w:t>
      </w:r>
      <w:r w:rsidRPr="191420C3" w:rsidR="4E6833D7">
        <w:rPr>
          <w:rFonts w:ascii="Times New Roman" w:hAnsi="Times New Roman" w:eastAsia="Times New Roman" w:cs="Times New Roman"/>
          <w:bCs w:val="1"/>
          <w:i w:val="0"/>
          <w:iCs w:val="0"/>
          <w:noProof w:val="0"/>
          <w:sz w:val="24"/>
          <w:szCs w:val="24"/>
          <w:lang w:val="it-IT"/>
        </w:rPr>
        <w:t>comunicanti</w:t>
      </w:r>
      <w:r w:rsidRPr="191420C3" w:rsidR="015598C2">
        <w:rPr>
          <w:rFonts w:ascii="Times New Roman" w:hAnsi="Times New Roman" w:eastAsia="Times New Roman" w:cs="Times New Roman"/>
          <w:bCs w:val="1"/>
          <w:i w:val="0"/>
          <w:iCs w:val="0"/>
          <w:noProof w:val="0"/>
          <w:sz w:val="24"/>
          <w:szCs w:val="24"/>
          <w:lang w:val="it-IT"/>
        </w:rPr>
        <w:t xml:space="preserve"> </w:t>
      </w:r>
      <w:r w:rsidRPr="191420C3">
        <w:rPr>
          <w:rStyle w:val="FootnoteReference"/>
          <w:rFonts w:ascii="Times New Roman" w:hAnsi="Times New Roman" w:eastAsia="Times New Roman" w:cs="Times New Roman"/>
          <w:bCs w:val="1"/>
          <w:i w:val="0"/>
          <w:iCs w:val="0"/>
          <w:noProof w:val="0"/>
          <w:sz w:val="24"/>
          <w:szCs w:val="24"/>
          <w:lang w:val="it-IT"/>
        </w:rPr>
        <w:footnoteReference w:id="24141"/>
      </w:r>
      <w:r w:rsidRPr="191420C3" w:rsidR="4E6833D7">
        <w:rPr>
          <w:rFonts w:ascii="Times New Roman" w:hAnsi="Times New Roman" w:eastAsia="Times New Roman" w:cs="Times New Roman"/>
          <w:bCs w:val="1"/>
          <w:i w:val="0"/>
          <w:iCs w:val="0"/>
          <w:noProof w:val="0"/>
          <w:sz w:val="24"/>
          <w:szCs w:val="24"/>
          <w:lang w:val="it-IT"/>
        </w:rPr>
        <w:t>.</w:t>
      </w:r>
    </w:p>
    <w:p w:rsidR="4E6833D7" w:rsidP="191420C3" w:rsidRDefault="4E6833D7" w14:paraId="19DEF236" w14:textId="11DF7FBD">
      <w:pPr>
        <w:pStyle w:val="Normal"/>
        <w:spacing w:before="0" w:beforeAutospacing="off" w:line="360" w:lineRule="auto"/>
        <w:ind w:firstLine="567"/>
        <w:jc w:val="both"/>
      </w:pPr>
      <w:r w:rsidRPr="191420C3" w:rsidR="4E6833D7">
        <w:rPr>
          <w:rFonts w:ascii="Times New Roman" w:hAnsi="Times New Roman" w:eastAsia="Times New Roman" w:cs="Times New Roman"/>
          <w:bCs w:val="1"/>
          <w:i w:val="0"/>
          <w:iCs w:val="0"/>
          <w:noProof w:val="0"/>
          <w:sz w:val="24"/>
          <w:szCs w:val="24"/>
          <w:lang w:val="it-IT"/>
        </w:rPr>
        <w:t xml:space="preserve"> </w:t>
      </w:r>
      <w:r w:rsidRPr="191420C3" w:rsidR="4F3EFC4E">
        <w:rPr>
          <w:rFonts w:ascii="Times New Roman" w:hAnsi="Times New Roman" w:eastAsia="Times New Roman" w:cs="Times New Roman"/>
          <w:bCs w:val="1"/>
          <w:i w:val="0"/>
          <w:iCs w:val="0"/>
          <w:noProof w:val="0"/>
          <w:sz w:val="24"/>
          <w:szCs w:val="24"/>
          <w:lang w:val="it-IT"/>
        </w:rPr>
        <w:t xml:space="preserve">4 - </w:t>
      </w:r>
      <w:r w:rsidRPr="191420C3" w:rsidR="4F3EFC4E">
        <w:rPr>
          <w:rFonts w:ascii="Times New Roman" w:hAnsi="Times New Roman" w:eastAsia="Times New Roman" w:cs="Times New Roman"/>
          <w:bCs w:val="1"/>
          <w:i w:val="0"/>
          <w:iCs w:val="0"/>
          <w:noProof w:val="0"/>
          <w:sz w:val="24"/>
          <w:szCs w:val="24"/>
          <w:lang w:val="it-IT"/>
        </w:rPr>
        <w:t>Si</w:t>
      </w:r>
      <w:r w:rsidRPr="191420C3" w:rsidR="4E6833D7">
        <w:rPr>
          <w:rFonts w:ascii="Times New Roman" w:hAnsi="Times New Roman" w:eastAsia="Times New Roman" w:cs="Times New Roman"/>
          <w:bCs w:val="1"/>
          <w:i w:val="0"/>
          <w:iCs w:val="0"/>
          <w:noProof w:val="0"/>
          <w:sz w:val="24"/>
          <w:szCs w:val="24"/>
          <w:lang w:val="it-IT"/>
        </w:rPr>
        <w:t xml:space="preserve"> </w:t>
      </w:r>
      <w:r w:rsidRPr="191420C3" w:rsidR="3B4545AF">
        <w:rPr>
          <w:rFonts w:ascii="Times New Roman" w:hAnsi="Times New Roman" w:eastAsia="Times New Roman" w:cs="Times New Roman"/>
          <w:bCs w:val="1"/>
          <w:i w:val="0"/>
          <w:iCs w:val="0"/>
          <w:noProof w:val="0"/>
          <w:sz w:val="24"/>
          <w:szCs w:val="24"/>
          <w:lang w:val="it-IT"/>
        </w:rPr>
        <w:t xml:space="preserve">registra </w:t>
      </w:r>
      <w:r w:rsidRPr="191420C3" w:rsidR="4E6833D7">
        <w:rPr>
          <w:rFonts w:ascii="Times New Roman" w:hAnsi="Times New Roman" w:eastAsia="Times New Roman" w:cs="Times New Roman"/>
          <w:bCs w:val="1"/>
          <w:i w:val="0"/>
          <w:iCs w:val="0"/>
          <w:noProof w:val="0"/>
          <w:sz w:val="24"/>
          <w:szCs w:val="24"/>
          <w:lang w:val="it-IT"/>
        </w:rPr>
        <w:t>una riduzione dei fenomeni di frode, in virtù della maggiore</w:t>
      </w:r>
      <w:r w:rsidRPr="191420C3" w:rsidR="06479552">
        <w:rPr>
          <w:rFonts w:ascii="Times New Roman" w:hAnsi="Times New Roman" w:eastAsia="Times New Roman" w:cs="Times New Roman"/>
          <w:bCs w:val="1"/>
          <w:i w:val="0"/>
          <w:iCs w:val="0"/>
          <w:noProof w:val="0"/>
          <w:sz w:val="24"/>
          <w:szCs w:val="24"/>
          <w:lang w:val="it-IT"/>
        </w:rPr>
        <w:t xml:space="preserve"> </w:t>
      </w:r>
      <w:r w:rsidRPr="191420C3" w:rsidR="4E6833D7">
        <w:rPr>
          <w:rFonts w:ascii="Times New Roman" w:hAnsi="Times New Roman" w:eastAsia="Times New Roman" w:cs="Times New Roman"/>
          <w:bCs w:val="1"/>
          <w:i w:val="0"/>
          <w:iCs w:val="0"/>
          <w:noProof w:val="0"/>
          <w:sz w:val="24"/>
          <w:szCs w:val="24"/>
          <w:lang w:val="it-IT"/>
        </w:rPr>
        <w:t xml:space="preserve">trasparenza dell’audit </w:t>
      </w:r>
      <w:r w:rsidRPr="191420C3" w:rsidR="4E6833D7">
        <w:rPr>
          <w:rFonts w:ascii="Times New Roman" w:hAnsi="Times New Roman" w:eastAsia="Times New Roman" w:cs="Times New Roman"/>
          <w:bCs w:val="1"/>
          <w:i w:val="0"/>
          <w:iCs w:val="0"/>
          <w:noProof w:val="0"/>
          <w:sz w:val="24"/>
          <w:szCs w:val="24"/>
          <w:lang w:val="it-IT"/>
        </w:rPr>
        <w:t>trail</w:t>
      </w:r>
      <w:r w:rsidRPr="191420C3" w:rsidR="4E6833D7">
        <w:rPr>
          <w:rFonts w:ascii="Times New Roman" w:hAnsi="Times New Roman" w:eastAsia="Times New Roman" w:cs="Times New Roman"/>
          <w:bCs w:val="1"/>
          <w:i w:val="0"/>
          <w:iCs w:val="0"/>
          <w:noProof w:val="0"/>
          <w:sz w:val="24"/>
          <w:szCs w:val="24"/>
          <w:lang w:val="it-IT"/>
        </w:rPr>
        <w:t>.</w:t>
      </w:r>
    </w:p>
    <w:p w:rsidR="07EBB41A" w:rsidP="191420C3" w:rsidRDefault="07EBB41A" w14:paraId="05369945" w14:textId="17EC4D7F">
      <w:pPr>
        <w:pStyle w:val="Normal"/>
        <w:spacing w:before="0" w:beforeAutospacing="off" w:line="360" w:lineRule="auto"/>
        <w:ind w:firstLine="567"/>
        <w:jc w:val="both"/>
      </w:pPr>
      <w:r w:rsidRPr="191420C3" w:rsidR="07EBB41A">
        <w:rPr>
          <w:rFonts w:ascii="Times New Roman" w:hAnsi="Times New Roman" w:eastAsia="Times New Roman" w:cs="Times New Roman"/>
          <w:bCs w:val="1"/>
          <w:i w:val="0"/>
          <w:iCs w:val="0"/>
          <w:noProof w:val="0"/>
          <w:sz w:val="24"/>
          <w:szCs w:val="24"/>
          <w:lang w:val="it-IT"/>
        </w:rPr>
        <w:t xml:space="preserve">5 - </w:t>
      </w:r>
      <w:r w:rsidRPr="191420C3" w:rsidR="4E6833D7">
        <w:rPr>
          <w:rFonts w:ascii="Times New Roman" w:hAnsi="Times New Roman" w:eastAsia="Times New Roman" w:cs="Times New Roman"/>
          <w:bCs w:val="1"/>
          <w:i w:val="0"/>
          <w:iCs w:val="0"/>
          <w:noProof w:val="0"/>
          <w:sz w:val="24"/>
          <w:szCs w:val="24"/>
          <w:lang w:val="it-IT"/>
        </w:rPr>
        <w:t>Forensic</w:t>
      </w:r>
      <w:r w:rsidRPr="191420C3" w:rsidR="4E6833D7">
        <w:rPr>
          <w:rFonts w:ascii="Times New Roman" w:hAnsi="Times New Roman" w:eastAsia="Times New Roman" w:cs="Times New Roman"/>
          <w:bCs w:val="1"/>
          <w:i w:val="0"/>
          <w:iCs w:val="0"/>
          <w:noProof w:val="0"/>
          <w:sz w:val="24"/>
          <w:szCs w:val="24"/>
          <w:lang w:val="it-IT"/>
        </w:rPr>
        <w:t>-Chain consente alle organizzazioni di incorporare una verifica dell’evento o dell’azione direttamente nel record della prova, garantendo così una prova consolidata e continua, accessibile e verificabile</w:t>
      </w:r>
      <w:r w:rsidRPr="191420C3" w:rsidR="4BD33CC5">
        <w:rPr>
          <w:rFonts w:ascii="Times New Roman" w:hAnsi="Times New Roman" w:eastAsia="Times New Roman" w:cs="Times New Roman"/>
          <w:bCs w:val="1"/>
          <w:i w:val="0"/>
          <w:iCs w:val="0"/>
          <w:noProof w:val="0"/>
          <w:sz w:val="24"/>
          <w:szCs w:val="24"/>
          <w:lang w:val="it-IT"/>
        </w:rPr>
        <w:t xml:space="preserve"> </w:t>
      </w:r>
      <w:r w:rsidRPr="191420C3">
        <w:rPr>
          <w:rStyle w:val="FootnoteReference"/>
          <w:rFonts w:ascii="Times New Roman" w:hAnsi="Times New Roman" w:eastAsia="Times New Roman" w:cs="Times New Roman"/>
          <w:bCs w:val="1"/>
          <w:i w:val="0"/>
          <w:iCs w:val="0"/>
          <w:noProof w:val="0"/>
          <w:sz w:val="24"/>
          <w:szCs w:val="24"/>
          <w:lang w:val="it-IT"/>
        </w:rPr>
        <w:footnoteReference w:id="30471"/>
      </w:r>
      <w:r w:rsidRPr="191420C3" w:rsidR="4E6833D7">
        <w:rPr>
          <w:rFonts w:ascii="Times New Roman" w:hAnsi="Times New Roman" w:eastAsia="Times New Roman" w:cs="Times New Roman"/>
          <w:bCs w:val="1"/>
          <w:i w:val="0"/>
          <w:iCs w:val="0"/>
          <w:noProof w:val="0"/>
          <w:sz w:val="24"/>
          <w:szCs w:val="24"/>
          <w:lang w:val="it-IT"/>
        </w:rPr>
        <w:t>.</w:t>
      </w:r>
    </w:p>
    <w:p w:rsidR="44224BB2" w:rsidP="7AF0079F" w:rsidRDefault="44224BB2" w14:paraId="694B71B6" w14:textId="6537ACC3">
      <w:pPr>
        <w:pStyle w:val="Normal"/>
        <w:spacing w:before="0" w:beforeAutospacing="off" w:line="360" w:lineRule="auto"/>
        <w:ind w:firstLine="0"/>
      </w:pPr>
    </w:p>
    <w:p w:rsidR="44224BB2" w:rsidP="7AF0079F" w:rsidRDefault="44224BB2" w14:paraId="396D2942" w14:textId="055FF835">
      <w:pPr>
        <w:spacing w:before="0" w:beforeAutospacing="off" w:line="360" w:lineRule="auto"/>
        <w:ind w:firstLine="0"/>
        <w:rPr>
          <w:rFonts w:ascii="Times New Roman" w:hAnsi="Times New Roman" w:eastAsia="Times New Roman" w:cs="Times New Roman"/>
          <w:b w:val="1"/>
          <w:bCs w:val="1"/>
          <w:i w:val="0"/>
          <w:iCs w:val="0"/>
          <w:noProof w:val="0"/>
          <w:sz w:val="24"/>
          <w:szCs w:val="24"/>
          <w:lang w:val="it-IT"/>
        </w:rPr>
      </w:pPr>
    </w:p>
    <w:p w:rsidR="44224BB2" w:rsidP="25F680F2" w:rsidRDefault="44224BB2" w14:paraId="65ED104D" w14:textId="0B231478">
      <w:pPr>
        <w:spacing w:before="0" w:beforeAutospacing="off" w:line="360" w:lineRule="auto"/>
        <w:ind w:firstLine="0"/>
        <w:jc w:val="left"/>
      </w:pPr>
      <w:r w:rsidRPr="4CFA692C" w:rsidR="275BE2B3">
        <w:rPr>
          <w:rFonts w:ascii="Times New Roman" w:hAnsi="Times New Roman" w:eastAsia="Times New Roman" w:cs="Times New Roman"/>
          <w:b/>
          <w:bCs w:val="1"/>
          <w:i w:val="0"/>
          <w:iCs w:val="0"/>
          <w:noProof w:val="0"/>
          <w:sz w:val="24"/>
          <w:szCs w:val="24"/>
          <w:lang w:val="it-IT"/>
        </w:rPr>
        <w:t xml:space="preserve">4.2 Riconoscimento da Parte del Nostro Ordinamento Giuridico (D.L. </w:t>
      </w:r>
      <w:r w:rsidRPr="4CFA692C" w:rsidR="6502F2B4">
        <w:rPr>
          <w:rFonts w:ascii="Times New Roman" w:hAnsi="Times New Roman" w:eastAsia="Times New Roman" w:cs="Times New Roman"/>
          <w:b/>
          <w:bCs w:val="1"/>
          <w:i w:val="0"/>
          <w:iCs w:val="0"/>
          <w:noProof w:val="0"/>
          <w:sz w:val="24"/>
          <w:szCs w:val="24"/>
          <w:lang w:val="it-IT"/>
        </w:rPr>
        <w:t>Semplificazioni)</w:t>
      </w:r>
    </w:p>
    <w:p w:rsidR="62545789" w:rsidP="4CFA692C" w:rsidRDefault="62545789" w14:paraId="3104A093" w14:textId="17D5F9E2">
      <w:pPr>
        <w:spacing w:before="0" w:beforeAutospacing="off" w:line="360" w:lineRule="auto"/>
        <w:ind w:firstLine="0"/>
        <w:jc w:val="left"/>
        <w:rPr>
          <w:rFonts w:ascii="Times New Roman" w:hAnsi="Times New Roman" w:eastAsia="Times New Roman" w:cs="Times New Roman"/>
          <w:b w:val="1"/>
          <w:bCs w:val="1"/>
          <w:i w:val="0"/>
          <w:iCs w:val="0"/>
          <w:noProof w:val="0"/>
          <w:sz w:val="24"/>
          <w:szCs w:val="24"/>
          <w:lang w:val="it-IT"/>
        </w:rPr>
      </w:pPr>
    </w:p>
    <w:p w:rsidR="62545789" w:rsidP="4CFA692C" w:rsidRDefault="62545789" w14:paraId="1AFEB743" w14:textId="26B0E702">
      <w:pPr>
        <w:spacing w:before="0" w:beforeAutospacing="off" w:line="360" w:lineRule="auto"/>
        <w:ind w:firstLine="567"/>
        <w:jc w:val="both"/>
      </w:pPr>
      <w:r w:rsidRPr="6C58947D" w:rsidR="52942BA1">
        <w:rPr>
          <w:rFonts w:ascii="Times New Roman" w:hAnsi="Times New Roman" w:eastAsia="Times New Roman" w:cs="Times New Roman"/>
          <w:b w:val="0"/>
          <w:bCs w:val="0"/>
          <w:i w:val="0"/>
          <w:iCs w:val="0"/>
          <w:noProof w:val="0"/>
          <w:sz w:val="24"/>
          <w:szCs w:val="24"/>
          <w:lang w:val="it-IT"/>
        </w:rPr>
        <w:t xml:space="preserve">A livello nazionale, con il </w:t>
      </w:r>
      <w:r w:rsidRPr="6C58947D" w:rsidR="52942BA1">
        <w:rPr>
          <w:rFonts w:ascii="Times New Roman" w:hAnsi="Times New Roman" w:eastAsia="Times New Roman" w:cs="Times New Roman"/>
          <w:b w:val="0"/>
          <w:bCs w:val="0"/>
          <w:i w:val="0"/>
          <w:iCs w:val="0"/>
          <w:noProof w:val="0"/>
          <w:sz w:val="24"/>
          <w:szCs w:val="24"/>
          <w:lang w:val="it-IT"/>
        </w:rPr>
        <w:t>d.l.</w:t>
      </w:r>
      <w:r w:rsidRPr="6C58947D" w:rsidR="52942BA1">
        <w:rPr>
          <w:rFonts w:ascii="Times New Roman" w:hAnsi="Times New Roman" w:eastAsia="Times New Roman" w:cs="Times New Roman"/>
          <w:b w:val="0"/>
          <w:bCs w:val="0"/>
          <w:i w:val="0"/>
          <w:iCs w:val="0"/>
          <w:noProof w:val="0"/>
          <w:sz w:val="24"/>
          <w:szCs w:val="24"/>
          <w:lang w:val="it-IT"/>
        </w:rPr>
        <w:t xml:space="preserve"> n. 135/2018, convertito con modificazioni dalla l. n.</w:t>
      </w:r>
      <w:r w:rsidRPr="6C58947D" w:rsidR="52942BA1">
        <w:rPr>
          <w:rFonts w:ascii="Times New Roman" w:hAnsi="Times New Roman" w:eastAsia="Times New Roman" w:cs="Times New Roman"/>
          <w:b w:val="0"/>
          <w:bCs w:val="0"/>
          <w:i w:val="0"/>
          <w:iCs w:val="0"/>
          <w:noProof w:val="0"/>
          <w:sz w:val="24"/>
          <w:szCs w:val="24"/>
          <w:lang w:val="it-IT"/>
        </w:rPr>
        <w:t xml:space="preserve">36/2019, viene per la prima volta disciplinata la tecnologia basata su registri distribuiti “blockchain” e il correlato fenomeno degli smart </w:t>
      </w:r>
      <w:r w:rsidRPr="6C58947D" w:rsidR="52942BA1">
        <w:rPr>
          <w:rFonts w:ascii="Times New Roman" w:hAnsi="Times New Roman" w:eastAsia="Times New Roman" w:cs="Times New Roman"/>
          <w:b w:val="0"/>
          <w:bCs w:val="0"/>
          <w:i w:val="0"/>
          <w:iCs w:val="0"/>
          <w:noProof w:val="0"/>
          <w:sz w:val="24"/>
          <w:szCs w:val="24"/>
          <w:lang w:val="it-IT"/>
        </w:rPr>
        <w:t>contract</w:t>
      </w:r>
      <w:r w:rsidRPr="6C58947D" w:rsidR="52942BA1">
        <w:rPr>
          <w:rFonts w:ascii="Times New Roman" w:hAnsi="Times New Roman" w:eastAsia="Times New Roman" w:cs="Times New Roman"/>
          <w:b w:val="0"/>
          <w:bCs w:val="0"/>
          <w:i w:val="0"/>
          <w:iCs w:val="0"/>
          <w:noProof w:val="0"/>
          <w:sz w:val="24"/>
          <w:szCs w:val="24"/>
          <w:lang w:val="it-IT"/>
        </w:rPr>
        <w:t xml:space="preserve">. </w:t>
      </w:r>
      <w:r w:rsidRPr="6C58947D" w:rsidR="105A69BB">
        <w:rPr>
          <w:rFonts w:ascii="Times New Roman" w:hAnsi="Times New Roman" w:eastAsia="Times New Roman" w:cs="Times New Roman"/>
          <w:b w:val="0"/>
          <w:bCs w:val="0"/>
          <w:i w:val="0"/>
          <w:iCs w:val="0"/>
          <w:noProof w:val="0"/>
          <w:sz w:val="24"/>
          <w:szCs w:val="24"/>
          <w:lang w:val="it-IT"/>
        </w:rPr>
        <w:t xml:space="preserve">Il quadro normativo italiano ha recepito formalmente i moduli tecnologici decentralizzati attraverso il D.L. 14 dicembre 2018, n. 135 (noto come Decreto Semplificazioni), successivamente convertito con modifiche nella Legge n. 12/2019. In particolare, l'introduzione dell'articolo 8-ter ha sancito l'ingresso ufficiale nel nostro sistema giuridico delle nozioni di "smart </w:t>
      </w:r>
      <w:r w:rsidRPr="6C58947D" w:rsidR="105A69BB">
        <w:rPr>
          <w:rFonts w:ascii="Times New Roman" w:hAnsi="Times New Roman" w:eastAsia="Times New Roman" w:cs="Times New Roman"/>
          <w:b w:val="0"/>
          <w:bCs w:val="0"/>
          <w:i w:val="0"/>
          <w:iCs w:val="0"/>
          <w:noProof w:val="0"/>
          <w:sz w:val="24"/>
          <w:szCs w:val="24"/>
          <w:lang w:val="it-IT"/>
        </w:rPr>
        <w:t>contract</w:t>
      </w:r>
      <w:r w:rsidRPr="6C58947D" w:rsidR="105A69BB">
        <w:rPr>
          <w:rFonts w:ascii="Times New Roman" w:hAnsi="Times New Roman" w:eastAsia="Times New Roman" w:cs="Times New Roman"/>
          <w:b w:val="0"/>
          <w:bCs w:val="0"/>
          <w:i w:val="0"/>
          <w:iCs w:val="0"/>
          <w:noProof w:val="0"/>
          <w:sz w:val="24"/>
          <w:szCs w:val="24"/>
          <w:lang w:val="it-IT"/>
        </w:rPr>
        <w:t>" e di "tecnologie basate su registri distribuiti", espressione che identifica la blockchain nel lessico computazionale</w:t>
      </w:r>
      <w:r w:rsidRPr="6C58947D">
        <w:rPr>
          <w:rStyle w:val="FootnoteReference"/>
          <w:rFonts w:ascii="Times New Roman" w:hAnsi="Times New Roman" w:eastAsia="Times New Roman" w:cs="Times New Roman"/>
          <w:b w:val="0"/>
          <w:bCs w:val="0"/>
          <w:i w:val="0"/>
          <w:iCs w:val="0"/>
          <w:noProof w:val="0"/>
          <w:sz w:val="24"/>
          <w:szCs w:val="24"/>
          <w:lang w:val="it-IT"/>
        </w:rPr>
        <w:footnoteReference w:id="14821"/>
      </w:r>
      <w:r w:rsidRPr="6C58947D" w:rsidR="105A69BB">
        <w:rPr>
          <w:rFonts w:ascii="Times New Roman" w:hAnsi="Times New Roman" w:eastAsia="Times New Roman" w:cs="Times New Roman"/>
          <w:b w:val="0"/>
          <w:bCs w:val="0"/>
          <w:i w:val="0"/>
          <w:iCs w:val="0"/>
          <w:noProof w:val="0"/>
          <w:sz w:val="24"/>
          <w:szCs w:val="24"/>
          <w:lang w:val="it-IT"/>
        </w:rPr>
        <w:t xml:space="preserve">. Il legislatore non si è limitato a una mera categorizzazione dogmatica, ma ha definito con precisione la rilevanza e gli effetti legali derivanti dall'impiego di tali architetture digitali. L'intervento in questione si colloca in una posizione di manifesto avanguardismo nel panorama eurounitario, rappresentando uno dei pionieristici tentativi di perimetrazione di un fenomeno in forte espansione. La portata della riforma risiede proprio nella capacità di offrire risposte concrete alle complessità sistematiche e alle frizioni interpretative che queste innovazioni inevitabilmente sollevano sul piano del diritto positivo. </w:t>
      </w:r>
      <w:r w:rsidRPr="6C58947D" w:rsidR="58B0375D">
        <w:rPr>
          <w:rFonts w:ascii="Times New Roman" w:hAnsi="Times New Roman" w:eastAsia="Times New Roman" w:cs="Times New Roman"/>
          <w:b w:val="0"/>
          <w:bCs w:val="0"/>
          <w:i w:val="0"/>
          <w:iCs w:val="0"/>
          <w:noProof w:val="0"/>
          <w:sz w:val="24"/>
          <w:szCs w:val="24"/>
          <w:lang w:val="it-IT"/>
        </w:rPr>
        <w:t>Nello specifico, la prima disposizione offre la perimetrazione tecnica delle DLT (Distributed Ledger Technology), comunemente identificate con il lemma anglofono blockchain</w:t>
      </w:r>
      <w:r w:rsidRPr="6C58947D" w:rsidR="13DE171A">
        <w:rPr>
          <w:rFonts w:ascii="Times New Roman" w:hAnsi="Times New Roman" w:eastAsia="Times New Roman" w:cs="Times New Roman"/>
          <w:b w:val="0"/>
          <w:bCs w:val="0"/>
          <w:i w:val="0"/>
          <w:iCs w:val="0"/>
          <w:noProof w:val="0"/>
          <w:sz w:val="24"/>
          <w:szCs w:val="24"/>
          <w:lang w:val="it-IT"/>
        </w:rPr>
        <w:t xml:space="preserve"> </w:t>
      </w:r>
      <w:r w:rsidRPr="6C58947D">
        <w:rPr>
          <w:rStyle w:val="FootnoteReference"/>
          <w:rFonts w:ascii="Times New Roman" w:hAnsi="Times New Roman" w:eastAsia="Times New Roman" w:cs="Times New Roman"/>
          <w:b w:val="0"/>
          <w:bCs w:val="0"/>
          <w:i w:val="0"/>
          <w:iCs w:val="0"/>
          <w:noProof w:val="0"/>
          <w:sz w:val="24"/>
          <w:szCs w:val="24"/>
          <w:lang w:val="it-IT"/>
        </w:rPr>
        <w:footnoteReference w:id="29970"/>
      </w:r>
      <w:r w:rsidRPr="6C58947D" w:rsidR="58B0375D">
        <w:rPr>
          <w:rFonts w:ascii="Times New Roman" w:hAnsi="Times New Roman" w:eastAsia="Times New Roman" w:cs="Times New Roman"/>
          <w:b w:val="0"/>
          <w:bCs w:val="0"/>
          <w:i w:val="0"/>
          <w:iCs w:val="0"/>
          <w:noProof w:val="0"/>
          <w:sz w:val="24"/>
          <w:szCs w:val="24"/>
          <w:lang w:val="it-IT"/>
        </w:rPr>
        <w:t>. Il dettato normativo ne delinea le caratteristiche strutturali descrivendole come infrastrutture informatiche fondate su un registro condiviso e simultaneamente accessibile, la cui architettura decentralizzata poggia su protocolli crittografici. Tale configurazione garantisce che l'immissione, la validazione e la conservazione delle informazioni — siano esse leggibili o cifrate — rimangano immutabili nel tempo e direttamente verificabili da ogni nodo della rete. In termini pratici, la fattispecie astratta prefigura una sorta di registro notarile pubblico e privo di governance centrale, capillarmente replicato su una pluralità di terminali. Le transazioni registrate acquisiscono il carattere dell'</w:t>
      </w:r>
      <w:r w:rsidRPr="6C58947D" w:rsidR="58B0375D">
        <w:rPr>
          <w:rFonts w:ascii="Times New Roman" w:hAnsi="Times New Roman" w:eastAsia="Times New Roman" w:cs="Times New Roman"/>
          <w:b w:val="0"/>
          <w:bCs w:val="0"/>
          <w:i w:val="0"/>
          <w:iCs w:val="0"/>
          <w:noProof w:val="0"/>
          <w:sz w:val="24"/>
          <w:szCs w:val="24"/>
          <w:lang w:val="it-IT"/>
        </w:rPr>
        <w:t>incancellabilità</w:t>
      </w:r>
      <w:r w:rsidRPr="6C58947D" w:rsidR="58B0375D">
        <w:rPr>
          <w:rFonts w:ascii="Times New Roman" w:hAnsi="Times New Roman" w:eastAsia="Times New Roman" w:cs="Times New Roman"/>
          <w:b w:val="0"/>
          <w:bCs w:val="0"/>
          <w:i w:val="0"/>
          <w:iCs w:val="0"/>
          <w:noProof w:val="0"/>
          <w:sz w:val="24"/>
          <w:szCs w:val="24"/>
          <w:lang w:val="it-IT"/>
        </w:rPr>
        <w:t xml:space="preserve"> solo dopo aver superato il vaglio del network; questa validazione è operata da partecipanti dotati di apparati computazionali ad alta efficienza, delegati a risolvere complessi algoritmi di verifica</w:t>
      </w:r>
      <w:r w:rsidRPr="6C58947D">
        <w:rPr>
          <w:rStyle w:val="FootnoteReference"/>
          <w:rFonts w:ascii="Times New Roman" w:hAnsi="Times New Roman" w:eastAsia="Times New Roman" w:cs="Times New Roman"/>
          <w:b w:val="0"/>
          <w:bCs w:val="0"/>
          <w:i w:val="0"/>
          <w:iCs w:val="0"/>
          <w:noProof w:val="0"/>
          <w:sz w:val="24"/>
          <w:szCs w:val="24"/>
          <w:lang w:val="it-IT"/>
        </w:rPr>
        <w:footnoteReference w:id="28978"/>
      </w:r>
      <w:r w:rsidRPr="6C58947D" w:rsidR="58B0375D">
        <w:rPr>
          <w:rFonts w:ascii="Times New Roman" w:hAnsi="Times New Roman" w:eastAsia="Times New Roman" w:cs="Times New Roman"/>
          <w:b w:val="0"/>
          <w:bCs w:val="0"/>
          <w:i w:val="0"/>
          <w:iCs w:val="0"/>
          <w:noProof w:val="0"/>
          <w:sz w:val="24"/>
          <w:szCs w:val="24"/>
          <w:lang w:val="it-IT"/>
        </w:rPr>
        <w:t xml:space="preserve">. La governance algoritmica richiede che ogni modifica ottenga il consenso della maggioranza assoluta dei validatori (la regola del 51%). Per incentivare questo sforzo computazionale e la condivisione delle risorse hardware, l'ecosistema remunera i nodi validatori (i c.d. </w:t>
      </w:r>
      <w:r w:rsidRPr="6C58947D" w:rsidR="58B0375D">
        <w:rPr>
          <w:rFonts w:ascii="Times New Roman" w:hAnsi="Times New Roman" w:eastAsia="Times New Roman" w:cs="Times New Roman"/>
          <w:b w:val="0"/>
          <w:bCs w:val="0"/>
          <w:i w:val="0"/>
          <w:iCs w:val="0"/>
          <w:noProof w:val="0"/>
          <w:sz w:val="24"/>
          <w:szCs w:val="24"/>
          <w:lang w:val="it-IT"/>
        </w:rPr>
        <w:t>miners</w:t>
      </w:r>
      <w:r w:rsidRPr="6C58947D" w:rsidR="58B0375D">
        <w:rPr>
          <w:rFonts w:ascii="Times New Roman" w:hAnsi="Times New Roman" w:eastAsia="Times New Roman" w:cs="Times New Roman"/>
          <w:b w:val="0"/>
          <w:bCs w:val="0"/>
          <w:i w:val="0"/>
          <w:iCs w:val="0"/>
          <w:noProof w:val="0"/>
          <w:sz w:val="24"/>
          <w:szCs w:val="24"/>
          <w:lang w:val="it-IT"/>
        </w:rPr>
        <w:t>) sia attraverso l'emissione nativa di frazioni di criptovalute, sia mediante il riconoscimento di commissioni sulle singole operazioni elaborate.</w:t>
      </w:r>
      <w:r w:rsidRPr="6C58947D" w:rsidR="20E23F84">
        <w:rPr>
          <w:rFonts w:ascii="Times New Roman" w:hAnsi="Times New Roman" w:eastAsia="Times New Roman" w:cs="Times New Roman"/>
          <w:b w:val="0"/>
          <w:bCs w:val="0"/>
          <w:i w:val="0"/>
          <w:iCs w:val="0"/>
          <w:noProof w:val="0"/>
          <w:sz w:val="24"/>
          <w:szCs w:val="24"/>
          <w:lang w:val="it-IT"/>
        </w:rPr>
        <w:t xml:space="preserve"> </w:t>
      </w:r>
      <w:r w:rsidRPr="6C58947D" w:rsidR="20E23F84">
        <w:rPr>
          <w:rFonts w:ascii="Times New Roman" w:hAnsi="Times New Roman" w:eastAsia="Times New Roman" w:cs="Times New Roman"/>
          <w:b w:val="0"/>
          <w:bCs w:val="0"/>
          <w:i w:val="0"/>
          <w:iCs w:val="0"/>
          <w:noProof w:val="0"/>
          <w:sz w:val="24"/>
          <w:szCs w:val="24"/>
          <w:lang w:val="it-IT"/>
        </w:rPr>
        <w:t>Questo innovativo sistema fondato sulla decentralizzazione dei dati comporta un innegabile vantaggio rispetto a un sistema basato sull’intermediazione di un’autorità centrale: mentre, infatti, un attacco malevolo diretto a tale autorità permetterebbe di prendere il controllo del registro e alterare i dati in esso contenuti, sarebbe invece assai</w:t>
      </w:r>
      <w:r w:rsidRPr="6C58947D" w:rsidR="6E61DF37">
        <w:rPr>
          <w:rFonts w:ascii="Times New Roman" w:hAnsi="Times New Roman" w:eastAsia="Times New Roman" w:cs="Times New Roman"/>
          <w:b w:val="0"/>
          <w:bCs w:val="0"/>
          <w:i w:val="0"/>
          <w:iCs w:val="0"/>
          <w:noProof w:val="0"/>
          <w:sz w:val="24"/>
          <w:szCs w:val="24"/>
          <w:lang w:val="it-IT"/>
        </w:rPr>
        <w:t xml:space="preserve"> </w:t>
      </w:r>
      <w:r w:rsidRPr="6C58947D" w:rsidR="20E23F84">
        <w:rPr>
          <w:rFonts w:ascii="Times New Roman" w:hAnsi="Times New Roman" w:eastAsia="Times New Roman" w:cs="Times New Roman"/>
          <w:b w:val="0"/>
          <w:bCs w:val="0"/>
          <w:i w:val="0"/>
          <w:iCs w:val="0"/>
          <w:noProof w:val="0"/>
          <w:sz w:val="24"/>
          <w:szCs w:val="24"/>
          <w:lang w:val="it-IT"/>
        </w:rPr>
        <w:t>più difficoltoso portare a termine nei confronti di un registro diffuso fra una pluralità di soggetti un attacco volto a modificare tutte le copie distribuite o quanto meno la maggioranza di esse.</w:t>
      </w:r>
      <w:r w:rsidRPr="6C58947D" w:rsidR="435FEBF0">
        <w:rPr>
          <w:rFonts w:ascii="Times New Roman" w:hAnsi="Times New Roman" w:eastAsia="Times New Roman" w:cs="Times New Roman"/>
          <w:b w:val="0"/>
          <w:bCs w:val="0"/>
          <w:i w:val="0"/>
          <w:iCs w:val="0"/>
          <w:noProof w:val="0"/>
          <w:sz w:val="24"/>
          <w:szCs w:val="24"/>
          <w:lang w:val="it-IT"/>
        </w:rPr>
        <w:t xml:space="preserve"> </w:t>
      </w:r>
      <w:r w:rsidRPr="6C58947D" w:rsidR="066ED0C0">
        <w:rPr>
          <w:rFonts w:ascii="Times New Roman" w:hAnsi="Times New Roman" w:eastAsia="Times New Roman" w:cs="Times New Roman"/>
          <w:b w:val="0"/>
          <w:bCs w:val="0"/>
          <w:i w:val="0"/>
          <w:iCs w:val="0"/>
          <w:noProof w:val="0"/>
          <w:sz w:val="24"/>
          <w:szCs w:val="24"/>
          <w:lang w:val="it-IT"/>
        </w:rPr>
        <w:t>La decentralizzazione del registro su una pluralità di nodi accresce in modo esponenziale il livello di sicurezza dei dati immagazzinati. Questo approccio definitorio, introdotto dalla novella legislativa, trova un riscontro speculare sul piano giurisprudenziale. Il primo storico avallo giudiziale in materia si deve al Tribunale di Firenze</w:t>
      </w:r>
      <w:r w:rsidRPr="6C58947D">
        <w:rPr>
          <w:rStyle w:val="FootnoteReference"/>
          <w:rFonts w:ascii="Times New Roman" w:hAnsi="Times New Roman" w:eastAsia="Times New Roman" w:cs="Times New Roman"/>
          <w:b w:val="0"/>
          <w:bCs w:val="0"/>
          <w:i w:val="0"/>
          <w:iCs w:val="0"/>
          <w:noProof w:val="0"/>
          <w:sz w:val="24"/>
          <w:szCs w:val="24"/>
          <w:lang w:val="it-IT"/>
        </w:rPr>
        <w:footnoteReference w:id="11445"/>
      </w:r>
      <w:r w:rsidRPr="6C58947D" w:rsidR="066ED0C0">
        <w:rPr>
          <w:rFonts w:ascii="Times New Roman" w:hAnsi="Times New Roman" w:eastAsia="Times New Roman" w:cs="Times New Roman"/>
          <w:b w:val="0"/>
          <w:bCs w:val="0"/>
          <w:i w:val="0"/>
          <w:iCs w:val="0"/>
          <w:noProof w:val="0"/>
          <w:sz w:val="24"/>
          <w:szCs w:val="24"/>
          <w:lang w:val="it-IT"/>
        </w:rPr>
        <w:t xml:space="preserve"> il quale, investito della questione relativa ai presupposti per la dichiarazione di fallimento di un'impresa, si è trovato a esaminare incidentalmente la natura delle valute virtuali. I giudici toscani hanno descritto l'architettura in esame come una sequenza di blocchi con funzioni di base di dati e libro mastro condiviso; un sistema governato da un network paritario (peer-to-peer) orientato a un protocollo collettivo di validazione. Sotto il profilo della tenuta dei dati, il tribunale ha evidenziato come l'apposizione di una marca temporale (</w:t>
      </w:r>
      <w:r w:rsidRPr="6C58947D" w:rsidR="066ED0C0">
        <w:rPr>
          <w:rFonts w:ascii="Times New Roman" w:hAnsi="Times New Roman" w:eastAsia="Times New Roman" w:cs="Times New Roman"/>
          <w:b w:val="0"/>
          <w:bCs w:val="0"/>
          <w:i w:val="0"/>
          <w:iCs w:val="0"/>
          <w:noProof w:val="0"/>
          <w:sz w:val="24"/>
          <w:szCs w:val="24"/>
          <w:lang w:val="it-IT"/>
        </w:rPr>
        <w:t>timestamping</w:t>
      </w:r>
      <w:r w:rsidRPr="6C58947D" w:rsidR="066ED0C0">
        <w:rPr>
          <w:rFonts w:ascii="Times New Roman" w:hAnsi="Times New Roman" w:eastAsia="Times New Roman" w:cs="Times New Roman"/>
          <w:b w:val="0"/>
          <w:bCs w:val="0"/>
          <w:i w:val="0"/>
          <w:iCs w:val="0"/>
          <w:noProof w:val="0"/>
          <w:sz w:val="24"/>
          <w:szCs w:val="24"/>
          <w:lang w:val="it-IT"/>
        </w:rPr>
        <w:t xml:space="preserve">) impedisca qualunque alterazione a ritroso delle informazioni, a meno di una complessa e improbabile alterazione a catena di tutti i segmenti successivi, realizzabile soltanto attraverso la concertazione della maggioranza dei partecipanti. </w:t>
      </w:r>
      <w:r w:rsidRPr="6C58947D" w:rsidR="1C0548E1">
        <w:rPr>
          <w:rFonts w:ascii="Times New Roman" w:hAnsi="Times New Roman" w:eastAsia="Times New Roman" w:cs="Times New Roman"/>
          <w:b w:val="0"/>
          <w:bCs w:val="0"/>
          <w:i w:val="0"/>
          <w:iCs w:val="0"/>
          <w:noProof w:val="0"/>
          <w:sz w:val="24"/>
          <w:szCs w:val="24"/>
          <w:lang w:val="it-IT"/>
        </w:rPr>
        <w:t>Al di là delle prime applicazioni settoriali, i registri distribuiti investono oggi svariati ambiti operativi, sebbene il comparto dei sistemi di pagamento e delle valute digitali — guidato dal Bitcoin — rimanga il più emblematico. La portata dirompente del Bitcoin non risiede nella sua natura immateriale, prerogativa che del resto condivide con la moneta scritturale ed elettronica di matrice bancaria, bensì nella sua capacità di implementare un modello di trasferimento del valore puramente orizzontale, escludendo qualsiasi intermediario o autorità centrale dal circuito fiduciario. Sul versante societario, la complessa interazione tra schemi crittografici e categorie civilistiche classiche trova un significativo punto di snodo in una pronuncia del Tribunale di Brescia (decreto del 25 luglio 2018)</w:t>
      </w:r>
      <w:r w:rsidRPr="6C58947D">
        <w:rPr>
          <w:rStyle w:val="FootnoteReference"/>
          <w:rFonts w:ascii="Times New Roman" w:hAnsi="Times New Roman" w:eastAsia="Times New Roman" w:cs="Times New Roman"/>
          <w:b w:val="0"/>
          <w:bCs w:val="0"/>
          <w:i w:val="0"/>
          <w:iCs w:val="0"/>
          <w:noProof w:val="0"/>
          <w:sz w:val="24"/>
          <w:szCs w:val="24"/>
          <w:lang w:val="it-IT"/>
        </w:rPr>
        <w:footnoteReference w:id="26664"/>
      </w:r>
      <w:r w:rsidRPr="6C58947D" w:rsidR="1C0548E1">
        <w:rPr>
          <w:rFonts w:ascii="Times New Roman" w:hAnsi="Times New Roman" w:eastAsia="Times New Roman" w:cs="Times New Roman"/>
          <w:b w:val="0"/>
          <w:bCs w:val="0"/>
          <w:i w:val="0"/>
          <w:iCs w:val="0"/>
          <w:noProof w:val="0"/>
          <w:sz w:val="24"/>
          <w:szCs w:val="24"/>
          <w:lang w:val="it-IT"/>
        </w:rPr>
        <w:t>. In quell'occasione, il giudice di merito ha confermato il rifiuto del notaio di iscrivere nel Registro delle Imprese una delibera di aumento del capitale sociale di una s.r.l., il cui scomputo prevedeva il conferimento parziale di criptovalute. Il tribunale, pur non negando in astratto la possibilità che i token digitali costituiscano elementi patrimoniali attivi conferibili, ha ravvisato nel caso di specie la violazione dell'art. 2464, comma 2, c.c. La motivazione si è appuntata sulla carenza di parametri oggettivi idonei a garantire una valutazione economica certa e attendibile del bene, presupposto inderogabile per la tutela dell'integrità del capitale sociale.</w:t>
      </w:r>
      <w:r w:rsidRPr="6C58947D" w:rsidR="53A48EEE">
        <w:rPr>
          <w:rFonts w:ascii="Times New Roman" w:hAnsi="Times New Roman" w:eastAsia="Times New Roman" w:cs="Times New Roman"/>
          <w:b w:val="0"/>
          <w:bCs w:val="0"/>
          <w:i w:val="0"/>
          <w:iCs w:val="0"/>
          <w:noProof w:val="0"/>
          <w:sz w:val="24"/>
          <w:szCs w:val="24"/>
          <w:lang w:val="it-IT"/>
        </w:rPr>
        <w:t xml:space="preserve"> </w:t>
      </w:r>
      <w:r w:rsidRPr="6C58947D" w:rsidR="53A48EEE">
        <w:rPr>
          <w:rFonts w:ascii="Times New Roman" w:hAnsi="Times New Roman" w:eastAsia="Times New Roman" w:cs="Times New Roman"/>
          <w:b w:val="0"/>
          <w:bCs w:val="0"/>
          <w:i w:val="0"/>
          <w:iCs w:val="0"/>
          <w:noProof w:val="0"/>
          <w:sz w:val="24"/>
          <w:szCs w:val="24"/>
          <w:lang w:val="it-IT"/>
        </w:rPr>
        <w:t>La pronuncia bresciana ha evidenziato come l’utilizzabilità del token fosse circoscritta a un ecosistema digitale estremamente ridotto e strettamente legato ai medesimi promotori dell'iniziativa. Tale configurazione evidenziava, secondo l'organo giudicante, un'intrinseca autoreferenzialità dell'asset patrimoniale; un tratto giudicato inconciliabile con i requisiti di spendibilità, diffusione e trasparenza che devono invece caratterizzare una moneta virtuale per poter esprimere una reale e concreta consistenza sul mercato delle transazioni.</w:t>
      </w:r>
    </w:p>
    <w:p w:rsidR="62545789" w:rsidP="4CFA692C" w:rsidRDefault="62545789" w14:paraId="27C12B72" w14:textId="3BCEEED1">
      <w:pPr>
        <w:pStyle w:val="Normal"/>
        <w:spacing w:before="0" w:beforeAutospacing="off" w:line="360" w:lineRule="auto"/>
        <w:ind w:firstLine="567"/>
        <w:jc w:val="both"/>
      </w:pPr>
      <w:r w:rsidRPr="4CFA692C" w:rsidR="53A48EEE">
        <w:rPr>
          <w:rFonts w:ascii="Times New Roman" w:hAnsi="Times New Roman" w:eastAsia="Times New Roman" w:cs="Times New Roman"/>
          <w:b w:val="0"/>
          <w:bCs w:val="0"/>
          <w:i w:val="0"/>
          <w:iCs w:val="0"/>
          <w:noProof w:val="0"/>
          <w:sz w:val="24"/>
          <w:szCs w:val="24"/>
          <w:lang w:val="it-IT"/>
        </w:rPr>
        <w:t xml:space="preserve">Parallelamente, l'evoluzione delle architetture decentralizzate ha spianato la strada alla teorizzazione e all'impiego dei c.d. smart </w:t>
      </w:r>
      <w:r w:rsidRPr="4CFA692C" w:rsidR="53A48EEE">
        <w:rPr>
          <w:rFonts w:ascii="Times New Roman" w:hAnsi="Times New Roman" w:eastAsia="Times New Roman" w:cs="Times New Roman"/>
          <w:b w:val="0"/>
          <w:bCs w:val="0"/>
          <w:i w:val="0"/>
          <w:iCs w:val="0"/>
          <w:noProof w:val="0"/>
          <w:sz w:val="24"/>
          <w:szCs w:val="24"/>
          <w:lang w:val="it-IT"/>
        </w:rPr>
        <w:t>contract</w:t>
      </w:r>
      <w:r w:rsidRPr="4CFA692C" w:rsidR="5A4AFF50">
        <w:rPr>
          <w:rFonts w:ascii="Times New Roman" w:hAnsi="Times New Roman" w:eastAsia="Times New Roman" w:cs="Times New Roman"/>
          <w:b w:val="0"/>
          <w:bCs w:val="0"/>
          <w:i w:val="0"/>
          <w:iCs w:val="0"/>
          <w:noProof w:val="0"/>
          <w:sz w:val="24"/>
          <w:szCs w:val="24"/>
          <w:lang w:val="it-IT"/>
        </w:rPr>
        <w:t xml:space="preserve"> </w:t>
      </w:r>
      <w:r w:rsidRPr="4CFA692C">
        <w:rPr>
          <w:rStyle w:val="FootnoteReference"/>
          <w:rFonts w:ascii="Times New Roman" w:hAnsi="Times New Roman" w:eastAsia="Times New Roman" w:cs="Times New Roman"/>
          <w:b w:val="0"/>
          <w:bCs w:val="0"/>
          <w:i w:val="0"/>
          <w:iCs w:val="0"/>
          <w:noProof w:val="0"/>
          <w:sz w:val="24"/>
          <w:szCs w:val="24"/>
          <w:lang w:val="it-IT"/>
        </w:rPr>
        <w:footnoteReference w:id="7357"/>
      </w:r>
      <w:r w:rsidRPr="4CFA692C" w:rsidR="53A48EEE">
        <w:rPr>
          <w:rFonts w:ascii="Times New Roman" w:hAnsi="Times New Roman" w:eastAsia="Times New Roman" w:cs="Times New Roman"/>
          <w:b w:val="0"/>
          <w:bCs w:val="0"/>
          <w:i w:val="0"/>
          <w:iCs w:val="0"/>
          <w:noProof w:val="0"/>
          <w:sz w:val="24"/>
          <w:szCs w:val="24"/>
          <w:lang w:val="it-IT"/>
        </w:rPr>
        <w:t>. La formulazione contenuta nel secondo comma del citato art. 8-ter ne codifica la natura giuridico-informatica, descrivendoli come sequenze di istruzioni software destinate a girare su piattaforme DLT, la cui esecuzione determina il vincolo automatico degli effetti negoziali tra i contraenti in conformità alle regole da essi impostate. In altri termini, si assiste all'automatizzazione degli assetti contrattuali sulla base di una struttura logica condizionale di tipo "se... allora" (</w:t>
      </w:r>
      <w:r w:rsidRPr="4CFA692C" w:rsidR="53A48EEE">
        <w:rPr>
          <w:rFonts w:ascii="Times New Roman" w:hAnsi="Times New Roman" w:eastAsia="Times New Roman" w:cs="Times New Roman"/>
          <w:b w:val="0"/>
          <w:bCs w:val="0"/>
          <w:i w:val="0"/>
          <w:iCs w:val="0"/>
          <w:noProof w:val="0"/>
          <w:sz w:val="24"/>
          <w:szCs w:val="24"/>
          <w:lang w:val="it-IT"/>
        </w:rPr>
        <w:t>if</w:t>
      </w:r>
      <w:r w:rsidRPr="4CFA692C" w:rsidR="53A48EEE">
        <w:rPr>
          <w:rFonts w:ascii="Times New Roman" w:hAnsi="Times New Roman" w:eastAsia="Times New Roman" w:cs="Times New Roman"/>
          <w:b w:val="0"/>
          <w:bCs w:val="0"/>
          <w:i w:val="0"/>
          <w:iCs w:val="0"/>
          <w:noProof w:val="0"/>
          <w:sz w:val="24"/>
          <w:szCs w:val="24"/>
          <w:lang w:val="it-IT"/>
        </w:rPr>
        <w:t xml:space="preserve">... </w:t>
      </w:r>
      <w:r w:rsidRPr="4CFA692C" w:rsidR="53A48EEE">
        <w:rPr>
          <w:rFonts w:ascii="Times New Roman" w:hAnsi="Times New Roman" w:eastAsia="Times New Roman" w:cs="Times New Roman"/>
          <w:b w:val="0"/>
          <w:bCs w:val="0"/>
          <w:i w:val="0"/>
          <w:iCs w:val="0"/>
          <w:noProof w:val="0"/>
          <w:sz w:val="24"/>
          <w:szCs w:val="24"/>
          <w:lang w:val="it-IT"/>
        </w:rPr>
        <w:t>then</w:t>
      </w:r>
      <w:r w:rsidRPr="4CFA692C" w:rsidR="53A48EEE">
        <w:rPr>
          <w:rFonts w:ascii="Times New Roman" w:hAnsi="Times New Roman" w:eastAsia="Times New Roman" w:cs="Times New Roman"/>
          <w:b w:val="0"/>
          <w:bCs w:val="0"/>
          <w:i w:val="0"/>
          <w:iCs w:val="0"/>
          <w:noProof w:val="0"/>
          <w:sz w:val="24"/>
          <w:szCs w:val="24"/>
          <w:lang w:val="it-IT"/>
        </w:rPr>
        <w:t>): la verifica dell'avveramento della condizione sospensiva o risolutiva è demandata direttamente ai nodi del network tramite i meccanismi di consenso descritti in precedenza. Una volta che il codice ha processato l'evento e la transazione è stata validata dalla catena di blocchi, le parti perdono qualsiasi facoltà di controllo o di veto, non potendo in alcun modo bloccare l'efficacia giuridica ricollegata all'algoritmo.</w:t>
      </w:r>
      <w:r w:rsidRPr="4CFA692C" w:rsidR="53A48EEE">
        <w:rPr>
          <w:rFonts w:ascii="Times New Roman" w:hAnsi="Times New Roman" w:eastAsia="Times New Roman" w:cs="Times New Roman"/>
          <w:b w:val="0"/>
          <w:bCs w:val="0"/>
          <w:i w:val="0"/>
          <w:iCs w:val="0"/>
          <w:noProof w:val="0"/>
          <w:sz w:val="24"/>
          <w:szCs w:val="24"/>
          <w:lang w:val="it-IT"/>
        </w:rPr>
        <w:t xml:space="preserve"> </w:t>
      </w:r>
    </w:p>
    <w:p w:rsidR="62545789" w:rsidP="4CFA692C" w:rsidRDefault="62545789" w14:paraId="2A062B78" w14:textId="24196F75">
      <w:pPr>
        <w:pStyle w:val="Normal"/>
        <w:spacing w:before="0" w:beforeAutospacing="off" w:line="360" w:lineRule="auto"/>
        <w:ind w:firstLine="567"/>
        <w:jc w:val="both"/>
      </w:pPr>
      <w:r w:rsidRPr="4CFA692C" w:rsidR="53A48EEE">
        <w:rPr>
          <w:rFonts w:ascii="Times New Roman" w:hAnsi="Times New Roman" w:eastAsia="Times New Roman" w:cs="Times New Roman"/>
          <w:b w:val="0"/>
          <w:bCs w:val="0"/>
          <w:i w:val="0"/>
          <w:iCs w:val="0"/>
          <w:noProof w:val="0"/>
          <w:sz w:val="24"/>
          <w:szCs w:val="24"/>
          <w:lang w:val="it-IT"/>
        </w:rPr>
        <w:t xml:space="preserve">Sotto il profilo degli effetti legali, l'art. 8-ter, comma 2, sancisce che gli smart </w:t>
      </w:r>
      <w:r w:rsidRPr="4CFA692C" w:rsidR="53A48EEE">
        <w:rPr>
          <w:rFonts w:ascii="Times New Roman" w:hAnsi="Times New Roman" w:eastAsia="Times New Roman" w:cs="Times New Roman"/>
          <w:b w:val="0"/>
          <w:bCs w:val="0"/>
          <w:i w:val="0"/>
          <w:iCs w:val="0"/>
          <w:noProof w:val="0"/>
          <w:sz w:val="24"/>
          <w:szCs w:val="24"/>
          <w:lang w:val="it-IT"/>
        </w:rPr>
        <w:t>contract</w:t>
      </w:r>
      <w:r w:rsidRPr="4CFA692C" w:rsidR="53A48EEE">
        <w:rPr>
          <w:rFonts w:ascii="Times New Roman" w:hAnsi="Times New Roman" w:eastAsia="Times New Roman" w:cs="Times New Roman"/>
          <w:b w:val="0"/>
          <w:bCs w:val="0"/>
          <w:i w:val="0"/>
          <w:iCs w:val="0"/>
          <w:noProof w:val="0"/>
          <w:sz w:val="24"/>
          <w:szCs w:val="24"/>
          <w:lang w:val="it-IT"/>
        </w:rPr>
        <w:t xml:space="preserve"> integrano il requisito della forma scritta, a condizione che si proceda a una previa e sicura identificazione informatica dei contraenti. Tale procedura di accertamento dell'identità digitale deve uniformarsi alle specifiche tecniche emanate dall'Agenzia per l'Italia Digitale (AgID). Vale la pena ricordare che l'AgID opera quale braccio tecnico della Presidenza del Consiglio — istituita dal </w:t>
      </w:r>
      <w:r w:rsidRPr="4CFA692C" w:rsidR="53A48EEE">
        <w:rPr>
          <w:rFonts w:ascii="Times New Roman" w:hAnsi="Times New Roman" w:eastAsia="Times New Roman" w:cs="Times New Roman"/>
          <w:b w:val="0"/>
          <w:bCs w:val="0"/>
          <w:i w:val="0"/>
          <w:iCs w:val="0"/>
          <w:noProof w:val="0"/>
          <w:sz w:val="24"/>
          <w:szCs w:val="24"/>
          <w:lang w:val="it-IT"/>
        </w:rPr>
        <w:t>D.Lgs.</w:t>
      </w:r>
      <w:r w:rsidRPr="4CFA692C" w:rsidR="53A48EEE">
        <w:rPr>
          <w:rFonts w:ascii="Times New Roman" w:hAnsi="Times New Roman" w:eastAsia="Times New Roman" w:cs="Times New Roman"/>
          <w:b w:val="0"/>
          <w:bCs w:val="0"/>
          <w:i w:val="0"/>
          <w:iCs w:val="0"/>
          <w:noProof w:val="0"/>
          <w:sz w:val="24"/>
          <w:szCs w:val="24"/>
          <w:lang w:val="it-IT"/>
        </w:rPr>
        <w:t xml:space="preserve"> n. 83/2012 — con la precisa missione istituzionale di governare e promuovere la transizione digitale e l'adozione delle tecnologie ICT all'interno della pubblica amministrazione</w:t>
      </w:r>
      <w:r w:rsidRPr="4CFA692C" w:rsidR="5615271A">
        <w:rPr>
          <w:rFonts w:ascii="Times New Roman" w:hAnsi="Times New Roman" w:eastAsia="Times New Roman" w:cs="Times New Roman"/>
          <w:b w:val="0"/>
          <w:bCs w:val="0"/>
          <w:i w:val="0"/>
          <w:iCs w:val="0"/>
          <w:noProof w:val="0"/>
          <w:sz w:val="24"/>
          <w:szCs w:val="24"/>
          <w:lang w:val="it-IT"/>
        </w:rPr>
        <w:t xml:space="preserve"> </w:t>
      </w:r>
      <w:r w:rsidRPr="4CFA692C">
        <w:rPr>
          <w:rStyle w:val="FootnoteReference"/>
          <w:rFonts w:ascii="Times New Roman" w:hAnsi="Times New Roman" w:eastAsia="Times New Roman" w:cs="Times New Roman"/>
          <w:b w:val="0"/>
          <w:bCs w:val="0"/>
          <w:i w:val="0"/>
          <w:iCs w:val="0"/>
          <w:noProof w:val="0"/>
          <w:sz w:val="24"/>
          <w:szCs w:val="24"/>
          <w:lang w:val="it-IT"/>
        </w:rPr>
        <w:footnoteReference w:id="15637"/>
      </w:r>
      <w:r w:rsidRPr="4CFA692C" w:rsidR="53A48EEE">
        <w:rPr>
          <w:rFonts w:ascii="Times New Roman" w:hAnsi="Times New Roman" w:eastAsia="Times New Roman" w:cs="Times New Roman"/>
          <w:b w:val="0"/>
          <w:bCs w:val="0"/>
          <w:i w:val="0"/>
          <w:iCs w:val="0"/>
          <w:noProof w:val="0"/>
          <w:sz w:val="24"/>
          <w:szCs w:val="24"/>
          <w:lang w:val="it-IT"/>
        </w:rPr>
        <w:t>.</w:t>
      </w:r>
    </w:p>
    <w:p w:rsidR="62545789" w:rsidP="4CFA692C" w:rsidRDefault="62545789" w14:paraId="27B6C08E" w14:textId="07AC64AF">
      <w:pPr>
        <w:pStyle w:val="Normal"/>
        <w:spacing w:before="0" w:beforeAutospacing="off" w:line="360" w:lineRule="auto"/>
        <w:ind w:firstLine="567"/>
        <w:jc w:val="both"/>
      </w:pPr>
      <w:r w:rsidRPr="4CFA692C" w:rsidR="53A48EEE">
        <w:rPr>
          <w:rFonts w:ascii="Times New Roman" w:hAnsi="Times New Roman" w:eastAsia="Times New Roman" w:cs="Times New Roman"/>
          <w:b w:val="0"/>
          <w:bCs w:val="0"/>
          <w:i w:val="0"/>
          <w:iCs w:val="0"/>
          <w:noProof w:val="0"/>
          <w:sz w:val="24"/>
          <w:szCs w:val="24"/>
          <w:lang w:val="it-IT"/>
        </w:rPr>
        <w:t>Infine, il terzo comma del medesimo articolo introduce un importante principio di equivalenza: qualora la tecnologia di registro distribuito rispetti gli standard fissati dalla menzionata Agenzia, l'immagazzinamento del documento informatico all'interno della blockchain produce l'efficacia giuridica di una validazione temporale elettronica, ai sensi dell'art. 41 del Regolamento UE n. 910/2014 (eIDAS). L'esplicito rinvio alla normativa eurounitaria comporta un'implicazione probatoria di rilievo: ai dati cristallizzati sulla blockchain viene riconosciuta la certezza della datazione (data certa), con il conseguente divieto per l'autorità giudiziaria di disconoscerne gli effetti o l'ammissibilità come mezzo di prova nei giudizi civili o penali per il solo motivo della loro veste digitale o a causa del mancato ricorso a sistemi di validazione temporale qualificata</w:t>
      </w:r>
      <w:r w:rsidRPr="4CFA692C" w:rsidR="52E5F22D">
        <w:rPr>
          <w:rFonts w:ascii="Times New Roman" w:hAnsi="Times New Roman" w:eastAsia="Times New Roman" w:cs="Times New Roman"/>
          <w:b w:val="0"/>
          <w:bCs w:val="0"/>
          <w:i w:val="0"/>
          <w:iCs w:val="0"/>
          <w:noProof w:val="0"/>
          <w:sz w:val="24"/>
          <w:szCs w:val="24"/>
          <w:lang w:val="it-IT"/>
        </w:rPr>
        <w:t xml:space="preserve"> </w:t>
      </w:r>
      <w:r w:rsidRPr="4CFA692C">
        <w:rPr>
          <w:rStyle w:val="FootnoteReference"/>
          <w:rFonts w:ascii="Times New Roman" w:hAnsi="Times New Roman" w:eastAsia="Times New Roman" w:cs="Times New Roman"/>
          <w:b w:val="0"/>
          <w:bCs w:val="0"/>
          <w:i w:val="0"/>
          <w:iCs w:val="0"/>
          <w:noProof w:val="0"/>
          <w:sz w:val="24"/>
          <w:szCs w:val="24"/>
          <w:lang w:val="it-IT"/>
        </w:rPr>
        <w:footnoteReference w:id="3769"/>
      </w:r>
      <w:r w:rsidRPr="4CFA692C" w:rsidR="53A48EEE">
        <w:rPr>
          <w:rFonts w:ascii="Times New Roman" w:hAnsi="Times New Roman" w:eastAsia="Times New Roman" w:cs="Times New Roman"/>
          <w:b w:val="0"/>
          <w:bCs w:val="0"/>
          <w:i w:val="0"/>
          <w:iCs w:val="0"/>
          <w:noProof w:val="0"/>
          <w:sz w:val="24"/>
          <w:szCs w:val="24"/>
          <w:lang w:val="it-IT"/>
        </w:rPr>
        <w:t>.</w:t>
      </w:r>
    </w:p>
    <w:p w:rsidR="62545789" w:rsidP="4CFA692C" w:rsidRDefault="62545789" w14:paraId="28DAC3B6" w14:textId="303FDCBA">
      <w:pPr>
        <w:pStyle w:val="Normal"/>
        <w:spacing w:before="0" w:beforeAutospacing="off" w:line="360" w:lineRule="auto"/>
        <w:ind w:firstLine="567"/>
        <w:jc w:val="both"/>
      </w:pPr>
      <w:r w:rsidRPr="4CFA692C" w:rsidR="5ABD3914">
        <w:rPr>
          <w:rFonts w:ascii="Times New Roman" w:hAnsi="Times New Roman" w:eastAsia="Times New Roman" w:cs="Times New Roman"/>
          <w:b w:val="0"/>
          <w:bCs w:val="0"/>
          <w:i w:val="0"/>
          <w:iCs w:val="0"/>
          <w:noProof w:val="0"/>
          <w:sz w:val="24"/>
          <w:szCs w:val="24"/>
          <w:lang w:val="it-IT"/>
        </w:rPr>
        <w:t>A un attento esame, la riforma manifesta zone d'ombra e profili di evidente ambiguità. Con riguardo alle DLT, occorre innanzitutto demistificare il dogma dell'assoluta intangibilità delle informazioni immesse nel sistema. Il dato letterale del primo comma dell’art. 8-ter, evocando esplicitamente l’operazione di "aggiornamento" dei flussi documentali, ammette implicitamente scenari in cui la maggioranza assoluta dei nodi validatori (la soglia del 51%) cooperi per modificare la cronologia dei registri</w:t>
      </w:r>
      <w:r w:rsidRPr="4CFA692C" w:rsidR="340FB037">
        <w:rPr>
          <w:rFonts w:ascii="Times New Roman" w:hAnsi="Times New Roman" w:eastAsia="Times New Roman" w:cs="Times New Roman"/>
          <w:b w:val="0"/>
          <w:bCs w:val="0"/>
          <w:i w:val="0"/>
          <w:iCs w:val="0"/>
          <w:noProof w:val="0"/>
          <w:sz w:val="24"/>
          <w:szCs w:val="24"/>
          <w:lang w:val="it-IT"/>
        </w:rPr>
        <w:t xml:space="preserve"> </w:t>
      </w:r>
      <w:r w:rsidRPr="4CFA692C">
        <w:rPr>
          <w:rStyle w:val="FootnoteReference"/>
          <w:rFonts w:ascii="Times New Roman" w:hAnsi="Times New Roman" w:eastAsia="Times New Roman" w:cs="Times New Roman"/>
          <w:b w:val="0"/>
          <w:bCs w:val="0"/>
          <w:i w:val="0"/>
          <w:iCs w:val="0"/>
          <w:noProof w:val="0"/>
          <w:sz w:val="24"/>
          <w:szCs w:val="24"/>
          <w:lang w:val="it-IT"/>
        </w:rPr>
        <w:footnoteReference w:id="15171"/>
      </w:r>
      <w:r w:rsidRPr="4CFA692C" w:rsidR="5ABD3914">
        <w:rPr>
          <w:rFonts w:ascii="Times New Roman" w:hAnsi="Times New Roman" w:eastAsia="Times New Roman" w:cs="Times New Roman"/>
          <w:b w:val="0"/>
          <w:bCs w:val="0"/>
          <w:i w:val="0"/>
          <w:iCs w:val="0"/>
          <w:noProof w:val="0"/>
          <w:sz w:val="24"/>
          <w:szCs w:val="24"/>
          <w:lang w:val="it-IT"/>
        </w:rPr>
        <w:t>.</w:t>
      </w:r>
      <w:r w:rsidRPr="4CFA692C" w:rsidR="26CFB6C5">
        <w:rPr>
          <w:rFonts w:ascii="Times New Roman" w:hAnsi="Times New Roman" w:eastAsia="Times New Roman" w:cs="Times New Roman"/>
          <w:b w:val="0"/>
          <w:bCs w:val="0"/>
          <w:i w:val="0"/>
          <w:iCs w:val="0"/>
          <w:noProof w:val="0"/>
          <w:sz w:val="24"/>
          <w:szCs w:val="24"/>
          <w:lang w:val="it-IT"/>
        </w:rPr>
        <w:t xml:space="preserve"> </w:t>
      </w:r>
      <w:r w:rsidRPr="4CFA692C" w:rsidR="5ABD3914">
        <w:rPr>
          <w:rFonts w:ascii="Times New Roman" w:hAnsi="Times New Roman" w:eastAsia="Times New Roman" w:cs="Times New Roman"/>
          <w:b w:val="0"/>
          <w:bCs w:val="0"/>
          <w:i w:val="0"/>
          <w:iCs w:val="0"/>
          <w:noProof w:val="0"/>
          <w:sz w:val="24"/>
          <w:szCs w:val="24"/>
          <w:lang w:val="it-IT"/>
        </w:rPr>
        <w:t xml:space="preserve">Sul versante degli smart </w:t>
      </w:r>
      <w:r w:rsidRPr="4CFA692C" w:rsidR="5ABD3914">
        <w:rPr>
          <w:rFonts w:ascii="Times New Roman" w:hAnsi="Times New Roman" w:eastAsia="Times New Roman" w:cs="Times New Roman"/>
          <w:b w:val="0"/>
          <w:bCs w:val="0"/>
          <w:i w:val="0"/>
          <w:iCs w:val="0"/>
          <w:noProof w:val="0"/>
          <w:sz w:val="24"/>
          <w:szCs w:val="24"/>
          <w:lang w:val="it-IT"/>
        </w:rPr>
        <w:t>contract</w:t>
      </w:r>
      <w:r w:rsidRPr="4CFA692C" w:rsidR="5ABD3914">
        <w:rPr>
          <w:rFonts w:ascii="Times New Roman" w:hAnsi="Times New Roman" w:eastAsia="Times New Roman" w:cs="Times New Roman"/>
          <w:b w:val="0"/>
          <w:bCs w:val="0"/>
          <w:i w:val="0"/>
          <w:iCs w:val="0"/>
          <w:noProof w:val="0"/>
          <w:sz w:val="24"/>
          <w:szCs w:val="24"/>
          <w:lang w:val="it-IT"/>
        </w:rPr>
        <w:t>, la qualificazione normativa quale mero "programma per elaboratore" solleva perplessità logiche, data l'impossibilità per il codice di operare in assenza di un substrato hardware e di interfacce software di supporto. L'omissione del legislatore su questo punto sembra tuttavia rispondere a una precisa ratio di neutralità tecnologica, volta a preservare l'autonomia negoziale degli operatori e a evitare un precoce invecchiamento della norma</w:t>
      </w:r>
      <w:r w:rsidRPr="4CFA692C" w:rsidR="321E16DF">
        <w:rPr>
          <w:rFonts w:ascii="Times New Roman" w:hAnsi="Times New Roman" w:eastAsia="Times New Roman" w:cs="Times New Roman"/>
          <w:b w:val="0"/>
          <w:bCs w:val="0"/>
          <w:i w:val="0"/>
          <w:iCs w:val="0"/>
          <w:noProof w:val="0"/>
          <w:sz w:val="24"/>
          <w:szCs w:val="24"/>
          <w:lang w:val="it-IT"/>
        </w:rPr>
        <w:t xml:space="preserve"> </w:t>
      </w:r>
      <w:r w:rsidRPr="4CFA692C">
        <w:rPr>
          <w:rStyle w:val="FootnoteReference"/>
          <w:rFonts w:ascii="Times New Roman" w:hAnsi="Times New Roman" w:eastAsia="Times New Roman" w:cs="Times New Roman"/>
          <w:b w:val="0"/>
          <w:bCs w:val="0"/>
          <w:i w:val="0"/>
          <w:iCs w:val="0"/>
          <w:noProof w:val="0"/>
          <w:sz w:val="24"/>
          <w:szCs w:val="24"/>
          <w:lang w:val="it-IT"/>
        </w:rPr>
        <w:footnoteReference w:id="12541"/>
      </w:r>
      <w:r w:rsidRPr="4CFA692C" w:rsidR="5ABD3914">
        <w:rPr>
          <w:rFonts w:ascii="Times New Roman" w:hAnsi="Times New Roman" w:eastAsia="Times New Roman" w:cs="Times New Roman"/>
          <w:b w:val="0"/>
          <w:bCs w:val="0"/>
          <w:i w:val="0"/>
          <w:iCs w:val="0"/>
          <w:noProof w:val="0"/>
          <w:sz w:val="24"/>
          <w:szCs w:val="24"/>
          <w:lang w:val="it-IT"/>
        </w:rPr>
        <w:t>.</w:t>
      </w:r>
      <w:r w:rsidRPr="4CFA692C" w:rsidR="2209CF03">
        <w:rPr>
          <w:rFonts w:ascii="Times New Roman" w:hAnsi="Times New Roman" w:eastAsia="Times New Roman" w:cs="Times New Roman"/>
          <w:b w:val="0"/>
          <w:bCs w:val="0"/>
          <w:i w:val="0"/>
          <w:iCs w:val="0"/>
          <w:noProof w:val="0"/>
          <w:sz w:val="24"/>
          <w:szCs w:val="24"/>
          <w:lang w:val="it-IT"/>
        </w:rPr>
        <w:t xml:space="preserve"> </w:t>
      </w:r>
      <w:r w:rsidRPr="4CFA692C" w:rsidR="5ABD3914">
        <w:rPr>
          <w:rFonts w:ascii="Times New Roman" w:hAnsi="Times New Roman" w:eastAsia="Times New Roman" w:cs="Times New Roman"/>
          <w:b w:val="0"/>
          <w:bCs w:val="0"/>
          <w:i w:val="0"/>
          <w:iCs w:val="0"/>
          <w:noProof w:val="0"/>
          <w:sz w:val="24"/>
          <w:szCs w:val="24"/>
          <w:lang w:val="it-IT"/>
        </w:rPr>
        <w:t xml:space="preserve">L'inquadramento dogmatico di tali strumenti resta comunque al centro di un serrato dibattito dottrinale; parte della critica nega radicalmente la stessa pertinenza della locuzione smart </w:t>
      </w:r>
      <w:r w:rsidRPr="4CFA692C" w:rsidR="5ABD3914">
        <w:rPr>
          <w:rFonts w:ascii="Times New Roman" w:hAnsi="Times New Roman" w:eastAsia="Times New Roman" w:cs="Times New Roman"/>
          <w:b w:val="0"/>
          <w:bCs w:val="0"/>
          <w:i w:val="0"/>
          <w:iCs w:val="0"/>
          <w:noProof w:val="0"/>
          <w:sz w:val="24"/>
          <w:szCs w:val="24"/>
          <w:lang w:val="it-IT"/>
        </w:rPr>
        <w:t>contract</w:t>
      </w:r>
      <w:r w:rsidRPr="4CFA692C" w:rsidR="5ABD3914">
        <w:rPr>
          <w:rFonts w:ascii="Times New Roman" w:hAnsi="Times New Roman" w:eastAsia="Times New Roman" w:cs="Times New Roman"/>
          <w:b w:val="0"/>
          <w:bCs w:val="0"/>
          <w:i w:val="0"/>
          <w:iCs w:val="0"/>
          <w:noProof w:val="0"/>
          <w:sz w:val="24"/>
          <w:szCs w:val="24"/>
          <w:lang w:val="it-IT"/>
        </w:rPr>
        <w:t xml:space="preserve">, destrutturandone sia la componente d'intelligenza sia quella contrattuale. Si evidenzia, da un lato, l'intrinseca natura </w:t>
      </w:r>
      <w:r w:rsidRPr="4CFA692C" w:rsidR="5ABD3914">
        <w:rPr>
          <w:rFonts w:ascii="Times New Roman" w:hAnsi="Times New Roman" w:eastAsia="Times New Roman" w:cs="Times New Roman"/>
          <w:b w:val="0"/>
          <w:bCs w:val="0"/>
          <w:i w:val="0"/>
          <w:iCs w:val="0"/>
          <w:noProof w:val="0"/>
          <w:sz w:val="24"/>
          <w:szCs w:val="24"/>
          <w:lang w:val="it-IT"/>
        </w:rPr>
        <w:t>trustless</w:t>
      </w:r>
      <w:r w:rsidRPr="4CFA692C" w:rsidR="5ABD3914">
        <w:rPr>
          <w:rFonts w:ascii="Times New Roman" w:hAnsi="Times New Roman" w:eastAsia="Times New Roman" w:cs="Times New Roman"/>
          <w:b w:val="0"/>
          <w:bCs w:val="0"/>
          <w:i w:val="0"/>
          <w:iCs w:val="0"/>
          <w:noProof w:val="0"/>
          <w:sz w:val="24"/>
          <w:szCs w:val="24"/>
          <w:lang w:val="it-IT"/>
        </w:rPr>
        <w:t xml:space="preserve"> dei protocolli, concepiti per azzerare l'affidamento intersoggettivo ed eseguire imperativamente le istruzioni codificate anche laddove queste </w:t>
      </w:r>
      <w:r w:rsidRPr="4CFA692C" w:rsidR="5ABD3914">
        <w:rPr>
          <w:rFonts w:ascii="Times New Roman" w:hAnsi="Times New Roman" w:eastAsia="Times New Roman" w:cs="Times New Roman"/>
          <w:b w:val="0"/>
          <w:bCs w:val="0"/>
          <w:i w:val="0"/>
          <w:iCs w:val="0"/>
          <w:noProof w:val="0"/>
          <w:sz w:val="24"/>
          <w:szCs w:val="24"/>
          <w:lang w:val="it-IT"/>
        </w:rPr>
        <w:t>devino</w:t>
      </w:r>
      <w:r w:rsidRPr="4CFA692C" w:rsidR="5ABD3914">
        <w:rPr>
          <w:rFonts w:ascii="Times New Roman" w:hAnsi="Times New Roman" w:eastAsia="Times New Roman" w:cs="Times New Roman"/>
          <w:b w:val="0"/>
          <w:bCs w:val="0"/>
          <w:i w:val="0"/>
          <w:iCs w:val="0"/>
          <w:noProof w:val="0"/>
          <w:sz w:val="24"/>
          <w:szCs w:val="24"/>
          <w:lang w:val="it-IT"/>
        </w:rPr>
        <w:t xml:space="preserve"> dall'effettiva e sopravvenuta volontà delle parti; dall'altro, si sottolinea l'inidoneità del codice binario a riprodurre la complessità semantica e descrittiva tipica di un accordo tradizionale.</w:t>
      </w:r>
      <w:r w:rsidRPr="4CFA692C" w:rsidR="459C8246">
        <w:rPr>
          <w:rFonts w:ascii="Times New Roman" w:hAnsi="Times New Roman" w:eastAsia="Times New Roman" w:cs="Times New Roman"/>
          <w:b w:val="0"/>
          <w:bCs w:val="0"/>
          <w:i w:val="0"/>
          <w:iCs w:val="0"/>
          <w:noProof w:val="0"/>
          <w:sz w:val="24"/>
          <w:szCs w:val="24"/>
          <w:lang w:val="it-IT"/>
        </w:rPr>
        <w:t xml:space="preserve"> </w:t>
      </w:r>
      <w:r w:rsidRPr="4CFA692C" w:rsidR="5ABD3914">
        <w:rPr>
          <w:rFonts w:ascii="Times New Roman" w:hAnsi="Times New Roman" w:eastAsia="Times New Roman" w:cs="Times New Roman"/>
          <w:b w:val="0"/>
          <w:bCs w:val="0"/>
          <w:i w:val="0"/>
          <w:iCs w:val="0"/>
          <w:noProof w:val="0"/>
          <w:sz w:val="24"/>
          <w:szCs w:val="24"/>
          <w:lang w:val="it-IT"/>
        </w:rPr>
        <w:t xml:space="preserve">Sebbene il legislatore abbia formalmente sancito l'idoneità dello strumento a soddisfare il requisito della forma, l'armonizzazione con la teoria generale del contratto e con i requisiti essenziali ex art. 1325 c.c. appare complessa. L'ambiguità emerge già sul piano terminologico laddove la norma evoca il concetto di "esecuzione". Se tale espressione </w:t>
      </w:r>
      <w:r w:rsidRPr="4CFA692C" w:rsidR="5ABD3914">
        <w:rPr>
          <w:rFonts w:ascii="Times New Roman" w:hAnsi="Times New Roman" w:eastAsia="Times New Roman" w:cs="Times New Roman"/>
          <w:b w:val="0"/>
          <w:bCs w:val="0"/>
          <w:i w:val="0"/>
          <w:iCs w:val="0"/>
          <w:noProof w:val="0"/>
          <w:sz w:val="24"/>
          <w:szCs w:val="24"/>
          <w:lang w:val="it-IT"/>
        </w:rPr>
        <w:t>farebbe presupporre</w:t>
      </w:r>
      <w:r w:rsidRPr="4CFA692C" w:rsidR="5ABD3914">
        <w:rPr>
          <w:rFonts w:ascii="Times New Roman" w:hAnsi="Times New Roman" w:eastAsia="Times New Roman" w:cs="Times New Roman"/>
          <w:b w:val="0"/>
          <w:bCs w:val="0"/>
          <w:i w:val="0"/>
          <w:iCs w:val="0"/>
          <w:noProof w:val="0"/>
          <w:sz w:val="24"/>
          <w:szCs w:val="24"/>
          <w:lang w:val="it-IT"/>
        </w:rPr>
        <w:t xml:space="preserve"> una fase genetica dell'accordo collocata a monte, il testo suggerisce poi che sia l'esecuzione stessa a vincolare i contraenti, configurando il software come fonte diretta dell'obbligazione</w:t>
      </w:r>
      <w:r w:rsidRPr="4CFA692C">
        <w:rPr>
          <w:rStyle w:val="FootnoteReference"/>
          <w:rFonts w:ascii="Times New Roman" w:hAnsi="Times New Roman" w:eastAsia="Times New Roman" w:cs="Times New Roman"/>
          <w:b w:val="0"/>
          <w:bCs w:val="0"/>
          <w:i w:val="0"/>
          <w:iCs w:val="0"/>
          <w:noProof w:val="0"/>
          <w:sz w:val="24"/>
          <w:szCs w:val="24"/>
          <w:lang w:val="it-IT"/>
        </w:rPr>
        <w:footnoteReference w:id="29678"/>
      </w:r>
      <w:r w:rsidRPr="4CFA692C" w:rsidR="5ABD3914">
        <w:rPr>
          <w:rFonts w:ascii="Times New Roman" w:hAnsi="Times New Roman" w:eastAsia="Times New Roman" w:cs="Times New Roman"/>
          <w:b w:val="0"/>
          <w:bCs w:val="0"/>
          <w:i w:val="0"/>
          <w:iCs w:val="0"/>
          <w:noProof w:val="0"/>
          <w:sz w:val="24"/>
          <w:szCs w:val="24"/>
          <w:lang w:val="it-IT"/>
        </w:rPr>
        <w:t>. Per superare l'antinomia, l'esegesi della norma impone di interpretare il termine non nell'accezione giuridica di adempimento, bensì in quella strettamente informatica di elaborazione computazionale delle istruzioni da parte della macchina.</w:t>
      </w:r>
      <w:r w:rsidRPr="4CFA692C" w:rsidR="4C0D80E7">
        <w:rPr>
          <w:rFonts w:ascii="Times New Roman" w:hAnsi="Times New Roman" w:eastAsia="Times New Roman" w:cs="Times New Roman"/>
          <w:b w:val="0"/>
          <w:bCs w:val="0"/>
          <w:i w:val="0"/>
          <w:iCs w:val="0"/>
          <w:noProof w:val="0"/>
          <w:sz w:val="24"/>
          <w:szCs w:val="24"/>
          <w:lang w:val="it-IT"/>
        </w:rPr>
        <w:t xml:space="preserve"> </w:t>
      </w:r>
      <w:r w:rsidRPr="4CFA692C" w:rsidR="5ABD3914">
        <w:rPr>
          <w:rFonts w:ascii="Times New Roman" w:hAnsi="Times New Roman" w:eastAsia="Times New Roman" w:cs="Times New Roman"/>
          <w:b w:val="0"/>
          <w:bCs w:val="0"/>
          <w:i w:val="0"/>
          <w:iCs w:val="0"/>
          <w:noProof w:val="0"/>
          <w:sz w:val="24"/>
          <w:szCs w:val="24"/>
          <w:lang w:val="it-IT"/>
        </w:rPr>
        <w:t>In merito all'identificazione delle parti, il rinvio alle linee guida AgID evoca l'impianto dell'art. 20 del Codice dell’Amministrazione Digitale (CAD), che disciplina il valore probatorio del documento informatico e la sua equiparazione alla scrittura privata ex art. 2702 c.c. tramite l'utilizzo di firme elettroniche avanzate, qualificate o digitali. Resta da chiarire se l'organo tecnico intenda mutuare tali collaudati schemi di imputazione soggettiva o se la novella configuri un percorso di accertamento dell'identità del tutto autonomo e alternativo rispetto ai canoni del CAD</w:t>
      </w:r>
      <w:r w:rsidRPr="4CFA692C">
        <w:rPr>
          <w:rStyle w:val="FootnoteReference"/>
          <w:rFonts w:ascii="Times New Roman" w:hAnsi="Times New Roman" w:eastAsia="Times New Roman" w:cs="Times New Roman"/>
          <w:b w:val="0"/>
          <w:bCs w:val="0"/>
          <w:i w:val="0"/>
          <w:iCs w:val="0"/>
          <w:noProof w:val="0"/>
          <w:sz w:val="24"/>
          <w:szCs w:val="24"/>
          <w:lang w:val="it-IT"/>
        </w:rPr>
        <w:footnoteReference w:id="1697"/>
      </w:r>
      <w:r w:rsidRPr="4CFA692C" w:rsidR="5ABD3914">
        <w:rPr>
          <w:rFonts w:ascii="Times New Roman" w:hAnsi="Times New Roman" w:eastAsia="Times New Roman" w:cs="Times New Roman"/>
          <w:b w:val="0"/>
          <w:bCs w:val="0"/>
          <w:i w:val="0"/>
          <w:iCs w:val="0"/>
          <w:noProof w:val="0"/>
          <w:sz w:val="24"/>
          <w:szCs w:val="24"/>
          <w:lang w:val="it-IT"/>
        </w:rPr>
        <w:t>.</w:t>
      </w:r>
      <w:r w:rsidRPr="4CFA692C" w:rsidR="712EA977">
        <w:rPr>
          <w:rFonts w:ascii="Times New Roman" w:hAnsi="Times New Roman" w:eastAsia="Times New Roman" w:cs="Times New Roman"/>
          <w:b w:val="0"/>
          <w:bCs w:val="0"/>
          <w:i w:val="0"/>
          <w:iCs w:val="0"/>
          <w:noProof w:val="0"/>
          <w:sz w:val="24"/>
          <w:szCs w:val="24"/>
          <w:lang w:val="it-IT"/>
        </w:rPr>
        <w:t xml:space="preserve"> </w:t>
      </w:r>
      <w:r w:rsidRPr="4CFA692C" w:rsidR="5ABD3914">
        <w:rPr>
          <w:rFonts w:ascii="Times New Roman" w:hAnsi="Times New Roman" w:eastAsia="Times New Roman" w:cs="Times New Roman"/>
          <w:b w:val="0"/>
          <w:bCs w:val="0"/>
          <w:i w:val="0"/>
          <w:iCs w:val="0"/>
          <w:noProof w:val="0"/>
          <w:sz w:val="24"/>
          <w:szCs w:val="24"/>
          <w:lang w:val="it-IT"/>
        </w:rPr>
        <w:t xml:space="preserve">Ulteriori frizioni si registrano in ordine alla causa del negozio, intesa quale funzione economico-individuale dell'operazione. Se lo smart </w:t>
      </w:r>
      <w:r w:rsidRPr="4CFA692C" w:rsidR="5ABD3914">
        <w:rPr>
          <w:rFonts w:ascii="Times New Roman" w:hAnsi="Times New Roman" w:eastAsia="Times New Roman" w:cs="Times New Roman"/>
          <w:b w:val="0"/>
          <w:bCs w:val="0"/>
          <w:i w:val="0"/>
          <w:iCs w:val="0"/>
          <w:noProof w:val="0"/>
          <w:sz w:val="24"/>
          <w:szCs w:val="24"/>
          <w:lang w:val="it-IT"/>
        </w:rPr>
        <w:t>contract</w:t>
      </w:r>
      <w:r w:rsidRPr="4CFA692C" w:rsidR="5ABD3914">
        <w:rPr>
          <w:rFonts w:ascii="Times New Roman" w:hAnsi="Times New Roman" w:eastAsia="Times New Roman" w:cs="Times New Roman"/>
          <w:b w:val="0"/>
          <w:bCs w:val="0"/>
          <w:i w:val="0"/>
          <w:iCs w:val="0"/>
          <w:noProof w:val="0"/>
          <w:sz w:val="24"/>
          <w:szCs w:val="24"/>
          <w:lang w:val="it-IT"/>
        </w:rPr>
        <w:t xml:space="preserve"> descrive l'oggetto traducendo le prestazioni in stringhe di codice esecutivo, l'aridità del linguaggio di programmazione impedisce l'emersione della giustificazione causale del trasferimento di ricchezza. L'attribuzione di una somma di denaro al verificarsi di un evento algoritmico potrebbe astrattamente sottendere una compravendita, una locazione o un atto di liberalità. Ne deriva che, al fine di evitare sanzioni di nullità per difetto di causa, gli operatori si vedono costretti a integrare il codice con elementi informativi esogeni o allegati testuali in linguaggio naturale.</w:t>
      </w:r>
      <w:r w:rsidRPr="4CFA692C" w:rsidR="48F097C0">
        <w:rPr>
          <w:rFonts w:ascii="Times New Roman" w:hAnsi="Times New Roman" w:eastAsia="Times New Roman" w:cs="Times New Roman"/>
          <w:b w:val="0"/>
          <w:bCs w:val="0"/>
          <w:i w:val="0"/>
          <w:iCs w:val="0"/>
          <w:noProof w:val="0"/>
          <w:sz w:val="24"/>
          <w:szCs w:val="24"/>
          <w:lang w:val="it-IT"/>
        </w:rPr>
        <w:t xml:space="preserve"> </w:t>
      </w:r>
      <w:r w:rsidRPr="4CFA692C" w:rsidR="5ABD3914">
        <w:rPr>
          <w:rFonts w:ascii="Times New Roman" w:hAnsi="Times New Roman" w:eastAsia="Times New Roman" w:cs="Times New Roman"/>
          <w:b w:val="0"/>
          <w:bCs w:val="0"/>
          <w:i w:val="0"/>
          <w:iCs w:val="0"/>
          <w:noProof w:val="0"/>
          <w:sz w:val="24"/>
          <w:szCs w:val="24"/>
          <w:lang w:val="it-IT"/>
        </w:rPr>
        <w:t>Infine, le patologie contrattuali e i relativi rimedi sinallagmatici mal si conciliano con l'automatismo della blockchain. Se l'algoritmo può essere programmato per reagire a ipotesi di inadempimento oggettivo o impossibilità sopravvenuta, la flessibilità richiesta dall'eccessiva onerosità sopravvenuta sfugge a qualsiasi standardizzazione matematica, postulando una valutazione discrezionale su eventi straordinari e imprevedibili ex art. 1467 c.c. Allo stesso modo, i criteri ermeneutici legali risultano inapplicabili a un testo composto da stringhe logiche anziché da proposizioni verbali: i canoni interpretativi classici, primo fra tutti l'obbligo di interpretazione secondo buona fede, presuppongono una sensibilità semantica del tutto estranea alla logica binaria dei calcolatori</w:t>
      </w:r>
      <w:r w:rsidRPr="4CFA692C" w:rsidR="5E21B5F7">
        <w:rPr>
          <w:rFonts w:ascii="Times New Roman" w:hAnsi="Times New Roman" w:eastAsia="Times New Roman" w:cs="Times New Roman"/>
          <w:b w:val="0"/>
          <w:bCs w:val="0"/>
          <w:i w:val="0"/>
          <w:iCs w:val="0"/>
          <w:noProof w:val="0"/>
          <w:sz w:val="24"/>
          <w:szCs w:val="24"/>
          <w:lang w:val="it-IT"/>
        </w:rPr>
        <w:t xml:space="preserve"> </w:t>
      </w:r>
      <w:r w:rsidRPr="4CFA692C">
        <w:rPr>
          <w:rStyle w:val="FootnoteReference"/>
          <w:rFonts w:ascii="Times New Roman" w:hAnsi="Times New Roman" w:eastAsia="Times New Roman" w:cs="Times New Roman"/>
          <w:b w:val="0"/>
          <w:bCs w:val="0"/>
          <w:i w:val="0"/>
          <w:iCs w:val="0"/>
          <w:noProof w:val="0"/>
          <w:sz w:val="24"/>
          <w:szCs w:val="24"/>
          <w:lang w:val="it-IT"/>
        </w:rPr>
        <w:footnoteReference w:id="16669"/>
      </w:r>
      <w:r w:rsidRPr="4CFA692C" w:rsidR="5ABD3914">
        <w:rPr>
          <w:rFonts w:ascii="Times New Roman" w:hAnsi="Times New Roman" w:eastAsia="Times New Roman" w:cs="Times New Roman"/>
          <w:b w:val="0"/>
          <w:bCs w:val="0"/>
          <w:i w:val="0"/>
          <w:iCs w:val="0"/>
          <w:noProof w:val="0"/>
          <w:sz w:val="24"/>
          <w:szCs w:val="24"/>
          <w:lang w:val="it-IT"/>
        </w:rPr>
        <w:t>.</w:t>
      </w:r>
    </w:p>
    <w:p w:rsidR="62545789" w:rsidP="4CFA692C" w:rsidRDefault="62545789" w14:paraId="0894312E" w14:textId="6B1E779D">
      <w:pPr>
        <w:pStyle w:val="Normal"/>
        <w:spacing w:before="0" w:beforeAutospacing="off" w:line="360" w:lineRule="auto"/>
        <w:ind w:firstLine="567"/>
        <w:jc w:val="both"/>
      </w:pPr>
      <w:r w:rsidRPr="4CFA692C" w:rsidR="5519230F">
        <w:rPr>
          <w:rFonts w:ascii="Times New Roman" w:hAnsi="Times New Roman" w:eastAsia="Times New Roman" w:cs="Times New Roman"/>
          <w:b w:val="0"/>
          <w:bCs w:val="0"/>
          <w:i w:val="0"/>
          <w:iCs w:val="0"/>
          <w:noProof w:val="0"/>
          <w:sz w:val="24"/>
          <w:szCs w:val="24"/>
          <w:lang w:val="it-IT"/>
        </w:rPr>
        <w:t xml:space="preserve">La natura intrinsecamente transfrontaliera dei registri decentralizzati e degli accordi algoritmici ha destato, com'era prevedibile, un vivo interesse da parte delle istituzioni dell'Unione Europea. Sotto il profilo storico-documentale, già nel 2017 un report del Parlamento Europeo intitolato "How blockchain </w:t>
      </w:r>
      <w:r w:rsidRPr="4CFA692C" w:rsidR="5519230F">
        <w:rPr>
          <w:rFonts w:ascii="Times New Roman" w:hAnsi="Times New Roman" w:eastAsia="Times New Roman" w:cs="Times New Roman"/>
          <w:b w:val="0"/>
          <w:bCs w:val="0"/>
          <w:i w:val="0"/>
          <w:iCs w:val="0"/>
          <w:noProof w:val="0"/>
          <w:sz w:val="24"/>
          <w:szCs w:val="24"/>
          <w:lang w:val="it-IT"/>
        </w:rPr>
        <w:t>technology</w:t>
      </w:r>
      <w:r w:rsidRPr="4CFA692C" w:rsidR="5519230F">
        <w:rPr>
          <w:rFonts w:ascii="Times New Roman" w:hAnsi="Times New Roman" w:eastAsia="Times New Roman" w:cs="Times New Roman"/>
          <w:b w:val="0"/>
          <w:bCs w:val="0"/>
          <w:i w:val="0"/>
          <w:iCs w:val="0"/>
          <w:noProof w:val="0"/>
          <w:sz w:val="24"/>
          <w:szCs w:val="24"/>
          <w:lang w:val="it-IT"/>
        </w:rPr>
        <w:t xml:space="preserve"> </w:t>
      </w:r>
      <w:r w:rsidRPr="4CFA692C" w:rsidR="5519230F">
        <w:rPr>
          <w:rFonts w:ascii="Times New Roman" w:hAnsi="Times New Roman" w:eastAsia="Times New Roman" w:cs="Times New Roman"/>
          <w:b w:val="0"/>
          <w:bCs w:val="0"/>
          <w:i w:val="0"/>
          <w:iCs w:val="0"/>
          <w:noProof w:val="0"/>
          <w:sz w:val="24"/>
          <w:szCs w:val="24"/>
          <w:lang w:val="it-IT"/>
        </w:rPr>
        <w:t>could</w:t>
      </w:r>
      <w:r w:rsidRPr="4CFA692C" w:rsidR="5519230F">
        <w:rPr>
          <w:rFonts w:ascii="Times New Roman" w:hAnsi="Times New Roman" w:eastAsia="Times New Roman" w:cs="Times New Roman"/>
          <w:b w:val="0"/>
          <w:bCs w:val="0"/>
          <w:i w:val="0"/>
          <w:iCs w:val="0"/>
          <w:noProof w:val="0"/>
          <w:sz w:val="24"/>
          <w:szCs w:val="24"/>
          <w:lang w:val="it-IT"/>
        </w:rPr>
        <w:t xml:space="preserve"> </w:t>
      </w:r>
      <w:r w:rsidRPr="4CFA692C" w:rsidR="5519230F">
        <w:rPr>
          <w:rFonts w:ascii="Times New Roman" w:hAnsi="Times New Roman" w:eastAsia="Times New Roman" w:cs="Times New Roman"/>
          <w:b w:val="0"/>
          <w:bCs w:val="0"/>
          <w:i w:val="0"/>
          <w:iCs w:val="0"/>
          <w:noProof w:val="0"/>
          <w:sz w:val="24"/>
          <w:szCs w:val="24"/>
          <w:lang w:val="it-IT"/>
        </w:rPr>
        <w:t>change</w:t>
      </w:r>
      <w:r w:rsidRPr="4CFA692C" w:rsidR="5519230F">
        <w:rPr>
          <w:rFonts w:ascii="Times New Roman" w:hAnsi="Times New Roman" w:eastAsia="Times New Roman" w:cs="Times New Roman"/>
          <w:b w:val="0"/>
          <w:bCs w:val="0"/>
          <w:i w:val="0"/>
          <w:iCs w:val="0"/>
          <w:noProof w:val="0"/>
          <w:sz w:val="24"/>
          <w:szCs w:val="24"/>
          <w:lang w:val="it-IT"/>
        </w:rPr>
        <w:t xml:space="preserve"> </w:t>
      </w:r>
      <w:r w:rsidRPr="4CFA692C" w:rsidR="5519230F">
        <w:rPr>
          <w:rFonts w:ascii="Times New Roman" w:hAnsi="Times New Roman" w:eastAsia="Times New Roman" w:cs="Times New Roman"/>
          <w:b w:val="0"/>
          <w:bCs w:val="0"/>
          <w:i w:val="0"/>
          <w:iCs w:val="0"/>
          <w:noProof w:val="0"/>
          <w:sz w:val="24"/>
          <w:szCs w:val="24"/>
          <w:lang w:val="it-IT"/>
        </w:rPr>
        <w:t>our</w:t>
      </w:r>
      <w:r w:rsidRPr="4CFA692C" w:rsidR="5519230F">
        <w:rPr>
          <w:rFonts w:ascii="Times New Roman" w:hAnsi="Times New Roman" w:eastAsia="Times New Roman" w:cs="Times New Roman"/>
          <w:b w:val="0"/>
          <w:bCs w:val="0"/>
          <w:i w:val="0"/>
          <w:iCs w:val="0"/>
          <w:noProof w:val="0"/>
          <w:sz w:val="24"/>
          <w:szCs w:val="24"/>
          <w:lang w:val="it-IT"/>
        </w:rPr>
        <w:t xml:space="preserve"> </w:t>
      </w:r>
      <w:r w:rsidRPr="4CFA692C" w:rsidR="5519230F">
        <w:rPr>
          <w:rFonts w:ascii="Times New Roman" w:hAnsi="Times New Roman" w:eastAsia="Times New Roman" w:cs="Times New Roman"/>
          <w:b w:val="0"/>
          <w:bCs w:val="0"/>
          <w:i w:val="0"/>
          <w:iCs w:val="0"/>
          <w:noProof w:val="0"/>
          <w:sz w:val="24"/>
          <w:szCs w:val="24"/>
          <w:lang w:val="it-IT"/>
        </w:rPr>
        <w:t>lives</w:t>
      </w:r>
      <w:r w:rsidRPr="4CFA692C" w:rsidR="5519230F">
        <w:rPr>
          <w:rFonts w:ascii="Times New Roman" w:hAnsi="Times New Roman" w:eastAsia="Times New Roman" w:cs="Times New Roman"/>
          <w:b w:val="0"/>
          <w:bCs w:val="0"/>
          <w:i w:val="0"/>
          <w:iCs w:val="0"/>
          <w:noProof w:val="0"/>
          <w:sz w:val="24"/>
          <w:szCs w:val="24"/>
          <w:lang w:val="it-IT"/>
        </w:rPr>
        <w:t xml:space="preserve">" ha tracciato una prima mappatura delle ricadute </w:t>
      </w:r>
      <w:r w:rsidRPr="4CFA692C" w:rsidR="5519230F">
        <w:rPr>
          <w:rFonts w:ascii="Times New Roman" w:hAnsi="Times New Roman" w:eastAsia="Times New Roman" w:cs="Times New Roman"/>
          <w:b w:val="0"/>
          <w:bCs w:val="0"/>
          <w:i w:val="0"/>
          <w:iCs w:val="0"/>
          <w:noProof w:val="0"/>
          <w:sz w:val="24"/>
          <w:szCs w:val="24"/>
          <w:lang w:val="it-IT"/>
        </w:rPr>
        <w:t>socio-economiche</w:t>
      </w:r>
      <w:r w:rsidRPr="4CFA692C" w:rsidR="5519230F">
        <w:rPr>
          <w:rFonts w:ascii="Times New Roman" w:hAnsi="Times New Roman" w:eastAsia="Times New Roman" w:cs="Times New Roman"/>
          <w:b w:val="0"/>
          <w:bCs w:val="0"/>
          <w:i w:val="0"/>
          <w:iCs w:val="0"/>
          <w:noProof w:val="0"/>
          <w:sz w:val="24"/>
          <w:szCs w:val="24"/>
          <w:lang w:val="it-IT"/>
        </w:rPr>
        <w:t xml:space="preserve"> di tali strumenti. Ad esso è seguita l'istituzione dell'Osservatorio e Forum Europeo sulla blockchain, promosso dalla Commissione Europea in seno alla Direzione Generale delle Reti di comunicazione, dei contenuti e delle tecnologie con funzioni di monitoraggio strategico. Lo stanziamento di fondi superiori a trecento milioni di euro all'interno del programma Horizon 2020 testimonia la concretezza dell'impegno finanziario profuso. La progressiva convergenza verso standard operativi unificati è stata poi caldeggiata dai comitati tecnici Cen e Cenelec con la stesura di appositi Libri Bianchi e raccomandazioni, supportati da plurime risoluzioni del Parlamento di Strasburgo</w:t>
      </w:r>
      <w:r w:rsidRPr="4CFA692C" w:rsidR="228D5993">
        <w:rPr>
          <w:rFonts w:ascii="Times New Roman" w:hAnsi="Times New Roman" w:eastAsia="Times New Roman" w:cs="Times New Roman"/>
          <w:b w:val="0"/>
          <w:bCs w:val="0"/>
          <w:i w:val="0"/>
          <w:iCs w:val="0"/>
          <w:noProof w:val="0"/>
          <w:sz w:val="24"/>
          <w:szCs w:val="24"/>
          <w:lang w:val="it-IT"/>
        </w:rPr>
        <w:t xml:space="preserve"> </w:t>
      </w:r>
      <w:r w:rsidRPr="4CFA692C">
        <w:rPr>
          <w:rStyle w:val="FootnoteReference"/>
          <w:rFonts w:ascii="Times New Roman" w:hAnsi="Times New Roman" w:eastAsia="Times New Roman" w:cs="Times New Roman"/>
          <w:b w:val="0"/>
          <w:bCs w:val="0"/>
          <w:i w:val="0"/>
          <w:iCs w:val="0"/>
          <w:noProof w:val="0"/>
          <w:sz w:val="24"/>
          <w:szCs w:val="24"/>
          <w:lang w:val="it-IT"/>
        </w:rPr>
        <w:footnoteReference w:id="852"/>
      </w:r>
      <w:r w:rsidRPr="4CFA692C" w:rsidR="5519230F">
        <w:rPr>
          <w:rFonts w:ascii="Times New Roman" w:hAnsi="Times New Roman" w:eastAsia="Times New Roman" w:cs="Times New Roman"/>
          <w:b w:val="0"/>
          <w:bCs w:val="0"/>
          <w:i w:val="0"/>
          <w:iCs w:val="0"/>
          <w:noProof w:val="0"/>
          <w:sz w:val="24"/>
          <w:szCs w:val="24"/>
          <w:lang w:val="it-IT"/>
        </w:rPr>
        <w:t xml:space="preserve">. </w:t>
      </w:r>
      <w:r w:rsidRPr="4CFA692C" w:rsidR="50AC41A5">
        <w:rPr>
          <w:rFonts w:ascii="Times New Roman" w:hAnsi="Times New Roman" w:eastAsia="Times New Roman" w:cs="Times New Roman"/>
          <w:b w:val="0"/>
          <w:bCs w:val="0"/>
          <w:i w:val="0"/>
          <w:iCs w:val="0"/>
          <w:noProof w:val="0"/>
          <w:sz w:val="24"/>
          <w:szCs w:val="24"/>
          <w:lang w:val="it-IT"/>
        </w:rPr>
        <w:t xml:space="preserve">Sul piano della cooperazione interstatale, un momento di snodo è rappresentato dalla sigla della </w:t>
      </w:r>
      <w:r w:rsidRPr="4CFA692C" w:rsidR="50AC41A5">
        <w:rPr>
          <w:rFonts w:ascii="Times New Roman" w:hAnsi="Times New Roman" w:eastAsia="Times New Roman" w:cs="Times New Roman"/>
          <w:b w:val="0"/>
          <w:bCs w:val="0"/>
          <w:i w:val="0"/>
          <w:iCs w:val="0"/>
          <w:noProof w:val="0"/>
          <w:sz w:val="24"/>
          <w:szCs w:val="24"/>
          <w:lang w:val="it-IT"/>
        </w:rPr>
        <w:t>European</w:t>
      </w:r>
      <w:r w:rsidRPr="4CFA692C" w:rsidR="50AC41A5">
        <w:rPr>
          <w:rFonts w:ascii="Times New Roman" w:hAnsi="Times New Roman" w:eastAsia="Times New Roman" w:cs="Times New Roman"/>
          <w:b w:val="0"/>
          <w:bCs w:val="0"/>
          <w:i w:val="0"/>
          <w:iCs w:val="0"/>
          <w:noProof w:val="0"/>
          <w:sz w:val="24"/>
          <w:szCs w:val="24"/>
          <w:lang w:val="it-IT"/>
        </w:rPr>
        <w:t xml:space="preserve"> Blockchain Partnership (EBP), volta all'implementazione dell'Infrastruttura Europea di Servizi Blockchain (EBSI) per l'erogazione di servizi pubblici digitali transfrontalieri dotati di elevati standard di riservatezza e sicurezza. L'Italia, inizialmente estranea all'accordo, ha formalizzato la propria adesione nel settembre del 2018, assumendo successivamente la presidenza di turno del partenariato nel luglio 2019 insieme a Svezia e Repubblica Ceca. </w:t>
      </w:r>
      <w:r w:rsidRPr="4CFA692C" w:rsidR="0D0F57A8">
        <w:rPr>
          <w:rFonts w:ascii="Times New Roman" w:hAnsi="Times New Roman" w:eastAsia="Times New Roman" w:cs="Times New Roman"/>
          <w:b w:val="0"/>
          <w:bCs w:val="0"/>
          <w:i w:val="0"/>
          <w:iCs w:val="0"/>
          <w:noProof w:val="0"/>
          <w:sz w:val="24"/>
          <w:szCs w:val="24"/>
          <w:lang w:val="it-IT"/>
        </w:rPr>
        <w:t xml:space="preserve">Tuttavia, l'approccio definitorio adottato dal legislatore italiano con il Decreto Semplificazioni manifesta alcune asimmetrie rispetto agli orientamenti emersi in sede sovranazionale, preludendo a probabili interventi correttivi in ottica di armonizzazione. Al contrario, altri ordinamenti europei hanno optato per un quadro regolamentare organico e autosufficiente. L'esempio più significativo è offerto dal modello maltese che, tramite il Virtual Financial Assets Act (VFAA), ha introdotto una nozione di smart </w:t>
      </w:r>
      <w:r w:rsidRPr="4CFA692C" w:rsidR="0D0F57A8">
        <w:rPr>
          <w:rFonts w:ascii="Times New Roman" w:hAnsi="Times New Roman" w:eastAsia="Times New Roman" w:cs="Times New Roman"/>
          <w:b w:val="0"/>
          <w:bCs w:val="0"/>
          <w:i w:val="0"/>
          <w:iCs w:val="0"/>
          <w:noProof w:val="0"/>
          <w:sz w:val="24"/>
          <w:szCs w:val="24"/>
          <w:lang w:val="it-IT"/>
        </w:rPr>
        <w:t>contract</w:t>
      </w:r>
      <w:r w:rsidRPr="4CFA692C" w:rsidR="0D0F57A8">
        <w:rPr>
          <w:rFonts w:ascii="Times New Roman" w:hAnsi="Times New Roman" w:eastAsia="Times New Roman" w:cs="Times New Roman"/>
          <w:b w:val="0"/>
          <w:bCs w:val="0"/>
          <w:i w:val="0"/>
          <w:iCs w:val="0"/>
          <w:noProof w:val="0"/>
          <w:sz w:val="24"/>
          <w:szCs w:val="24"/>
          <w:lang w:val="it-IT"/>
        </w:rPr>
        <w:t xml:space="preserve"> marcatamente flessibile</w:t>
      </w:r>
      <w:r w:rsidRPr="4CFA692C" w:rsidR="5B5D5623">
        <w:rPr>
          <w:rFonts w:ascii="Times New Roman" w:hAnsi="Times New Roman" w:eastAsia="Times New Roman" w:cs="Times New Roman"/>
          <w:b w:val="0"/>
          <w:bCs w:val="0"/>
          <w:i w:val="0"/>
          <w:iCs w:val="0"/>
          <w:noProof w:val="0"/>
          <w:sz w:val="24"/>
          <w:szCs w:val="24"/>
          <w:lang w:val="it-IT"/>
        </w:rPr>
        <w:t xml:space="preserve"> </w:t>
      </w:r>
      <w:r w:rsidRPr="4CFA692C">
        <w:rPr>
          <w:rStyle w:val="FootnoteReference"/>
          <w:rFonts w:ascii="Times New Roman" w:hAnsi="Times New Roman" w:eastAsia="Times New Roman" w:cs="Times New Roman"/>
          <w:b w:val="0"/>
          <w:bCs w:val="0"/>
          <w:i w:val="0"/>
          <w:iCs w:val="0"/>
          <w:noProof w:val="0"/>
          <w:sz w:val="24"/>
          <w:szCs w:val="24"/>
          <w:lang w:val="it-IT"/>
        </w:rPr>
        <w:footnoteReference w:id="16794"/>
      </w:r>
      <w:r w:rsidRPr="4CFA692C" w:rsidR="0D0F57A8">
        <w:rPr>
          <w:rFonts w:ascii="Times New Roman" w:hAnsi="Times New Roman" w:eastAsia="Times New Roman" w:cs="Times New Roman"/>
          <w:b w:val="0"/>
          <w:bCs w:val="0"/>
          <w:i w:val="0"/>
          <w:iCs w:val="0"/>
          <w:noProof w:val="0"/>
          <w:sz w:val="24"/>
          <w:szCs w:val="24"/>
          <w:lang w:val="it-IT"/>
        </w:rPr>
        <w:t xml:space="preserve">. La legislazione di La Valletta qualifica tali strumenti come intese tecnologiche espresse in moduli elettronici ed eseguibili via codice, ammettendo esplicitamente la possibilità di input o controlli umani intermedi, nonché l'interoperabilità con i tradizionali rimedi legali. </w:t>
      </w:r>
      <w:r w:rsidRPr="4CFA692C" w:rsidR="3E5BB01C">
        <w:rPr>
          <w:rFonts w:ascii="Times New Roman" w:hAnsi="Times New Roman" w:eastAsia="Times New Roman" w:cs="Times New Roman"/>
          <w:b w:val="0"/>
          <w:bCs w:val="0"/>
          <w:i w:val="0"/>
          <w:iCs w:val="0"/>
          <w:noProof w:val="0"/>
          <w:sz w:val="24"/>
          <w:szCs w:val="24"/>
          <w:lang w:val="it-IT"/>
        </w:rPr>
        <w:t xml:space="preserve">Il Digital Innovation Framework maltese si articola su tre pilastri legislativi coordinati (VFAA, Malta Digital Innovation Authority Act e Innovative Technology </w:t>
      </w:r>
      <w:r w:rsidRPr="4CFA692C" w:rsidR="3E5BB01C">
        <w:rPr>
          <w:rFonts w:ascii="Times New Roman" w:hAnsi="Times New Roman" w:eastAsia="Times New Roman" w:cs="Times New Roman"/>
          <w:b w:val="0"/>
          <w:bCs w:val="0"/>
          <w:i w:val="0"/>
          <w:iCs w:val="0"/>
          <w:noProof w:val="0"/>
          <w:sz w:val="24"/>
          <w:szCs w:val="24"/>
          <w:lang w:val="it-IT"/>
        </w:rPr>
        <w:t>Arrangements</w:t>
      </w:r>
      <w:r w:rsidRPr="4CFA692C" w:rsidR="3E5BB01C">
        <w:rPr>
          <w:rFonts w:ascii="Times New Roman" w:hAnsi="Times New Roman" w:eastAsia="Times New Roman" w:cs="Times New Roman"/>
          <w:b w:val="0"/>
          <w:bCs w:val="0"/>
          <w:i w:val="0"/>
          <w:iCs w:val="0"/>
          <w:noProof w:val="0"/>
          <w:sz w:val="24"/>
          <w:szCs w:val="24"/>
          <w:lang w:val="it-IT"/>
        </w:rPr>
        <w:t xml:space="preserve"> and Services Act) che devono integrarsi con le discipline di settore, dalla MiFID II al diritto societario e dei consumatori. Questo impianto normativo, che si affianca all'autorità finanziaria MFSA e alla MDIA, ha introdotto una specifica tassonomia per la classificazione dei token, distinguendoli in quattro categorie: i </w:t>
      </w:r>
      <w:r w:rsidRPr="4CFA692C" w:rsidR="3E5BB01C">
        <w:rPr>
          <w:rFonts w:ascii="Times New Roman" w:hAnsi="Times New Roman" w:eastAsia="Times New Roman" w:cs="Times New Roman"/>
          <w:b w:val="0"/>
          <w:bCs w:val="0"/>
          <w:i w:val="0"/>
          <w:iCs w:val="0"/>
          <w:noProof w:val="0"/>
          <w:sz w:val="24"/>
          <w:szCs w:val="24"/>
          <w:lang w:val="it-IT"/>
        </w:rPr>
        <w:t>virtual</w:t>
      </w:r>
      <w:r w:rsidRPr="4CFA692C" w:rsidR="3E5BB01C">
        <w:rPr>
          <w:rFonts w:ascii="Times New Roman" w:hAnsi="Times New Roman" w:eastAsia="Times New Roman" w:cs="Times New Roman"/>
          <w:b w:val="0"/>
          <w:bCs w:val="0"/>
          <w:i w:val="0"/>
          <w:iCs w:val="0"/>
          <w:noProof w:val="0"/>
          <w:sz w:val="24"/>
          <w:szCs w:val="24"/>
          <w:lang w:val="it-IT"/>
        </w:rPr>
        <w:t xml:space="preserve"> token puri (assimilabili agli utility token, spendibili solo per beni e servizi interni al circuito e non scambiabili su </w:t>
      </w:r>
      <w:r w:rsidRPr="4CFA692C" w:rsidR="3E5BB01C">
        <w:rPr>
          <w:rFonts w:ascii="Times New Roman" w:hAnsi="Times New Roman" w:eastAsia="Times New Roman" w:cs="Times New Roman"/>
          <w:b w:val="0"/>
          <w:bCs w:val="0"/>
          <w:i w:val="0"/>
          <w:iCs w:val="0"/>
          <w:noProof w:val="0"/>
          <w:sz w:val="24"/>
          <w:szCs w:val="24"/>
          <w:lang w:val="it-IT"/>
        </w:rPr>
        <w:t>exchange</w:t>
      </w:r>
      <w:r w:rsidRPr="4CFA692C" w:rsidR="3E5BB01C">
        <w:rPr>
          <w:rFonts w:ascii="Times New Roman" w:hAnsi="Times New Roman" w:eastAsia="Times New Roman" w:cs="Times New Roman"/>
          <w:b w:val="0"/>
          <w:bCs w:val="0"/>
          <w:i w:val="0"/>
          <w:iCs w:val="0"/>
          <w:noProof w:val="0"/>
          <w:sz w:val="24"/>
          <w:szCs w:val="24"/>
          <w:lang w:val="it-IT"/>
        </w:rPr>
        <w:t>); l'eccedenza monetaria elettronica (</w:t>
      </w:r>
      <w:r w:rsidRPr="4CFA692C" w:rsidR="3E5BB01C">
        <w:rPr>
          <w:rFonts w:ascii="Times New Roman" w:hAnsi="Times New Roman" w:eastAsia="Times New Roman" w:cs="Times New Roman"/>
          <w:b w:val="0"/>
          <w:bCs w:val="0"/>
          <w:i w:val="0"/>
          <w:iCs w:val="0"/>
          <w:noProof w:val="0"/>
          <w:sz w:val="24"/>
          <w:szCs w:val="24"/>
          <w:lang w:val="it-IT"/>
        </w:rPr>
        <w:t>electronic</w:t>
      </w:r>
      <w:r w:rsidRPr="4CFA692C" w:rsidR="3E5BB01C">
        <w:rPr>
          <w:rFonts w:ascii="Times New Roman" w:hAnsi="Times New Roman" w:eastAsia="Times New Roman" w:cs="Times New Roman"/>
          <w:b w:val="0"/>
          <w:bCs w:val="0"/>
          <w:i w:val="0"/>
          <w:iCs w:val="0"/>
          <w:noProof w:val="0"/>
          <w:sz w:val="24"/>
          <w:szCs w:val="24"/>
          <w:lang w:val="it-IT"/>
        </w:rPr>
        <w:t xml:space="preserve"> money) soggetta alla direttiva 2009/110/CE; gli strumenti finanziari (</w:t>
      </w:r>
      <w:r w:rsidRPr="4CFA692C" w:rsidR="3E5BB01C">
        <w:rPr>
          <w:rFonts w:ascii="Times New Roman" w:hAnsi="Times New Roman" w:eastAsia="Times New Roman" w:cs="Times New Roman"/>
          <w:b w:val="0"/>
          <w:bCs w:val="0"/>
          <w:i w:val="0"/>
          <w:iCs w:val="0"/>
          <w:noProof w:val="0"/>
          <w:sz w:val="24"/>
          <w:szCs w:val="24"/>
          <w:lang w:val="it-IT"/>
        </w:rPr>
        <w:t>financial</w:t>
      </w:r>
      <w:r w:rsidRPr="4CFA692C" w:rsidR="3E5BB01C">
        <w:rPr>
          <w:rFonts w:ascii="Times New Roman" w:hAnsi="Times New Roman" w:eastAsia="Times New Roman" w:cs="Times New Roman"/>
          <w:b w:val="0"/>
          <w:bCs w:val="0"/>
          <w:i w:val="0"/>
          <w:iCs w:val="0"/>
          <w:noProof w:val="0"/>
          <w:sz w:val="24"/>
          <w:szCs w:val="24"/>
          <w:lang w:val="it-IT"/>
        </w:rPr>
        <w:t xml:space="preserve"> </w:t>
      </w:r>
      <w:r w:rsidRPr="4CFA692C" w:rsidR="3E5BB01C">
        <w:rPr>
          <w:rFonts w:ascii="Times New Roman" w:hAnsi="Times New Roman" w:eastAsia="Times New Roman" w:cs="Times New Roman"/>
          <w:b w:val="0"/>
          <w:bCs w:val="0"/>
          <w:i w:val="0"/>
          <w:iCs w:val="0"/>
          <w:noProof w:val="0"/>
          <w:sz w:val="24"/>
          <w:szCs w:val="24"/>
          <w:lang w:val="it-IT"/>
        </w:rPr>
        <w:t>instruments</w:t>
      </w:r>
      <w:r w:rsidRPr="4CFA692C" w:rsidR="3E5BB01C">
        <w:rPr>
          <w:rFonts w:ascii="Times New Roman" w:hAnsi="Times New Roman" w:eastAsia="Times New Roman" w:cs="Times New Roman"/>
          <w:b w:val="0"/>
          <w:bCs w:val="0"/>
          <w:i w:val="0"/>
          <w:iCs w:val="0"/>
          <w:noProof w:val="0"/>
          <w:sz w:val="24"/>
          <w:szCs w:val="24"/>
          <w:lang w:val="it-IT"/>
        </w:rPr>
        <w:t xml:space="preserve">) che replicano la logica dei security token sotto l'egida della MiFID II; e infine la categoria residuale dei </w:t>
      </w:r>
      <w:r w:rsidRPr="4CFA692C" w:rsidR="3E5BB01C">
        <w:rPr>
          <w:rFonts w:ascii="Times New Roman" w:hAnsi="Times New Roman" w:eastAsia="Times New Roman" w:cs="Times New Roman"/>
          <w:b w:val="0"/>
          <w:bCs w:val="0"/>
          <w:i w:val="0"/>
          <w:iCs w:val="0"/>
          <w:noProof w:val="0"/>
          <w:sz w:val="24"/>
          <w:szCs w:val="24"/>
          <w:lang w:val="it-IT"/>
        </w:rPr>
        <w:t>virtual</w:t>
      </w:r>
      <w:r w:rsidRPr="4CFA692C" w:rsidR="3E5BB01C">
        <w:rPr>
          <w:rFonts w:ascii="Times New Roman" w:hAnsi="Times New Roman" w:eastAsia="Times New Roman" w:cs="Times New Roman"/>
          <w:b w:val="0"/>
          <w:bCs w:val="0"/>
          <w:i w:val="0"/>
          <w:iCs w:val="0"/>
          <w:noProof w:val="0"/>
          <w:sz w:val="24"/>
          <w:szCs w:val="24"/>
          <w:lang w:val="it-IT"/>
        </w:rPr>
        <w:t xml:space="preserve"> </w:t>
      </w:r>
      <w:r w:rsidRPr="4CFA692C" w:rsidR="3E5BB01C">
        <w:rPr>
          <w:rFonts w:ascii="Times New Roman" w:hAnsi="Times New Roman" w:eastAsia="Times New Roman" w:cs="Times New Roman"/>
          <w:b w:val="0"/>
          <w:bCs w:val="0"/>
          <w:i w:val="0"/>
          <w:iCs w:val="0"/>
          <w:noProof w:val="0"/>
          <w:sz w:val="24"/>
          <w:szCs w:val="24"/>
          <w:lang w:val="it-IT"/>
        </w:rPr>
        <w:t>financial</w:t>
      </w:r>
      <w:r w:rsidRPr="4CFA692C" w:rsidR="3E5BB01C">
        <w:rPr>
          <w:rFonts w:ascii="Times New Roman" w:hAnsi="Times New Roman" w:eastAsia="Times New Roman" w:cs="Times New Roman"/>
          <w:b w:val="0"/>
          <w:bCs w:val="0"/>
          <w:i w:val="0"/>
          <w:iCs w:val="0"/>
          <w:noProof w:val="0"/>
          <w:sz w:val="24"/>
          <w:szCs w:val="24"/>
          <w:lang w:val="it-IT"/>
        </w:rPr>
        <w:t xml:space="preserve"> assets (VFA), entro cui si collocano asset come il Bitcoin, dotati di autonoma capacità di scambio e destinazione d'investimento al di fuori delle direttive tradizionali</w:t>
      </w:r>
      <w:r w:rsidRPr="4CFA692C" w:rsidR="55B4B30C">
        <w:rPr>
          <w:rFonts w:ascii="Times New Roman" w:hAnsi="Times New Roman" w:eastAsia="Times New Roman" w:cs="Times New Roman"/>
          <w:b w:val="0"/>
          <w:bCs w:val="0"/>
          <w:i w:val="0"/>
          <w:iCs w:val="0"/>
          <w:noProof w:val="0"/>
          <w:sz w:val="24"/>
          <w:szCs w:val="24"/>
          <w:lang w:val="it-IT"/>
        </w:rPr>
        <w:t xml:space="preserve"> </w:t>
      </w:r>
      <w:r w:rsidRPr="4CFA692C">
        <w:rPr>
          <w:rStyle w:val="FootnoteReference"/>
          <w:rFonts w:ascii="Times New Roman" w:hAnsi="Times New Roman" w:eastAsia="Times New Roman" w:cs="Times New Roman"/>
          <w:b w:val="0"/>
          <w:bCs w:val="0"/>
          <w:i w:val="0"/>
          <w:iCs w:val="0"/>
          <w:noProof w:val="0"/>
          <w:sz w:val="24"/>
          <w:szCs w:val="24"/>
          <w:lang w:val="it-IT"/>
        </w:rPr>
        <w:footnoteReference w:id="14844"/>
      </w:r>
      <w:r w:rsidRPr="4CFA692C" w:rsidR="3E5BB01C">
        <w:rPr>
          <w:rFonts w:ascii="Times New Roman" w:hAnsi="Times New Roman" w:eastAsia="Times New Roman" w:cs="Times New Roman"/>
          <w:b w:val="0"/>
          <w:bCs w:val="0"/>
          <w:i w:val="0"/>
          <w:iCs w:val="0"/>
          <w:noProof w:val="0"/>
          <w:sz w:val="24"/>
          <w:szCs w:val="24"/>
          <w:lang w:val="it-IT"/>
        </w:rPr>
        <w:t xml:space="preserve">. L'architettura maltese presidia la regolarità delle emissioni attraverso la figura del VFA Agent, un professionista abilitato e patrimonializzato incaricato di sottoporre i progetti al Financial </w:t>
      </w:r>
      <w:r w:rsidRPr="4CFA692C" w:rsidR="3E5BB01C">
        <w:rPr>
          <w:rFonts w:ascii="Times New Roman" w:hAnsi="Times New Roman" w:eastAsia="Times New Roman" w:cs="Times New Roman"/>
          <w:b w:val="0"/>
          <w:bCs w:val="0"/>
          <w:i w:val="0"/>
          <w:iCs w:val="0"/>
          <w:noProof w:val="0"/>
          <w:sz w:val="24"/>
          <w:szCs w:val="24"/>
          <w:lang w:val="it-IT"/>
        </w:rPr>
        <w:t>Instrument</w:t>
      </w:r>
      <w:r w:rsidRPr="4CFA692C" w:rsidR="3E5BB01C">
        <w:rPr>
          <w:rFonts w:ascii="Times New Roman" w:hAnsi="Times New Roman" w:eastAsia="Times New Roman" w:cs="Times New Roman"/>
          <w:b w:val="0"/>
          <w:bCs w:val="0"/>
          <w:i w:val="0"/>
          <w:iCs w:val="0"/>
          <w:noProof w:val="0"/>
          <w:sz w:val="24"/>
          <w:szCs w:val="24"/>
          <w:lang w:val="it-IT"/>
        </w:rPr>
        <w:t xml:space="preserve"> Test per determinarne lo statuto giuridico e i conseguenti obblighi di capitalizzazione e compliance interna.</w:t>
      </w:r>
      <w:r w:rsidRPr="4CFA692C" w:rsidR="6037865D">
        <w:rPr>
          <w:rFonts w:ascii="Times New Roman" w:hAnsi="Times New Roman" w:eastAsia="Times New Roman" w:cs="Times New Roman"/>
          <w:b w:val="0"/>
          <w:bCs w:val="0"/>
          <w:i w:val="0"/>
          <w:iCs w:val="0"/>
          <w:noProof w:val="0"/>
          <w:sz w:val="24"/>
          <w:szCs w:val="24"/>
          <w:lang w:val="it-IT"/>
        </w:rPr>
        <w:t xml:space="preserve"> </w:t>
      </w:r>
      <w:r w:rsidRPr="4CFA692C" w:rsidR="3E5BB01C">
        <w:rPr>
          <w:rFonts w:ascii="Times New Roman" w:hAnsi="Times New Roman" w:eastAsia="Times New Roman" w:cs="Times New Roman"/>
          <w:b w:val="0"/>
          <w:bCs w:val="0"/>
          <w:i w:val="0"/>
          <w:iCs w:val="0"/>
          <w:noProof w:val="0"/>
          <w:sz w:val="24"/>
          <w:szCs w:val="24"/>
          <w:lang w:val="it-IT"/>
        </w:rPr>
        <w:t xml:space="preserve">Sebbene la strategia maltese abbia riscosso un iniziale successo d'immagine, l'eccessivo rigore burocratico, l'onerosità delle procedure di vigilanza e le frizioni nell'interazione con il sistema bancario locale ne hanno rallentato la concreta efficacia operativa. Di contro, l'ordinamento di Singapore è emerso quale principale hub globale per le iniziative basate su registri distribuiti. Adottando una postura improntata a un prudente pragmatismo e sfruttando i vantaggi intrinseci della Common Law, della fiscalità competitiva e della stabilità reputazionale, la città-stato asiatica ha promulgato il Payment Services Act (PSA), elaborato in sinergia con la </w:t>
      </w:r>
      <w:r w:rsidRPr="4CFA692C" w:rsidR="3E5BB01C">
        <w:rPr>
          <w:rFonts w:ascii="Times New Roman" w:hAnsi="Times New Roman" w:eastAsia="Times New Roman" w:cs="Times New Roman"/>
          <w:b w:val="0"/>
          <w:bCs w:val="0"/>
          <w:i w:val="0"/>
          <w:iCs w:val="0"/>
          <w:noProof w:val="0"/>
          <w:sz w:val="24"/>
          <w:szCs w:val="24"/>
          <w:lang w:val="it-IT"/>
        </w:rPr>
        <w:t>Monetary</w:t>
      </w:r>
      <w:r w:rsidRPr="4CFA692C" w:rsidR="3E5BB01C">
        <w:rPr>
          <w:rFonts w:ascii="Times New Roman" w:hAnsi="Times New Roman" w:eastAsia="Times New Roman" w:cs="Times New Roman"/>
          <w:b w:val="0"/>
          <w:bCs w:val="0"/>
          <w:i w:val="0"/>
          <w:iCs w:val="0"/>
          <w:noProof w:val="0"/>
          <w:sz w:val="24"/>
          <w:szCs w:val="24"/>
          <w:lang w:val="it-IT"/>
        </w:rPr>
        <w:t xml:space="preserve"> Authority of Singapore (MAS)</w:t>
      </w:r>
      <w:r w:rsidRPr="4CFA692C" w:rsidR="304180AB">
        <w:rPr>
          <w:rFonts w:ascii="Times New Roman" w:hAnsi="Times New Roman" w:eastAsia="Times New Roman" w:cs="Times New Roman"/>
          <w:b w:val="0"/>
          <w:bCs w:val="0"/>
          <w:i w:val="0"/>
          <w:iCs w:val="0"/>
          <w:noProof w:val="0"/>
          <w:sz w:val="24"/>
          <w:szCs w:val="24"/>
          <w:lang w:val="it-IT"/>
        </w:rPr>
        <w:t xml:space="preserve"> </w:t>
      </w:r>
      <w:r w:rsidRPr="4CFA692C">
        <w:rPr>
          <w:rStyle w:val="FootnoteReference"/>
          <w:rFonts w:ascii="Times New Roman" w:hAnsi="Times New Roman" w:eastAsia="Times New Roman" w:cs="Times New Roman"/>
          <w:b w:val="0"/>
          <w:bCs w:val="0"/>
          <w:i w:val="0"/>
          <w:iCs w:val="0"/>
          <w:noProof w:val="0"/>
          <w:sz w:val="24"/>
          <w:szCs w:val="24"/>
          <w:lang w:val="it-IT"/>
        </w:rPr>
        <w:footnoteReference w:id="8817"/>
      </w:r>
      <w:r w:rsidRPr="4CFA692C" w:rsidR="3E5BB01C">
        <w:rPr>
          <w:rFonts w:ascii="Times New Roman" w:hAnsi="Times New Roman" w:eastAsia="Times New Roman" w:cs="Times New Roman"/>
          <w:b w:val="0"/>
          <w:bCs w:val="0"/>
          <w:i w:val="0"/>
          <w:iCs w:val="0"/>
          <w:noProof w:val="0"/>
          <w:sz w:val="24"/>
          <w:szCs w:val="24"/>
          <w:lang w:val="it-IT"/>
        </w:rPr>
        <w:t>.</w:t>
      </w:r>
      <w:r w:rsidRPr="4CFA692C" w:rsidR="11210FF6">
        <w:rPr>
          <w:rFonts w:ascii="Times New Roman" w:hAnsi="Times New Roman" w:eastAsia="Times New Roman" w:cs="Times New Roman"/>
          <w:b w:val="0"/>
          <w:bCs w:val="0"/>
          <w:i w:val="0"/>
          <w:iCs w:val="0"/>
          <w:noProof w:val="0"/>
          <w:sz w:val="24"/>
          <w:szCs w:val="24"/>
          <w:lang w:val="it-IT"/>
        </w:rPr>
        <w:t xml:space="preserve"> </w:t>
      </w:r>
      <w:r w:rsidRPr="4CFA692C" w:rsidR="3E5BB01C">
        <w:rPr>
          <w:rFonts w:ascii="Times New Roman" w:hAnsi="Times New Roman" w:eastAsia="Times New Roman" w:cs="Times New Roman"/>
          <w:b w:val="0"/>
          <w:bCs w:val="0"/>
          <w:i w:val="0"/>
          <w:iCs w:val="0"/>
          <w:noProof w:val="0"/>
          <w:sz w:val="24"/>
          <w:szCs w:val="24"/>
          <w:lang w:val="it-IT"/>
        </w:rPr>
        <w:t xml:space="preserve">Il testo normativo asiatico persegue il duplice obiettivo di tutelare il risparmio e incentivare lo sviluppo del comparto </w:t>
      </w:r>
      <w:r w:rsidRPr="4CFA692C" w:rsidR="3E5BB01C">
        <w:rPr>
          <w:rFonts w:ascii="Times New Roman" w:hAnsi="Times New Roman" w:eastAsia="Times New Roman" w:cs="Times New Roman"/>
          <w:b w:val="0"/>
          <w:bCs w:val="0"/>
          <w:i w:val="0"/>
          <w:iCs w:val="0"/>
          <w:noProof w:val="0"/>
          <w:sz w:val="24"/>
          <w:szCs w:val="24"/>
          <w:lang w:val="it-IT"/>
        </w:rPr>
        <w:t>FinTech</w:t>
      </w:r>
      <w:r w:rsidRPr="4CFA692C" w:rsidR="3E5BB01C">
        <w:rPr>
          <w:rFonts w:ascii="Times New Roman" w:hAnsi="Times New Roman" w:eastAsia="Times New Roman" w:cs="Times New Roman"/>
          <w:b w:val="0"/>
          <w:bCs w:val="0"/>
          <w:i w:val="0"/>
          <w:iCs w:val="0"/>
          <w:noProof w:val="0"/>
          <w:sz w:val="24"/>
          <w:szCs w:val="24"/>
          <w:lang w:val="it-IT"/>
        </w:rPr>
        <w:t>. Il PSA accorpa le previgenti normative sui sistemi di pagamento e sulle rimesse, strutturando una regolamentazione di tipo "modulare" declinata su sette distinte attività finanziarie, incluse le transazioni in criptovalute. Tale impostazione consente di calibrare i requisiti delle licenze commerciali sul profilo di rischio effettivo dell'operatore, riducendo gli oneri procedurali e garantendo un'elevata flessibilità transattiva</w:t>
      </w:r>
      <w:r w:rsidRPr="4CFA692C" w:rsidR="16D75360">
        <w:rPr>
          <w:rFonts w:ascii="Times New Roman" w:hAnsi="Times New Roman" w:eastAsia="Times New Roman" w:cs="Times New Roman"/>
          <w:b w:val="0"/>
          <w:bCs w:val="0"/>
          <w:i w:val="0"/>
          <w:iCs w:val="0"/>
          <w:noProof w:val="0"/>
          <w:sz w:val="24"/>
          <w:szCs w:val="24"/>
          <w:lang w:val="it-IT"/>
        </w:rPr>
        <w:t xml:space="preserve"> </w:t>
      </w:r>
      <w:r w:rsidRPr="4CFA692C">
        <w:rPr>
          <w:rStyle w:val="FootnoteReference"/>
          <w:rFonts w:ascii="Times New Roman" w:hAnsi="Times New Roman" w:eastAsia="Times New Roman" w:cs="Times New Roman"/>
          <w:b w:val="0"/>
          <w:bCs w:val="0"/>
          <w:i w:val="0"/>
          <w:iCs w:val="0"/>
          <w:noProof w:val="0"/>
          <w:sz w:val="24"/>
          <w:szCs w:val="24"/>
          <w:lang w:val="it-IT"/>
        </w:rPr>
        <w:footnoteReference w:id="25207"/>
      </w:r>
      <w:r w:rsidRPr="4CFA692C" w:rsidR="3E5BB01C">
        <w:rPr>
          <w:rFonts w:ascii="Times New Roman" w:hAnsi="Times New Roman" w:eastAsia="Times New Roman" w:cs="Times New Roman"/>
          <w:b w:val="0"/>
          <w:bCs w:val="0"/>
          <w:i w:val="0"/>
          <w:iCs w:val="0"/>
          <w:noProof w:val="0"/>
          <w:sz w:val="24"/>
          <w:szCs w:val="24"/>
          <w:lang w:val="it-IT"/>
        </w:rPr>
        <w:t>. L'esperienza di Singapore si pone così come un autorevole modello di riferimento per i legislatori continentali, tra cui quello italiano, chiamati a normare una materia complessa che non può più essere affidata a frammentarie applicazioni analogiche delle fonti vigenti.</w:t>
      </w:r>
      <w:r w:rsidRPr="4CFA692C" w:rsidR="0D2B07FE">
        <w:rPr>
          <w:rFonts w:ascii="Times New Roman" w:hAnsi="Times New Roman" w:eastAsia="Times New Roman" w:cs="Times New Roman"/>
          <w:b w:val="0"/>
          <w:bCs w:val="0"/>
          <w:i w:val="0"/>
          <w:iCs w:val="0"/>
          <w:noProof w:val="0"/>
          <w:sz w:val="24"/>
          <w:szCs w:val="24"/>
          <w:lang w:val="it-IT"/>
        </w:rPr>
        <w:t xml:space="preserve"> </w:t>
      </w:r>
      <w:r w:rsidRPr="4CFA692C" w:rsidR="0D2B07FE">
        <w:rPr>
          <w:rFonts w:ascii="Times New Roman" w:hAnsi="Times New Roman" w:eastAsia="Times New Roman" w:cs="Times New Roman"/>
          <w:b w:val="0"/>
          <w:bCs w:val="0"/>
          <w:i w:val="0"/>
          <w:iCs w:val="0"/>
          <w:noProof w:val="0"/>
          <w:sz w:val="24"/>
          <w:szCs w:val="24"/>
          <w:lang w:val="it-IT"/>
        </w:rPr>
        <w:t xml:space="preserve">In ultima analisi, l’esame ravvicinato della disciplina evidenzia un quadro chiaroscurale. Se, da un lato, l’intervento del legislatore nazionale testimonia una lodevole prontezza nel recepire le istanze evolutive della tecnologia e la volontà di incentivare l'efficienza dei mercati e la digitalizzazione della pubblica amministrazione, dall’altro emerge una evidente approssimazione dogmatica nell’armonizzare le nuove disposizioni con le categorie classiche del diritto positivo vigente. Inoltre, la scelta di perimetrare l'intervento alla sola declinazione definitoria dei registri distribuiti e degli smart </w:t>
      </w:r>
      <w:r w:rsidRPr="4CFA692C" w:rsidR="0D2B07FE">
        <w:rPr>
          <w:rFonts w:ascii="Times New Roman" w:hAnsi="Times New Roman" w:eastAsia="Times New Roman" w:cs="Times New Roman"/>
          <w:b w:val="0"/>
          <w:bCs w:val="0"/>
          <w:i w:val="0"/>
          <w:iCs w:val="0"/>
          <w:noProof w:val="0"/>
          <w:sz w:val="24"/>
          <w:szCs w:val="24"/>
          <w:lang w:val="it-IT"/>
        </w:rPr>
        <w:t>contract</w:t>
      </w:r>
      <w:r w:rsidRPr="4CFA692C" w:rsidR="0D2B07FE">
        <w:rPr>
          <w:rFonts w:ascii="Times New Roman" w:hAnsi="Times New Roman" w:eastAsia="Times New Roman" w:cs="Times New Roman"/>
          <w:b w:val="0"/>
          <w:bCs w:val="0"/>
          <w:i w:val="0"/>
          <w:iCs w:val="0"/>
          <w:noProof w:val="0"/>
          <w:sz w:val="24"/>
          <w:szCs w:val="24"/>
          <w:lang w:val="it-IT"/>
        </w:rPr>
        <w:t xml:space="preserve"> — limitandosi a regolarne l'impatto sul piano dei requisiti formali — sconta i limiti intrinseci dello strumento della decretazione d'urgenza</w:t>
      </w:r>
      <w:r w:rsidRPr="4CFA692C" w:rsidR="73EF7827">
        <w:rPr>
          <w:rFonts w:ascii="Times New Roman" w:hAnsi="Times New Roman" w:eastAsia="Times New Roman" w:cs="Times New Roman"/>
          <w:b w:val="0"/>
          <w:bCs w:val="0"/>
          <w:i w:val="0"/>
          <w:iCs w:val="0"/>
          <w:noProof w:val="0"/>
          <w:sz w:val="24"/>
          <w:szCs w:val="24"/>
          <w:lang w:val="it-IT"/>
        </w:rPr>
        <w:t xml:space="preserve"> </w:t>
      </w:r>
      <w:r w:rsidRPr="4CFA692C">
        <w:rPr>
          <w:rStyle w:val="FootnoteReference"/>
          <w:rFonts w:ascii="Times New Roman" w:hAnsi="Times New Roman" w:eastAsia="Times New Roman" w:cs="Times New Roman"/>
          <w:b w:val="0"/>
          <w:bCs w:val="0"/>
          <w:i w:val="0"/>
          <w:iCs w:val="0"/>
          <w:noProof w:val="0"/>
          <w:sz w:val="24"/>
          <w:szCs w:val="24"/>
          <w:lang w:val="it-IT"/>
        </w:rPr>
        <w:footnoteReference w:id="17862"/>
      </w:r>
      <w:r w:rsidRPr="4CFA692C" w:rsidR="0D2B07FE">
        <w:rPr>
          <w:rFonts w:ascii="Times New Roman" w:hAnsi="Times New Roman" w:eastAsia="Times New Roman" w:cs="Times New Roman"/>
          <w:b w:val="0"/>
          <w:bCs w:val="0"/>
          <w:i w:val="0"/>
          <w:iCs w:val="0"/>
          <w:noProof w:val="0"/>
          <w:sz w:val="24"/>
          <w:szCs w:val="24"/>
          <w:lang w:val="it-IT"/>
        </w:rPr>
        <w:t>. L'introduzione della novella tramite un emendamento in sede di conversione, unita al massiccio rinvio alla normazione secondaria e tecnica dell'Agenzia per l'Italia Digitale, configura una sorta di delegazione anomala delle prerogative parlamentari. Questo approccio legislativo frammentario lascia trasparire la difficoltà delle istituzioni politiche nell'affrontare, con cognizione di causa e adeguato approfondimento scientifico, la complessità intrinseca di una materia che avrebbe invece richiesto una riforma organica e strutturata.</w:t>
      </w:r>
      <w:r w:rsidRPr="4CFA692C" w:rsidR="300EDE01">
        <w:rPr>
          <w:rFonts w:ascii="Times New Roman" w:hAnsi="Times New Roman" w:eastAsia="Times New Roman" w:cs="Times New Roman"/>
          <w:b w:val="0"/>
          <w:bCs w:val="0"/>
          <w:i w:val="0"/>
          <w:iCs w:val="0"/>
          <w:noProof w:val="0"/>
          <w:sz w:val="24"/>
          <w:szCs w:val="24"/>
          <w:lang w:val="it-IT"/>
        </w:rPr>
        <w:t xml:space="preserve"> </w:t>
      </w:r>
      <w:r w:rsidRPr="4CFA692C" w:rsidR="0D2B07FE">
        <w:rPr>
          <w:rFonts w:ascii="Times New Roman" w:hAnsi="Times New Roman" w:eastAsia="Times New Roman" w:cs="Times New Roman"/>
          <w:b w:val="0"/>
          <w:bCs w:val="0"/>
          <w:i w:val="0"/>
          <w:iCs w:val="0"/>
          <w:noProof w:val="0"/>
          <w:sz w:val="24"/>
          <w:szCs w:val="24"/>
          <w:lang w:val="it-IT"/>
        </w:rPr>
        <w:t>L'auspicio è che l’art. 8-ter del Decreto Semplificazioni non rimanga un intervento isolato, ma rappresenti lo stimolo iniziale per un percorso normativo più meditato e coerente con i princìpi cardine del nostro ordinamento. È indispensabile che il sistema giuridico si dimostri ricettivo nei confronti delle innovazioni digitali, senza però flettere sulla sua missione primaria: la salvaguardia delle posizioni soggettive individuali e la tutela del risparmio</w:t>
      </w:r>
      <w:r w:rsidRPr="4CFA692C">
        <w:rPr>
          <w:rStyle w:val="FootnoteReference"/>
          <w:rFonts w:ascii="Times New Roman" w:hAnsi="Times New Roman" w:eastAsia="Times New Roman" w:cs="Times New Roman"/>
          <w:b w:val="0"/>
          <w:bCs w:val="0"/>
          <w:i w:val="0"/>
          <w:iCs w:val="0"/>
          <w:noProof w:val="0"/>
          <w:sz w:val="24"/>
          <w:szCs w:val="24"/>
          <w:lang w:val="it-IT"/>
        </w:rPr>
        <w:footnoteReference w:id="20588"/>
      </w:r>
      <w:r w:rsidRPr="4CFA692C" w:rsidR="0D2B07FE">
        <w:rPr>
          <w:rFonts w:ascii="Times New Roman" w:hAnsi="Times New Roman" w:eastAsia="Times New Roman" w:cs="Times New Roman"/>
          <w:b w:val="0"/>
          <w:bCs w:val="0"/>
          <w:i w:val="0"/>
          <w:iCs w:val="0"/>
          <w:noProof w:val="0"/>
          <w:sz w:val="24"/>
          <w:szCs w:val="24"/>
          <w:lang w:val="it-IT"/>
        </w:rPr>
        <w:t>. Solo arginando le patologie contrattuali, i fenomeni fraudolenti e le derive speculative che surriscaldano i mercati virtuali sarà infatti possibile preservare l'integrità e la stabilità dell'economia reale.</w:t>
      </w:r>
    </w:p>
    <w:p w:rsidR="4CFA692C" w:rsidP="4CFA692C" w:rsidRDefault="4CFA692C" w14:paraId="710BCC1C" w14:textId="2246BC21">
      <w:pPr>
        <w:spacing w:before="0" w:beforeAutospacing="off" w:line="360" w:lineRule="auto"/>
        <w:ind w:firstLine="0"/>
        <w:jc w:val="left"/>
        <w:rPr>
          <w:rFonts w:ascii="Times New Roman" w:hAnsi="Times New Roman" w:eastAsia="Times New Roman" w:cs="Times New Roman"/>
          <w:b w:val="1"/>
          <w:bCs w:val="1"/>
          <w:i w:val="0"/>
          <w:iCs w:val="0"/>
          <w:noProof w:val="0"/>
          <w:sz w:val="24"/>
          <w:szCs w:val="24"/>
          <w:lang w:val="it-IT"/>
        </w:rPr>
      </w:pPr>
    </w:p>
    <w:p w:rsidR="275BE2B3" w:rsidP="6F3C75FA" w:rsidRDefault="275BE2B3" w14:paraId="2B826734" w14:textId="42F60C8E">
      <w:pPr>
        <w:spacing w:before="0" w:beforeAutospacing="off" w:line="360" w:lineRule="auto"/>
        <w:ind w:firstLine="0"/>
        <w:jc w:val="left"/>
      </w:pPr>
      <w:r w:rsidRPr="6F3C75FA" w:rsidR="275BE2B3">
        <w:rPr>
          <w:rFonts w:ascii="Times New Roman" w:hAnsi="Times New Roman" w:eastAsia="Times New Roman" w:cs="Times New Roman"/>
          <w:b/>
          <w:bCs w:val="1"/>
          <w:i w:val="0"/>
          <w:iCs w:val="0"/>
          <w:noProof w:val="0"/>
          <w:sz w:val="24"/>
          <w:szCs w:val="24"/>
          <w:lang w:val="it-IT"/>
        </w:rPr>
        <w:t>4.3 Blockchain come Prova Atipica</w:t>
      </w:r>
    </w:p>
    <w:p w:rsidR="6F3C75FA" w:rsidP="6F3C75FA" w:rsidRDefault="6F3C75FA" w14:paraId="6E265450" w14:textId="7667AB4C">
      <w:pPr>
        <w:spacing w:before="0" w:beforeAutospacing="off" w:line="360" w:lineRule="auto"/>
        <w:ind w:firstLine="0"/>
        <w:jc w:val="left"/>
        <w:rPr>
          <w:rFonts w:ascii="Times New Roman" w:hAnsi="Times New Roman" w:eastAsia="Times New Roman" w:cs="Times New Roman"/>
          <w:b w:val="1"/>
          <w:bCs w:val="1"/>
          <w:i w:val="0"/>
          <w:iCs w:val="0"/>
          <w:noProof w:val="0"/>
          <w:sz w:val="24"/>
          <w:szCs w:val="24"/>
          <w:lang w:val="it-IT"/>
        </w:rPr>
      </w:pPr>
    </w:p>
    <w:p w:rsidR="31568E38" w:rsidP="6F3C75FA" w:rsidRDefault="31568E38" w14:paraId="1816C67D" w14:textId="699E6AA6">
      <w:pPr>
        <w:spacing w:before="0" w:beforeAutospacing="off" w:line="360" w:lineRule="auto"/>
        <w:ind w:firstLine="567"/>
        <w:jc w:val="both"/>
      </w:pPr>
      <w:r w:rsidRPr="6F3C75FA" w:rsidR="31568E38">
        <w:rPr>
          <w:rFonts w:ascii="Times New Roman" w:hAnsi="Times New Roman" w:eastAsia="Times New Roman" w:cs="Times New Roman"/>
          <w:b w:val="0"/>
          <w:bCs w:val="0"/>
          <w:i w:val="0"/>
          <w:iCs w:val="0"/>
          <w:noProof w:val="0"/>
          <w:sz w:val="24"/>
          <w:szCs w:val="24"/>
          <w:lang w:val="it-IT"/>
        </w:rPr>
        <w:t xml:space="preserve">L'inserimento nel processo penale del dato informatico, repertato in fase di indagine, sconta strutturalmente il problema della vulnerabilità e della potenziale alterabilità del flusso digitale. La Legge 18 marzo 2008, n. 48 (di ratifica della Convenzione di Budapest) ha introdotto nel codice di rito l'obbligo tassativo di assicurare la conservazione dei dati originali e di impedirne la successiva manipolazione. Tuttavia, il legislatore ha volutamente omesso di tipizzare le modalità tecnologiche attraverso cui garantire la genuinità di tale percorso (c.d. </w:t>
      </w:r>
      <w:r w:rsidRPr="6F3C75FA" w:rsidR="31568E38">
        <w:rPr>
          <w:rFonts w:ascii="Times New Roman" w:hAnsi="Times New Roman" w:eastAsia="Times New Roman" w:cs="Times New Roman"/>
          <w:b w:val="0"/>
          <w:bCs w:val="0"/>
          <w:i w:val="0"/>
          <w:iCs w:val="0"/>
          <w:noProof w:val="0"/>
          <w:sz w:val="24"/>
          <w:szCs w:val="24"/>
          <w:lang w:val="it-IT"/>
        </w:rPr>
        <w:t>digital</w:t>
      </w:r>
      <w:r w:rsidRPr="6F3C75FA" w:rsidR="31568E38">
        <w:rPr>
          <w:rFonts w:ascii="Times New Roman" w:hAnsi="Times New Roman" w:eastAsia="Times New Roman" w:cs="Times New Roman"/>
          <w:b w:val="0"/>
          <w:bCs w:val="0"/>
          <w:i w:val="0"/>
          <w:iCs w:val="0"/>
          <w:noProof w:val="0"/>
          <w:sz w:val="24"/>
          <w:szCs w:val="24"/>
          <w:lang w:val="it-IT"/>
        </w:rPr>
        <w:t xml:space="preserve"> chain of </w:t>
      </w:r>
      <w:r w:rsidRPr="6F3C75FA" w:rsidR="31568E38">
        <w:rPr>
          <w:rFonts w:ascii="Times New Roman" w:hAnsi="Times New Roman" w:eastAsia="Times New Roman" w:cs="Times New Roman"/>
          <w:b w:val="0"/>
          <w:bCs w:val="0"/>
          <w:i w:val="0"/>
          <w:iCs w:val="0"/>
          <w:noProof w:val="0"/>
          <w:sz w:val="24"/>
          <w:szCs w:val="24"/>
          <w:lang w:val="it-IT"/>
        </w:rPr>
        <w:t>custody</w:t>
      </w:r>
      <w:r w:rsidRPr="6F3C75FA" w:rsidR="31568E38">
        <w:rPr>
          <w:rFonts w:ascii="Times New Roman" w:hAnsi="Times New Roman" w:eastAsia="Times New Roman" w:cs="Times New Roman"/>
          <w:b w:val="0"/>
          <w:bCs w:val="0"/>
          <w:i w:val="0"/>
          <w:iCs w:val="0"/>
          <w:noProof w:val="0"/>
          <w:sz w:val="24"/>
          <w:szCs w:val="24"/>
          <w:lang w:val="it-IT"/>
        </w:rPr>
        <w:t>), rimettendosi al principio di neutralità tecnologica</w:t>
      </w:r>
      <w:r w:rsidRPr="6F3C75FA">
        <w:rPr>
          <w:rStyle w:val="FootnoteReference"/>
          <w:rFonts w:ascii="Times New Roman" w:hAnsi="Times New Roman" w:eastAsia="Times New Roman" w:cs="Times New Roman"/>
          <w:b w:val="0"/>
          <w:bCs w:val="0"/>
          <w:i w:val="0"/>
          <w:iCs w:val="0"/>
          <w:noProof w:val="0"/>
          <w:sz w:val="24"/>
          <w:szCs w:val="24"/>
          <w:lang w:val="it-IT"/>
        </w:rPr>
        <w:footnoteReference w:id="18388"/>
      </w:r>
      <w:r w:rsidRPr="6F3C75FA" w:rsidR="31568E38">
        <w:rPr>
          <w:rFonts w:ascii="Times New Roman" w:hAnsi="Times New Roman" w:eastAsia="Times New Roman" w:cs="Times New Roman"/>
          <w:b w:val="0"/>
          <w:bCs w:val="0"/>
          <w:i w:val="0"/>
          <w:iCs w:val="0"/>
          <w:noProof w:val="0"/>
          <w:sz w:val="24"/>
          <w:szCs w:val="24"/>
          <w:lang w:val="it-IT"/>
        </w:rPr>
        <w:t>.</w:t>
      </w:r>
      <w:r w:rsidRPr="6F3C75FA" w:rsidR="559BF7B8">
        <w:rPr>
          <w:rFonts w:ascii="Times New Roman" w:hAnsi="Times New Roman" w:eastAsia="Times New Roman" w:cs="Times New Roman"/>
          <w:b w:val="0"/>
          <w:bCs w:val="0"/>
          <w:i w:val="0"/>
          <w:iCs w:val="0"/>
          <w:noProof w:val="0"/>
          <w:sz w:val="24"/>
          <w:szCs w:val="24"/>
          <w:lang w:val="it-IT"/>
        </w:rPr>
        <w:t xml:space="preserve"> È in questo vuoto regolamentare che si innesta la prospettiva di utilizzare le tecnologie basate su registri distribuiti (DLT) come strumento di validazione della catena di custodia. Attraverso l'estrazione dell'impronta digitale del reperto (</w:t>
      </w:r>
      <w:r w:rsidRPr="6F3C75FA" w:rsidR="559BF7B8">
        <w:rPr>
          <w:rFonts w:ascii="Times New Roman" w:hAnsi="Times New Roman" w:eastAsia="Times New Roman" w:cs="Times New Roman"/>
          <w:b w:val="0"/>
          <w:bCs w:val="0"/>
          <w:i w:val="0"/>
          <w:iCs w:val="0"/>
          <w:noProof w:val="0"/>
          <w:sz w:val="24"/>
          <w:szCs w:val="24"/>
          <w:lang w:val="it-IT"/>
        </w:rPr>
        <w:t>hash</w:t>
      </w:r>
      <w:r w:rsidRPr="6F3C75FA" w:rsidR="559BF7B8">
        <w:rPr>
          <w:rFonts w:ascii="Times New Roman" w:hAnsi="Times New Roman" w:eastAsia="Times New Roman" w:cs="Times New Roman"/>
          <w:b w:val="0"/>
          <w:bCs w:val="0"/>
          <w:i w:val="0"/>
          <w:iCs w:val="0"/>
          <w:noProof w:val="0"/>
          <w:sz w:val="24"/>
          <w:szCs w:val="24"/>
          <w:lang w:val="it-IT"/>
        </w:rPr>
        <w:t xml:space="preserve">) e la sua contestuale </w:t>
      </w:r>
      <w:r w:rsidRPr="6F3C75FA" w:rsidR="559BF7B8">
        <w:rPr>
          <w:rFonts w:ascii="Times New Roman" w:hAnsi="Times New Roman" w:eastAsia="Times New Roman" w:cs="Times New Roman"/>
          <w:b w:val="0"/>
          <w:bCs w:val="0"/>
          <w:i w:val="0"/>
          <w:iCs w:val="0"/>
          <w:noProof w:val="0"/>
          <w:sz w:val="24"/>
          <w:szCs w:val="24"/>
          <w:lang w:val="it-IT"/>
        </w:rPr>
        <w:t>notarizzazione</w:t>
      </w:r>
      <w:r w:rsidRPr="6F3C75FA" w:rsidR="559BF7B8">
        <w:rPr>
          <w:rFonts w:ascii="Times New Roman" w:hAnsi="Times New Roman" w:eastAsia="Times New Roman" w:cs="Times New Roman"/>
          <w:b w:val="0"/>
          <w:bCs w:val="0"/>
          <w:i w:val="0"/>
          <w:iCs w:val="0"/>
          <w:noProof w:val="0"/>
          <w:sz w:val="24"/>
          <w:szCs w:val="24"/>
          <w:lang w:val="it-IT"/>
        </w:rPr>
        <w:t xml:space="preserve"> sulla blockchain, si ottiene la certezza matematica dell'immodificabilità del dato dal momento del sequestro alla sua ostensione in dibattimento. </w:t>
      </w:r>
      <w:r w:rsidRPr="6F3C75FA" w:rsidR="7788379A">
        <w:rPr>
          <w:rFonts w:ascii="Times New Roman" w:hAnsi="Times New Roman" w:eastAsia="Times New Roman" w:cs="Times New Roman"/>
          <w:b w:val="0"/>
          <w:bCs w:val="0"/>
          <w:i w:val="0"/>
          <w:iCs w:val="0"/>
          <w:noProof w:val="0"/>
          <w:sz w:val="24"/>
          <w:szCs w:val="24"/>
          <w:lang w:val="it-IT"/>
        </w:rPr>
        <w:t>Sotto il profilo strettamente processuale, sorge la necessità di inquadrare la natura giuridica di tale modalità di verifica. Se il dato in sé (la chat, il file d'immagine, il log di sistema) confluisce stabilmente nell'alveo della prova documentale tipica ex art. 234 c.p.p., il meccanismo scientifico utilizzato per attestarne l'integrità e la non alterabilità sfugge alle sequenze standardizzate dal codice di rito</w:t>
      </w:r>
      <w:r w:rsidRPr="6F3C75FA">
        <w:rPr>
          <w:rStyle w:val="FootnoteReference"/>
          <w:rFonts w:ascii="Times New Roman" w:hAnsi="Times New Roman" w:eastAsia="Times New Roman" w:cs="Times New Roman"/>
          <w:b w:val="0"/>
          <w:bCs w:val="0"/>
          <w:i w:val="0"/>
          <w:iCs w:val="0"/>
          <w:noProof w:val="0"/>
          <w:sz w:val="24"/>
          <w:szCs w:val="24"/>
          <w:lang w:val="it-IT"/>
        </w:rPr>
        <w:footnoteReference w:id="15357"/>
      </w:r>
      <w:r w:rsidRPr="6F3C75FA" w:rsidR="7788379A">
        <w:rPr>
          <w:rFonts w:ascii="Times New Roman" w:hAnsi="Times New Roman" w:eastAsia="Times New Roman" w:cs="Times New Roman"/>
          <w:b w:val="0"/>
          <w:bCs w:val="0"/>
          <w:i w:val="0"/>
          <w:iCs w:val="0"/>
          <w:noProof w:val="0"/>
          <w:sz w:val="24"/>
          <w:szCs w:val="24"/>
          <w:lang w:val="it-IT"/>
        </w:rPr>
        <w:t>. Pertanto, l'impiego della blockchain quale garante della catena di custodia deve essere ricondotto alla categoria delle prove atipiche ai sensi dell'art. 189 c.p.p</w:t>
      </w:r>
      <w:r w:rsidRPr="6F3C75FA">
        <w:rPr>
          <w:rStyle w:val="FootnoteReference"/>
          <w:rFonts w:ascii="Times New Roman" w:hAnsi="Times New Roman" w:eastAsia="Times New Roman" w:cs="Times New Roman"/>
          <w:b w:val="0"/>
          <w:bCs w:val="0"/>
          <w:i w:val="0"/>
          <w:iCs w:val="0"/>
          <w:noProof w:val="0"/>
          <w:sz w:val="24"/>
          <w:szCs w:val="24"/>
          <w:lang w:val="it-IT"/>
        </w:rPr>
        <w:footnoteReference w:id="8846"/>
      </w:r>
      <w:r w:rsidRPr="6F3C75FA" w:rsidR="7788379A">
        <w:rPr>
          <w:rFonts w:ascii="Times New Roman" w:hAnsi="Times New Roman" w:eastAsia="Times New Roman" w:cs="Times New Roman"/>
          <w:b w:val="0"/>
          <w:bCs w:val="0"/>
          <w:i w:val="0"/>
          <w:iCs w:val="0"/>
          <w:noProof w:val="0"/>
          <w:sz w:val="24"/>
          <w:szCs w:val="24"/>
          <w:lang w:val="it-IT"/>
        </w:rPr>
        <w:t xml:space="preserve">. </w:t>
      </w:r>
    </w:p>
    <w:p w:rsidR="3F3FD85F" w:rsidP="1E311963" w:rsidRDefault="3F3FD85F" w14:paraId="21124949" w14:textId="07B6D4C3">
      <w:pPr>
        <w:spacing w:before="0" w:beforeAutospacing="off" w:line="360" w:lineRule="auto"/>
        <w:ind w:firstLine="567"/>
        <w:jc w:val="both"/>
      </w:pPr>
      <w:r w:rsidRPr="1E311963" w:rsidR="3F3FD85F">
        <w:rPr>
          <w:rFonts w:ascii="Times New Roman" w:hAnsi="Times New Roman" w:eastAsia="Times New Roman" w:cs="Times New Roman"/>
          <w:b w:val="0"/>
          <w:bCs w:val="0"/>
          <w:i w:val="0"/>
          <w:iCs w:val="0"/>
          <w:noProof w:val="0"/>
          <w:sz w:val="24"/>
          <w:szCs w:val="24"/>
          <w:lang w:val="it-IT"/>
        </w:rPr>
        <w:t xml:space="preserve">L’art. 189 c.p.p. dispone che: </w:t>
      </w:r>
      <w:r w:rsidRPr="1E311963" w:rsidR="372BE63C">
        <w:rPr>
          <w:rFonts w:ascii="Times New Roman" w:hAnsi="Times New Roman" w:eastAsia="Times New Roman" w:cs="Times New Roman"/>
          <w:b w:val="0"/>
          <w:bCs w:val="0"/>
          <w:i w:val="0"/>
          <w:iCs w:val="0"/>
          <w:noProof w:val="0"/>
          <w:sz w:val="24"/>
          <w:szCs w:val="24"/>
          <w:lang w:val="it-IT"/>
        </w:rPr>
        <w:t>“Quando</w:t>
      </w:r>
      <w:r w:rsidRPr="1E311963" w:rsidR="3F3FD85F">
        <w:rPr>
          <w:rFonts w:ascii="Times New Roman" w:hAnsi="Times New Roman" w:eastAsia="Times New Roman" w:cs="Times New Roman"/>
          <w:b w:val="0"/>
          <w:bCs w:val="0"/>
          <w:i w:val="1"/>
          <w:iCs w:val="1"/>
          <w:noProof w:val="0"/>
          <w:sz w:val="24"/>
          <w:szCs w:val="24"/>
          <w:lang w:val="it-IT"/>
        </w:rPr>
        <w:t xml:space="preserve"> è richiesta una prova non disciplinata</w:t>
      </w:r>
      <w:r w:rsidRPr="1E311963" w:rsidR="3E571125">
        <w:rPr>
          <w:rFonts w:ascii="Times New Roman" w:hAnsi="Times New Roman" w:eastAsia="Times New Roman" w:cs="Times New Roman"/>
          <w:b w:val="0"/>
          <w:bCs w:val="0"/>
          <w:i w:val="1"/>
          <w:iCs w:val="1"/>
          <w:noProof w:val="0"/>
          <w:sz w:val="24"/>
          <w:szCs w:val="24"/>
          <w:lang w:val="it-IT"/>
        </w:rPr>
        <w:t xml:space="preserve"> </w:t>
      </w:r>
      <w:r w:rsidRPr="1E311963" w:rsidR="3F3FD85F">
        <w:rPr>
          <w:rFonts w:ascii="Times New Roman" w:hAnsi="Times New Roman" w:eastAsia="Times New Roman" w:cs="Times New Roman"/>
          <w:b w:val="0"/>
          <w:bCs w:val="0"/>
          <w:i w:val="1"/>
          <w:iCs w:val="1"/>
          <w:noProof w:val="0"/>
          <w:sz w:val="24"/>
          <w:szCs w:val="24"/>
          <w:lang w:val="it-IT"/>
        </w:rPr>
        <w:t>dalla legge, il giudice può assumerla se essa risulta idonea ad assicurare l’accertamento dei fatti e non pregiudica la libertà morale della persona. Il giudice provvede all’ammissione sentite le parti sulle modalità di assunzione della prova.”</w:t>
      </w:r>
      <w:r w:rsidRPr="1E311963" w:rsidR="3F3FD85F">
        <w:rPr>
          <w:rFonts w:ascii="Times New Roman" w:hAnsi="Times New Roman" w:eastAsia="Times New Roman" w:cs="Times New Roman"/>
          <w:b w:val="0"/>
          <w:bCs w:val="0"/>
          <w:i w:val="0"/>
          <w:iCs w:val="0"/>
          <w:noProof w:val="0"/>
          <w:sz w:val="24"/>
          <w:szCs w:val="24"/>
          <w:lang w:val="it-IT"/>
        </w:rPr>
        <w:t xml:space="preserve"> Come è evidente la norma de quo non contiene alcuna definizione di “prova</w:t>
      </w:r>
      <w:r w:rsidRPr="1E311963" w:rsidR="21395F0D">
        <w:rPr>
          <w:rFonts w:ascii="Times New Roman" w:hAnsi="Times New Roman" w:eastAsia="Times New Roman" w:cs="Times New Roman"/>
          <w:b w:val="0"/>
          <w:bCs w:val="0"/>
          <w:i w:val="0"/>
          <w:iCs w:val="0"/>
          <w:noProof w:val="0"/>
          <w:sz w:val="24"/>
          <w:szCs w:val="24"/>
          <w:lang w:val="it-IT"/>
        </w:rPr>
        <w:t xml:space="preserve"> </w:t>
      </w:r>
      <w:r w:rsidRPr="1E311963" w:rsidR="3F3FD85F">
        <w:rPr>
          <w:rFonts w:ascii="Times New Roman" w:hAnsi="Times New Roman" w:eastAsia="Times New Roman" w:cs="Times New Roman"/>
          <w:b w:val="0"/>
          <w:bCs w:val="0"/>
          <w:i w:val="0"/>
          <w:iCs w:val="0"/>
          <w:noProof w:val="0"/>
          <w:sz w:val="24"/>
          <w:szCs w:val="24"/>
          <w:lang w:val="it-IT"/>
        </w:rPr>
        <w:t>atipica”, né tale nozione può trarsi dalla relazione al progetto</w:t>
      </w:r>
      <w:r w:rsidRPr="1E311963" w:rsidR="76CCE028">
        <w:rPr>
          <w:rFonts w:ascii="Times New Roman" w:hAnsi="Times New Roman" w:eastAsia="Times New Roman" w:cs="Times New Roman"/>
          <w:b w:val="0"/>
          <w:bCs w:val="0"/>
          <w:i w:val="0"/>
          <w:iCs w:val="0"/>
          <w:noProof w:val="0"/>
          <w:sz w:val="24"/>
          <w:szCs w:val="24"/>
          <w:lang w:val="it-IT"/>
        </w:rPr>
        <w:t xml:space="preserve"> </w:t>
      </w:r>
      <w:r w:rsidRPr="1E311963" w:rsidR="3F3FD85F">
        <w:rPr>
          <w:rFonts w:ascii="Times New Roman" w:hAnsi="Times New Roman" w:eastAsia="Times New Roman" w:cs="Times New Roman"/>
          <w:b w:val="0"/>
          <w:bCs w:val="0"/>
          <w:i w:val="0"/>
          <w:iCs w:val="0"/>
          <w:noProof w:val="0"/>
          <w:sz w:val="24"/>
          <w:szCs w:val="24"/>
          <w:lang w:val="it-IT"/>
        </w:rPr>
        <w:t>preliminare del</w:t>
      </w:r>
      <w:r w:rsidRPr="1E311963" w:rsidR="61522D34">
        <w:rPr>
          <w:rFonts w:ascii="Times New Roman" w:hAnsi="Times New Roman" w:eastAsia="Times New Roman" w:cs="Times New Roman"/>
          <w:b w:val="0"/>
          <w:bCs w:val="0"/>
          <w:i w:val="0"/>
          <w:iCs w:val="0"/>
          <w:noProof w:val="0"/>
          <w:sz w:val="24"/>
          <w:szCs w:val="24"/>
          <w:lang w:val="it-IT"/>
        </w:rPr>
        <w:t xml:space="preserve"> </w:t>
      </w:r>
      <w:r w:rsidRPr="1E311963" w:rsidR="3F3FD85F">
        <w:rPr>
          <w:rFonts w:ascii="Times New Roman" w:hAnsi="Times New Roman" w:eastAsia="Times New Roman" w:cs="Times New Roman"/>
          <w:b w:val="0"/>
          <w:bCs w:val="0"/>
          <w:i w:val="0"/>
          <w:iCs w:val="0"/>
          <w:noProof w:val="0"/>
          <w:sz w:val="24"/>
          <w:szCs w:val="24"/>
          <w:lang w:val="it-IT"/>
        </w:rPr>
        <w:t>nuovo codice di procedura penale</w:t>
      </w:r>
      <w:r w:rsidRPr="1E311963" w:rsidR="0710E7F6">
        <w:rPr>
          <w:rFonts w:ascii="Times New Roman" w:hAnsi="Times New Roman" w:eastAsia="Times New Roman" w:cs="Times New Roman"/>
          <w:b w:val="0"/>
          <w:bCs w:val="0"/>
          <w:i w:val="0"/>
          <w:iCs w:val="0"/>
          <w:noProof w:val="0"/>
          <w:sz w:val="24"/>
          <w:szCs w:val="24"/>
          <w:lang w:val="it-IT"/>
        </w:rPr>
        <w:t xml:space="preserve"> </w:t>
      </w:r>
      <w:r w:rsidRPr="1E311963">
        <w:rPr>
          <w:rStyle w:val="FootnoteReference"/>
          <w:rFonts w:ascii="Times New Roman" w:hAnsi="Times New Roman" w:eastAsia="Times New Roman" w:cs="Times New Roman"/>
          <w:b w:val="0"/>
          <w:bCs w:val="0"/>
          <w:i w:val="0"/>
          <w:iCs w:val="0"/>
          <w:noProof w:val="0"/>
          <w:sz w:val="24"/>
          <w:szCs w:val="24"/>
          <w:lang w:val="it-IT"/>
        </w:rPr>
        <w:footnoteReference w:id="7861"/>
      </w:r>
      <w:r w:rsidRPr="1E311963" w:rsidR="3F3FD85F">
        <w:rPr>
          <w:rFonts w:ascii="Times New Roman" w:hAnsi="Times New Roman" w:eastAsia="Times New Roman" w:cs="Times New Roman"/>
          <w:b w:val="0"/>
          <w:bCs w:val="0"/>
          <w:i w:val="0"/>
          <w:iCs w:val="0"/>
          <w:noProof w:val="0"/>
          <w:sz w:val="24"/>
          <w:szCs w:val="24"/>
          <w:lang w:val="it-IT"/>
        </w:rPr>
        <w:t>.</w:t>
      </w:r>
      <w:r w:rsidRPr="1E311963" w:rsidR="1C159FD2">
        <w:rPr>
          <w:rFonts w:ascii="Times New Roman" w:hAnsi="Times New Roman" w:eastAsia="Times New Roman" w:cs="Times New Roman"/>
          <w:b w:val="0"/>
          <w:bCs w:val="0"/>
          <w:i w:val="0"/>
          <w:iCs w:val="0"/>
          <w:noProof w:val="0"/>
          <w:sz w:val="24"/>
          <w:szCs w:val="24"/>
          <w:lang w:val="it-IT"/>
        </w:rPr>
        <w:t xml:space="preserve"> </w:t>
      </w:r>
      <w:r w:rsidRPr="1E311963" w:rsidR="22992FE5">
        <w:rPr>
          <w:rFonts w:ascii="Times New Roman" w:hAnsi="Times New Roman" w:eastAsia="Times New Roman" w:cs="Times New Roman"/>
          <w:b w:val="0"/>
          <w:bCs w:val="0"/>
          <w:i w:val="0"/>
          <w:iCs w:val="0"/>
          <w:noProof w:val="0"/>
          <w:sz w:val="24"/>
          <w:szCs w:val="24"/>
          <w:lang w:val="it-IT"/>
        </w:rPr>
        <w:t xml:space="preserve">Il dibattito scientifico intorno ai confini concettuali dell'art. 189 c.p.p. esclude che la qualificazione di atipicità possa risolversi in un'operazione meramente definitoria o lessicale, volta a etichettare come "atipico" qualsiasi elemento esterno ai modelli legali. L'analisi del quadro sistematico rivela una polisemia strutturale: l'atipicità può riferirsi sia a un mezzo di prova ontologicamente nuovo e non previsto dall'ordinamento (prova innominata), sia a una modalità alterata di assunzione di uno strumento già codificato, qualora la deviazione investa il modulo acquisitivo e non l'oggetto della conoscenza. Sulla scorta di tali premesse, la dottrina </w:t>
      </w:r>
      <w:r w:rsidRPr="1E311963" w:rsidR="22992FE5">
        <w:rPr>
          <w:rFonts w:ascii="Times New Roman" w:hAnsi="Times New Roman" w:eastAsia="Times New Roman" w:cs="Times New Roman"/>
          <w:b w:val="0"/>
          <w:bCs w:val="0"/>
          <w:i w:val="0"/>
          <w:iCs w:val="0"/>
          <w:noProof w:val="0"/>
          <w:sz w:val="24"/>
          <w:szCs w:val="24"/>
          <w:lang w:val="it-IT"/>
        </w:rPr>
        <w:t>processualpenalistica</w:t>
      </w:r>
      <w:r w:rsidRPr="1E311963" w:rsidR="22992FE5">
        <w:rPr>
          <w:rFonts w:ascii="Times New Roman" w:hAnsi="Times New Roman" w:eastAsia="Times New Roman" w:cs="Times New Roman"/>
          <w:b w:val="0"/>
          <w:bCs w:val="0"/>
          <w:i w:val="0"/>
          <w:iCs w:val="0"/>
          <w:noProof w:val="0"/>
          <w:sz w:val="24"/>
          <w:szCs w:val="24"/>
          <w:lang w:val="it-IT"/>
        </w:rPr>
        <w:t xml:space="preserve"> distingue accuratamente l'atipicità in senso stretto dalle figure contigue della "prova irrituale" e della "prova anomala". Si verte in tema di irritualità (o atipicità acquisitiva) in presenza di un mezzo di prova assunto in aperta deroga al modulo procedimentale tipizzato dal legislatore</w:t>
      </w:r>
      <w:r w:rsidRPr="1E311963">
        <w:rPr>
          <w:rStyle w:val="FootnoteReference"/>
          <w:rFonts w:ascii="Times New Roman" w:hAnsi="Times New Roman" w:eastAsia="Times New Roman" w:cs="Times New Roman"/>
          <w:b w:val="0"/>
          <w:bCs w:val="0"/>
          <w:i w:val="0"/>
          <w:iCs w:val="0"/>
          <w:noProof w:val="0"/>
          <w:sz w:val="24"/>
          <w:szCs w:val="24"/>
          <w:lang w:val="it-IT"/>
        </w:rPr>
        <w:footnoteReference w:id="26859"/>
      </w:r>
      <w:r w:rsidRPr="1E311963" w:rsidR="22992FE5">
        <w:rPr>
          <w:rFonts w:ascii="Times New Roman" w:hAnsi="Times New Roman" w:eastAsia="Times New Roman" w:cs="Times New Roman"/>
          <w:b w:val="0"/>
          <w:bCs w:val="0"/>
          <w:i w:val="0"/>
          <w:iCs w:val="0"/>
          <w:noProof w:val="0"/>
          <w:sz w:val="24"/>
          <w:szCs w:val="24"/>
          <w:lang w:val="it-IT"/>
        </w:rPr>
        <w:t xml:space="preserve">. L'anomalia funzionale si configura invece laddove uno strumento tipico venga piegato al perseguimento di un risultato conoscitivo eterogeneo rispetto a quello strutturalmente ricollegato al suo modello di riferimento. </w:t>
      </w:r>
      <w:r w:rsidRPr="1E311963" w:rsidR="29418E36">
        <w:rPr>
          <w:rFonts w:ascii="Times New Roman" w:hAnsi="Times New Roman" w:eastAsia="Times New Roman" w:cs="Times New Roman"/>
          <w:b w:val="0"/>
          <w:bCs w:val="0"/>
          <w:i w:val="0"/>
          <w:iCs w:val="0"/>
          <w:noProof w:val="0"/>
          <w:sz w:val="24"/>
          <w:szCs w:val="24"/>
          <w:lang w:val="it-IT"/>
        </w:rPr>
        <w:t xml:space="preserve">Parte autorevole della dottrina e della giurisprudenza esclude che tali ultime manifestazioni di difformità possano invocare la copertura dell'art. 189 c.p.p. Un modulo probatorio che violi o eluda le sequenze precettive stabilite dal codice si pone in contrasto con la legge (contra </w:t>
      </w:r>
      <w:r w:rsidRPr="1E311963" w:rsidR="29418E36">
        <w:rPr>
          <w:rFonts w:ascii="Times New Roman" w:hAnsi="Times New Roman" w:eastAsia="Times New Roman" w:cs="Times New Roman"/>
          <w:b w:val="0"/>
          <w:bCs w:val="0"/>
          <w:i w:val="0"/>
          <w:iCs w:val="0"/>
          <w:noProof w:val="0"/>
          <w:sz w:val="24"/>
          <w:szCs w:val="24"/>
          <w:lang w:val="it-IT"/>
        </w:rPr>
        <w:t>legem</w:t>
      </w:r>
      <w:r w:rsidRPr="1E311963" w:rsidR="29418E36">
        <w:rPr>
          <w:rFonts w:ascii="Times New Roman" w:hAnsi="Times New Roman" w:eastAsia="Times New Roman" w:cs="Times New Roman"/>
          <w:b w:val="0"/>
          <w:bCs w:val="0"/>
          <w:i w:val="0"/>
          <w:iCs w:val="0"/>
          <w:noProof w:val="0"/>
          <w:sz w:val="24"/>
          <w:szCs w:val="24"/>
          <w:lang w:val="it-IT"/>
        </w:rPr>
        <w:t xml:space="preserve">), ricadendo inevitabilmente nella sanzione di inutilizzabilità sancita dall'art. 191 c.p.p. L'art. 189 c.p.p. riveste infatti una funzione strettamente residuale e opera esclusivamente nell'area </w:t>
      </w:r>
      <w:r w:rsidRPr="1E311963" w:rsidR="29418E36">
        <w:rPr>
          <w:rFonts w:ascii="Times New Roman" w:hAnsi="Times New Roman" w:eastAsia="Times New Roman" w:cs="Times New Roman"/>
          <w:b w:val="0"/>
          <w:bCs w:val="0"/>
          <w:i w:val="0"/>
          <w:iCs w:val="0"/>
          <w:noProof w:val="0"/>
          <w:sz w:val="24"/>
          <w:szCs w:val="24"/>
          <w:lang w:val="it-IT"/>
        </w:rPr>
        <w:t>praeter</w:t>
      </w:r>
      <w:r w:rsidRPr="1E311963" w:rsidR="29418E36">
        <w:rPr>
          <w:rFonts w:ascii="Times New Roman" w:hAnsi="Times New Roman" w:eastAsia="Times New Roman" w:cs="Times New Roman"/>
          <w:b w:val="0"/>
          <w:bCs w:val="0"/>
          <w:i w:val="0"/>
          <w:iCs w:val="0"/>
          <w:noProof w:val="0"/>
          <w:sz w:val="24"/>
          <w:szCs w:val="24"/>
          <w:lang w:val="it-IT"/>
        </w:rPr>
        <w:t xml:space="preserve"> </w:t>
      </w:r>
      <w:r w:rsidRPr="1E311963" w:rsidR="29418E36">
        <w:rPr>
          <w:rFonts w:ascii="Times New Roman" w:hAnsi="Times New Roman" w:eastAsia="Times New Roman" w:cs="Times New Roman"/>
          <w:b w:val="0"/>
          <w:bCs w:val="0"/>
          <w:i w:val="0"/>
          <w:iCs w:val="0"/>
          <w:noProof w:val="0"/>
          <w:sz w:val="24"/>
          <w:szCs w:val="24"/>
          <w:lang w:val="it-IT"/>
        </w:rPr>
        <w:t>legem</w:t>
      </w:r>
      <w:r w:rsidRPr="1E311963" w:rsidR="29418E36">
        <w:rPr>
          <w:rFonts w:ascii="Times New Roman" w:hAnsi="Times New Roman" w:eastAsia="Times New Roman" w:cs="Times New Roman"/>
          <w:b w:val="0"/>
          <w:bCs w:val="0"/>
          <w:i w:val="0"/>
          <w:iCs w:val="0"/>
          <w:noProof w:val="0"/>
          <w:sz w:val="24"/>
          <w:szCs w:val="24"/>
          <w:lang w:val="it-IT"/>
        </w:rPr>
        <w:t>: esso non può essere trasformato in un grimaldello interpretativo per aggirare i divieti probatori o per sanare ex post attività acquisitive illegittime</w:t>
      </w:r>
      <w:r w:rsidRPr="1E311963">
        <w:rPr>
          <w:rStyle w:val="FootnoteReference"/>
          <w:rFonts w:ascii="Times New Roman" w:hAnsi="Times New Roman" w:eastAsia="Times New Roman" w:cs="Times New Roman"/>
          <w:b w:val="0"/>
          <w:bCs w:val="0"/>
          <w:i w:val="0"/>
          <w:iCs w:val="0"/>
          <w:noProof w:val="0"/>
          <w:sz w:val="24"/>
          <w:szCs w:val="24"/>
          <w:lang w:val="it-IT"/>
        </w:rPr>
        <w:footnoteReference w:id="23841"/>
      </w:r>
      <w:r w:rsidRPr="1E311963" w:rsidR="29418E36">
        <w:rPr>
          <w:rFonts w:ascii="Times New Roman" w:hAnsi="Times New Roman" w:eastAsia="Times New Roman" w:cs="Times New Roman"/>
          <w:b w:val="0"/>
          <w:bCs w:val="0"/>
          <w:i w:val="0"/>
          <w:iCs w:val="0"/>
          <w:noProof w:val="0"/>
          <w:sz w:val="24"/>
          <w:szCs w:val="24"/>
          <w:lang w:val="it-IT"/>
        </w:rPr>
        <w:t>. Il principio di legalità processuale, elevato a rango costituzionale dall'art. 111 Cost. e presidiato dagli artt. 191 e 526 c.p.p., impone che tanto le prove tipiche quanto quelle atipiche rispettino rigorosamente i vincoli ordinamentali e l'inviolabilità dei diritti fondamentali della persona. Ne consegue che qualsiasi strumento conoscitivo non disciplinato che determini un sacrificio di libertà costituzionali, in assenza di una previa riserva di legge, deve considerarsi radicalmente inammissibile</w:t>
      </w:r>
      <w:r w:rsidRPr="1E311963">
        <w:rPr>
          <w:rStyle w:val="FootnoteReference"/>
          <w:rFonts w:ascii="Times New Roman" w:hAnsi="Times New Roman" w:eastAsia="Times New Roman" w:cs="Times New Roman"/>
          <w:b w:val="0"/>
          <w:bCs w:val="0"/>
          <w:i w:val="0"/>
          <w:iCs w:val="0"/>
          <w:noProof w:val="0"/>
          <w:sz w:val="24"/>
          <w:szCs w:val="24"/>
          <w:lang w:val="it-IT"/>
        </w:rPr>
        <w:footnoteReference w:id="17454"/>
      </w:r>
      <w:r w:rsidRPr="1E311963" w:rsidR="29418E36">
        <w:rPr>
          <w:rFonts w:ascii="Times New Roman" w:hAnsi="Times New Roman" w:eastAsia="Times New Roman" w:cs="Times New Roman"/>
          <w:b w:val="0"/>
          <w:bCs w:val="0"/>
          <w:i w:val="0"/>
          <w:iCs w:val="0"/>
          <w:noProof w:val="0"/>
          <w:sz w:val="24"/>
          <w:szCs w:val="24"/>
          <w:lang w:val="it-IT"/>
        </w:rPr>
        <w:t>.</w:t>
      </w:r>
      <w:r w:rsidRPr="1E311963" w:rsidR="350E75BF">
        <w:rPr>
          <w:rFonts w:ascii="Times New Roman" w:hAnsi="Times New Roman" w:eastAsia="Times New Roman" w:cs="Times New Roman"/>
          <w:b w:val="0"/>
          <w:bCs w:val="0"/>
          <w:i w:val="0"/>
          <w:iCs w:val="0"/>
          <w:noProof w:val="0"/>
          <w:sz w:val="24"/>
          <w:szCs w:val="24"/>
          <w:lang w:val="it-IT"/>
        </w:rPr>
        <w:t xml:space="preserve"> </w:t>
      </w:r>
    </w:p>
    <w:p w:rsidR="350E75BF" w:rsidP="6F3C75FA" w:rsidRDefault="350E75BF" w14:paraId="2622053C" w14:textId="23306995">
      <w:pPr>
        <w:pStyle w:val="Normal"/>
        <w:spacing w:before="0" w:beforeAutospacing="off" w:line="360" w:lineRule="auto"/>
        <w:ind w:firstLine="567"/>
        <w:jc w:val="both"/>
      </w:pPr>
      <w:r w:rsidRPr="6F3C75FA" w:rsidR="350E75BF">
        <w:rPr>
          <w:rFonts w:ascii="Times New Roman" w:hAnsi="Times New Roman" w:eastAsia="Times New Roman" w:cs="Times New Roman"/>
          <w:b w:val="0"/>
          <w:bCs w:val="0"/>
          <w:i w:val="0"/>
          <w:iCs w:val="0"/>
          <w:noProof w:val="0"/>
          <w:sz w:val="24"/>
          <w:szCs w:val="24"/>
          <w:lang w:val="it-IT"/>
        </w:rPr>
        <w:t>Un ulteriore e serrato confronto teorico investe l'estensione dello statuto dell'atipicità oltre il catalogo dei mezzi di prova in senso stretto (Libro III, Titolo II c.p.p.), per investire l'area dei mezzi di ricerca della prova (Titolo III), contrassegnati da una funzione servente e a vocazione tipicamente investigativa. Sul punto si registrano due orientamenti speculari. Il filone dottrinale minoritario nega l'applicabilità dell'art. 189 c.p.p. ai mezzi di ricerca della prova, valorizzando la collocazione di questi ultimi nella fase fluida delle indagini preliminari. Si evidenzia l'impossibilità logica di attivare in tale sede il modulo del contraddittorio anticipato sulle modalità di assunzione, previsto come garanzia indefettibile dalla norma in esame. Sotto altro profilo, si osserva come l'attività d'iniziativa della polizia giudiziaria (ex artt. 55 e 348 c.p.p.) sia per sua natura dotata di una fisiologica atipicità operativa, che legittima il ricorso a strumenti investigativi liberi (quali pedinamenti o osservazioni visive), purché non espressamente vietati o invasivi della sfera costituzionale</w:t>
      </w:r>
      <w:r w:rsidRPr="6F3C75FA" w:rsidR="65C59D0E">
        <w:rPr>
          <w:rFonts w:ascii="Times New Roman" w:hAnsi="Times New Roman" w:eastAsia="Times New Roman" w:cs="Times New Roman"/>
          <w:b w:val="0"/>
          <w:bCs w:val="0"/>
          <w:i w:val="0"/>
          <w:iCs w:val="0"/>
          <w:noProof w:val="0"/>
          <w:sz w:val="24"/>
          <w:szCs w:val="24"/>
          <w:lang w:val="it-IT"/>
        </w:rPr>
        <w:t xml:space="preserve"> </w:t>
      </w:r>
      <w:r w:rsidRPr="6F3C75FA">
        <w:rPr>
          <w:rStyle w:val="FootnoteReference"/>
          <w:rFonts w:ascii="Times New Roman" w:hAnsi="Times New Roman" w:eastAsia="Times New Roman" w:cs="Times New Roman"/>
          <w:b w:val="0"/>
          <w:bCs w:val="0"/>
          <w:i w:val="0"/>
          <w:iCs w:val="0"/>
          <w:noProof w:val="0"/>
          <w:sz w:val="24"/>
          <w:szCs w:val="24"/>
          <w:lang w:val="it-IT"/>
        </w:rPr>
        <w:footnoteReference w:id="8842"/>
      </w:r>
      <w:r w:rsidRPr="6F3C75FA" w:rsidR="350E75BF">
        <w:rPr>
          <w:rFonts w:ascii="Times New Roman" w:hAnsi="Times New Roman" w:eastAsia="Times New Roman" w:cs="Times New Roman"/>
          <w:b w:val="0"/>
          <w:bCs w:val="0"/>
          <w:i w:val="0"/>
          <w:iCs w:val="0"/>
          <w:noProof w:val="0"/>
          <w:sz w:val="24"/>
          <w:szCs w:val="24"/>
          <w:lang w:val="it-IT"/>
        </w:rPr>
        <w:t>.</w:t>
      </w:r>
      <w:r w:rsidRPr="6F3C75FA" w:rsidR="4C04D215">
        <w:rPr>
          <w:rFonts w:ascii="Times New Roman" w:hAnsi="Times New Roman" w:eastAsia="Times New Roman" w:cs="Times New Roman"/>
          <w:b w:val="0"/>
          <w:bCs w:val="0"/>
          <w:i w:val="0"/>
          <w:iCs w:val="0"/>
          <w:noProof w:val="0"/>
          <w:sz w:val="24"/>
          <w:szCs w:val="24"/>
          <w:lang w:val="it-IT"/>
        </w:rPr>
        <w:t xml:space="preserve"> Al contrario, l'orientamento maggioritario — confortato da un consolidato indirizzo della giurisprudenza di legittimità e costituzionale — estende l'operatività dell'art. 189 c.p.p. anche ai mezzi di ricerca della prova. La tesi poggia sul dato topografico: la norma è collocata nel Titolo I del Libro III, dedicato alle disposizioni generali in materia di prova, esplicando così una forza espansiva valevole per l'intero panorama processuale, indagini preliminari incluse. Le frizioni legate all'assenza di un preventivo confronto tra le parti vengono superate attraverso una conversione del modulo procedimentale, che traspone la garanzia del contraddittorio in una fase successiva e posticipata, incentrata sul vaglio di utilizzabilità degli elementi raccolti. Questo ampliamento delle garanzie si raccorda con il dettato dell'art. 61 c.p.p., che impone l'estensione dei diritti dell'imputato al soggetto sottoposto alle indagini, assicurando la tenuta del principio di legalità in ogni snodo del procedimento penale</w:t>
      </w:r>
      <w:r w:rsidRPr="6F3C75FA">
        <w:rPr>
          <w:rStyle w:val="FootnoteReference"/>
          <w:rFonts w:ascii="Times New Roman" w:hAnsi="Times New Roman" w:eastAsia="Times New Roman" w:cs="Times New Roman"/>
          <w:b w:val="0"/>
          <w:bCs w:val="0"/>
          <w:i w:val="0"/>
          <w:iCs w:val="0"/>
          <w:noProof w:val="0"/>
          <w:sz w:val="24"/>
          <w:szCs w:val="24"/>
          <w:lang w:val="it-IT"/>
        </w:rPr>
        <w:footnoteReference w:id="7333"/>
      </w:r>
      <w:r w:rsidRPr="6F3C75FA" w:rsidR="4C04D215">
        <w:rPr>
          <w:rFonts w:ascii="Times New Roman" w:hAnsi="Times New Roman" w:eastAsia="Times New Roman" w:cs="Times New Roman"/>
          <w:b w:val="0"/>
          <w:bCs w:val="0"/>
          <w:i w:val="0"/>
          <w:iCs w:val="0"/>
          <w:noProof w:val="0"/>
          <w:sz w:val="24"/>
          <w:szCs w:val="24"/>
          <w:lang w:val="it-IT"/>
        </w:rPr>
        <w:t>.</w:t>
      </w:r>
      <w:r w:rsidRPr="6F3C75FA" w:rsidR="1D9474A1">
        <w:rPr>
          <w:rFonts w:ascii="Times New Roman" w:hAnsi="Times New Roman" w:eastAsia="Times New Roman" w:cs="Times New Roman"/>
          <w:b w:val="0"/>
          <w:bCs w:val="0"/>
          <w:i w:val="0"/>
          <w:iCs w:val="0"/>
          <w:noProof w:val="0"/>
          <w:sz w:val="24"/>
          <w:szCs w:val="24"/>
          <w:lang w:val="it-IT"/>
        </w:rPr>
        <w:t xml:space="preserve"> La collocazione topografica dell'art. 189 c.p.p. all'interno del Titolo I del Libro III del codice di rito ne evidenzia l'intrinseca interdipendenza con lo statuto generale della prova, del quale costituisce, per via negativa, una proiezione sussidiaria. Sotto il profilo definitorio, il testo normativo si presenta programmaticamente ellittico: lungi dal tipizzare la nozione di atipicità, la disposizione si limita a subordinare l'ingresso della prova extra-ordinamento ai canoni elastici dell'efficacia euristica per la ricostruzione del fatto e del pieno rispetto dell'incolumità morale del soggetto. Tali parametri non operano tuttavia in una condizione di isolamento dogmatico, ma si pongono in ideale continuità con i criteri di sbarramento che l'art. 190 c.p.p. fissa per i mezzi probatori tipici. L'esegesi sistematica impone, di conseguenza, che il giudice sottoponga il mezzo istruttorio innominato a un preliminare e congiunto scrutinio di legalità, pertinenza e rilevanza ai sensi dell'art. 190 c.p.p., per poi verificare, in seconda battuta, la ricorrenza degli ulteriori requisiti specifici dettati dall'art. 189 c.p.p</w:t>
      </w:r>
      <w:r w:rsidRPr="6F3C75FA">
        <w:rPr>
          <w:rStyle w:val="FootnoteReference"/>
          <w:rFonts w:ascii="Times New Roman" w:hAnsi="Times New Roman" w:eastAsia="Times New Roman" w:cs="Times New Roman"/>
          <w:b w:val="0"/>
          <w:bCs w:val="0"/>
          <w:i w:val="0"/>
          <w:iCs w:val="0"/>
          <w:noProof w:val="0"/>
          <w:sz w:val="24"/>
          <w:szCs w:val="24"/>
          <w:lang w:val="it-IT"/>
        </w:rPr>
        <w:footnoteReference w:id="27796"/>
      </w:r>
      <w:r w:rsidRPr="6F3C75FA" w:rsidR="1D9474A1">
        <w:rPr>
          <w:rFonts w:ascii="Times New Roman" w:hAnsi="Times New Roman" w:eastAsia="Times New Roman" w:cs="Times New Roman"/>
          <w:b w:val="0"/>
          <w:bCs w:val="0"/>
          <w:i w:val="0"/>
          <w:iCs w:val="0"/>
          <w:noProof w:val="0"/>
          <w:sz w:val="24"/>
          <w:szCs w:val="24"/>
          <w:lang w:val="it-IT"/>
        </w:rPr>
        <w:t>.</w:t>
      </w:r>
      <w:r w:rsidRPr="6F3C75FA" w:rsidR="319FECB0">
        <w:rPr>
          <w:rFonts w:ascii="Times New Roman" w:hAnsi="Times New Roman" w:eastAsia="Times New Roman" w:cs="Times New Roman"/>
          <w:b w:val="0"/>
          <w:bCs w:val="0"/>
          <w:i w:val="0"/>
          <w:iCs w:val="0"/>
          <w:noProof w:val="0"/>
          <w:sz w:val="24"/>
          <w:szCs w:val="24"/>
          <w:lang w:val="it-IT"/>
        </w:rPr>
        <w:t xml:space="preserve"> In questa prospettiva, l'indagine intorno all'idoneità del mezzo atipico ad assicurare l'accertamento dei fatti si sostanzia nella verifica della capacità intrinseca dello strumento di offrire un apporto conoscitivo reale e non altrimenti conseguibile tramite i moduli ordinari, o comunque in grado di assicurare un grado di affidabilità superiore rispetto ai percorsi probatori nominati. Emerge qui un'asimmetria concettuale profonda tra l'idoneità esposta dall'art. 189 c.p.p. e la pertinenza/rilevanza richiamata dall'art. 190 c.p.p. Mentre per i mezzi di prova tipici l'attitudine astratta a ricostruire il fatto è presunta a monte dal legislatore — residuando in capo al giudicante il solo controllo in concreto sulla connessione logica tra il mezzo e lo specifico oggetto della pretesa punitiva (</w:t>
      </w:r>
      <w:r w:rsidRPr="6F3C75FA" w:rsidR="319FECB0">
        <w:rPr>
          <w:rFonts w:ascii="Times New Roman" w:hAnsi="Times New Roman" w:eastAsia="Times New Roman" w:cs="Times New Roman"/>
          <w:b w:val="0"/>
          <w:bCs w:val="0"/>
          <w:i w:val="0"/>
          <w:iCs w:val="0"/>
          <w:noProof w:val="0"/>
          <w:sz w:val="24"/>
          <w:szCs w:val="24"/>
          <w:lang w:val="it-IT"/>
        </w:rPr>
        <w:t>thema</w:t>
      </w:r>
      <w:r w:rsidRPr="6F3C75FA" w:rsidR="319FECB0">
        <w:rPr>
          <w:rFonts w:ascii="Times New Roman" w:hAnsi="Times New Roman" w:eastAsia="Times New Roman" w:cs="Times New Roman"/>
          <w:b w:val="0"/>
          <w:bCs w:val="0"/>
          <w:i w:val="0"/>
          <w:iCs w:val="0"/>
          <w:noProof w:val="0"/>
          <w:sz w:val="24"/>
          <w:szCs w:val="24"/>
          <w:lang w:val="it-IT"/>
        </w:rPr>
        <w:t xml:space="preserve"> </w:t>
      </w:r>
      <w:r w:rsidRPr="6F3C75FA" w:rsidR="319FECB0">
        <w:rPr>
          <w:rFonts w:ascii="Times New Roman" w:hAnsi="Times New Roman" w:eastAsia="Times New Roman" w:cs="Times New Roman"/>
          <w:b w:val="0"/>
          <w:bCs w:val="0"/>
          <w:i w:val="0"/>
          <w:iCs w:val="0"/>
          <w:noProof w:val="0"/>
          <w:sz w:val="24"/>
          <w:szCs w:val="24"/>
          <w:lang w:val="it-IT"/>
        </w:rPr>
        <w:t>probandum</w:t>
      </w:r>
      <w:r w:rsidRPr="6F3C75FA" w:rsidR="319FECB0">
        <w:rPr>
          <w:rFonts w:ascii="Times New Roman" w:hAnsi="Times New Roman" w:eastAsia="Times New Roman" w:cs="Times New Roman"/>
          <w:b w:val="0"/>
          <w:bCs w:val="0"/>
          <w:i w:val="0"/>
          <w:iCs w:val="0"/>
          <w:noProof w:val="0"/>
          <w:sz w:val="24"/>
          <w:szCs w:val="24"/>
          <w:lang w:val="it-IT"/>
        </w:rPr>
        <w:t>) —, per la prova innominata tale attitudine genetica costituisce l'oggetto di un primo e severo scrutinio in astratto.</w:t>
      </w:r>
      <w:r w:rsidRPr="6F3C75FA" w:rsidR="200154C7">
        <w:rPr>
          <w:rFonts w:ascii="Times New Roman" w:hAnsi="Times New Roman" w:eastAsia="Times New Roman" w:cs="Times New Roman"/>
          <w:b w:val="0"/>
          <w:bCs w:val="0"/>
          <w:i w:val="0"/>
          <w:iCs w:val="0"/>
          <w:noProof w:val="0"/>
          <w:sz w:val="24"/>
          <w:szCs w:val="24"/>
          <w:lang w:val="it-IT"/>
        </w:rPr>
        <w:t xml:space="preserve"> Considerata la difficoltà per l'organo giudicante di formulare una prognosi di assoluta certezza scientifica in una fase aurorale del processo, in cui la cognizione degli atti è parziale, la dottrina più avveduta suggerisce di declinare tale accertamento nei termini più flessibili di un giudizio di "non manifesta inidoneità"</w:t>
      </w:r>
      <w:r w:rsidRPr="6F3C75FA">
        <w:rPr>
          <w:rStyle w:val="FootnoteReference"/>
          <w:rFonts w:ascii="Times New Roman" w:hAnsi="Times New Roman" w:eastAsia="Times New Roman" w:cs="Times New Roman"/>
          <w:b w:val="0"/>
          <w:bCs w:val="0"/>
          <w:i w:val="0"/>
          <w:iCs w:val="0"/>
          <w:noProof w:val="0"/>
          <w:sz w:val="24"/>
          <w:szCs w:val="24"/>
          <w:lang w:val="it-IT"/>
        </w:rPr>
        <w:footnoteReference w:id="11749"/>
      </w:r>
      <w:r w:rsidRPr="6F3C75FA" w:rsidR="200154C7">
        <w:rPr>
          <w:rFonts w:ascii="Times New Roman" w:hAnsi="Times New Roman" w:eastAsia="Times New Roman" w:cs="Times New Roman"/>
          <w:b w:val="0"/>
          <w:bCs w:val="0"/>
          <w:i w:val="0"/>
          <w:iCs w:val="0"/>
          <w:noProof w:val="0"/>
          <w:sz w:val="24"/>
          <w:szCs w:val="24"/>
          <w:lang w:val="it-IT"/>
        </w:rPr>
        <w:t>. Un'impostazione eccessivamente rigorosa, improntata a un severo apriorismo, finirebbe per paralizzare l'applicabilità dell'art. 189 c.p.p. dinanzi alle prove scientifiche emergenti o controverse, comprimendo irragionevolmente il diritto alla prova spettante alle parti. Un vaglio preventivo così penetrante rischierebbe, peraltro, di compromettere la stessa terzietà del giudice, anticipando valutazioni di merito incompatibili con la neutralità della funzione. Qualora, d'altro canto, il mezzo atipico venisse inizialmente escluso, l'elasticità del sistema consente di recuperarlo in un momento successivo del dibattimento, estendendo alla prova innominata la regola generale della revocabilità dell'ordinanza esclusiva ai sensi dell'art. 495, comma 4, c.p.p</w:t>
      </w:r>
      <w:r w:rsidRPr="6F3C75FA">
        <w:rPr>
          <w:rStyle w:val="FootnoteReference"/>
          <w:rFonts w:ascii="Times New Roman" w:hAnsi="Times New Roman" w:eastAsia="Times New Roman" w:cs="Times New Roman"/>
          <w:b w:val="0"/>
          <w:bCs w:val="0"/>
          <w:i w:val="0"/>
          <w:iCs w:val="0"/>
          <w:noProof w:val="0"/>
          <w:sz w:val="24"/>
          <w:szCs w:val="24"/>
          <w:lang w:val="it-IT"/>
        </w:rPr>
        <w:footnoteReference w:id="15917"/>
      </w:r>
      <w:r w:rsidRPr="6F3C75FA" w:rsidR="200154C7">
        <w:rPr>
          <w:rFonts w:ascii="Times New Roman" w:hAnsi="Times New Roman" w:eastAsia="Times New Roman" w:cs="Times New Roman"/>
          <w:b w:val="0"/>
          <w:bCs w:val="0"/>
          <w:i w:val="0"/>
          <w:iCs w:val="0"/>
          <w:noProof w:val="0"/>
          <w:sz w:val="24"/>
          <w:szCs w:val="24"/>
          <w:lang w:val="it-IT"/>
        </w:rPr>
        <w:t>.</w:t>
      </w:r>
      <w:r w:rsidRPr="6F3C75FA" w:rsidR="70565C28">
        <w:rPr>
          <w:rFonts w:ascii="Times New Roman" w:hAnsi="Times New Roman" w:eastAsia="Times New Roman" w:cs="Times New Roman"/>
          <w:b w:val="0"/>
          <w:bCs w:val="0"/>
          <w:i w:val="0"/>
          <w:iCs w:val="0"/>
          <w:noProof w:val="0"/>
          <w:sz w:val="24"/>
          <w:szCs w:val="24"/>
          <w:lang w:val="it-IT"/>
        </w:rPr>
        <w:t xml:space="preserve"> Rimane ferma la radicale divergenza filosofica che separa le due architetture normative. L'art. 190 c.p.p. riflette il principio della generale inclusione probatoria, configurando una presunzione di ammissibilità che funge da presidio al diritto di difesa. Al contrario, l'art. 189 c.p.p. poggia sul paradigma inverso della non astratta inclusione. Di fronte a uno strumento estraneo al catalogo codificato, la presunzione di ammissibilità decade, trasferendo sulle parti l'onere probatorio e argomentativo di dimostrare analiticamente, al momento della richiesta, la sussistenza di tutti i presupposti di affidabilità e legalità richiesti per l'ingresso della prova nel processo. </w:t>
      </w:r>
      <w:r w:rsidRPr="6F3C75FA" w:rsidR="3677A592">
        <w:rPr>
          <w:rFonts w:ascii="Times New Roman" w:hAnsi="Times New Roman" w:eastAsia="Times New Roman" w:cs="Times New Roman"/>
          <w:b w:val="0"/>
          <w:bCs w:val="0"/>
          <w:i w:val="0"/>
          <w:iCs w:val="0"/>
          <w:noProof w:val="0"/>
          <w:sz w:val="24"/>
          <w:szCs w:val="24"/>
          <w:lang w:val="it-IT"/>
        </w:rPr>
        <w:t xml:space="preserve">Una volta superato positivamente il duplice vaglio sull'attitudine euristica del mezzo innominato e sulla salvaguardia dell'incolumità psichica dell'individuo, l'organo giudicante è chiamato a risolvere un nodo di natura prettamente processuale: la perimetrazione del modulo acquisitivo. L'art. 189 c.p.p. introduce in questa fase un adempimento vincolante, imponendo la previa consultazione delle parti in regime di pieno contraddittorio </w:t>
      </w:r>
      <w:r w:rsidRPr="6F3C75FA">
        <w:rPr>
          <w:rStyle w:val="FootnoteReference"/>
          <w:rFonts w:ascii="Times New Roman" w:hAnsi="Times New Roman" w:eastAsia="Times New Roman" w:cs="Times New Roman"/>
          <w:b w:val="0"/>
          <w:bCs w:val="0"/>
          <w:i w:val="0"/>
          <w:iCs w:val="0"/>
          <w:noProof w:val="0"/>
          <w:sz w:val="24"/>
          <w:szCs w:val="24"/>
          <w:lang w:val="it-IT"/>
        </w:rPr>
        <w:footnoteReference w:id="22731"/>
      </w:r>
      <w:r w:rsidRPr="6F3C75FA" w:rsidR="3677A592">
        <w:rPr>
          <w:rFonts w:ascii="Times New Roman" w:hAnsi="Times New Roman" w:eastAsia="Times New Roman" w:cs="Times New Roman"/>
          <w:b w:val="0"/>
          <w:bCs w:val="0"/>
          <w:i w:val="0"/>
          <w:iCs w:val="0"/>
          <w:noProof w:val="0"/>
          <w:sz w:val="24"/>
          <w:szCs w:val="24"/>
          <w:lang w:val="it-IT"/>
        </w:rPr>
        <w:t xml:space="preserve">. </w:t>
      </w:r>
      <w:r w:rsidRPr="6F3C75FA" w:rsidR="3D882AFA">
        <w:rPr>
          <w:rFonts w:ascii="Times New Roman" w:hAnsi="Times New Roman" w:eastAsia="Times New Roman" w:cs="Times New Roman"/>
          <w:b w:val="0"/>
          <w:bCs w:val="0"/>
          <w:i w:val="0"/>
          <w:iCs w:val="0"/>
          <w:noProof w:val="0"/>
          <w:sz w:val="24"/>
          <w:szCs w:val="24"/>
          <w:lang w:val="it-IT"/>
        </w:rPr>
        <w:t>A differenza dei moduli probatori ordinari, le cui sequenze applicative risultano rigidamente predeterminate dal legislatore, l'ingresso di uno strumento estraneo al catalogo codificato esige che la garanzia del confronto intersoggettivo operi a ritroso, estendendosi dal momento genetico di formazione del dato fino alla fase preliminare di individuazione delle regole d'assunzione. Questa architettura garantista risponde alla precisa ratio di disinnescare il rischio di un esercizio arbitrario o monocratico dei poteri istruttori conferiti dalla norma, attenuando al contempo il potenziale pregiudizio derivante dall'impiego di una metodologia d'indagine inedita per i difensori</w:t>
      </w:r>
      <w:r w:rsidRPr="6F3C75FA">
        <w:rPr>
          <w:rStyle w:val="FootnoteReference"/>
          <w:rFonts w:ascii="Times New Roman" w:hAnsi="Times New Roman" w:eastAsia="Times New Roman" w:cs="Times New Roman"/>
          <w:b w:val="0"/>
          <w:bCs w:val="0"/>
          <w:i w:val="0"/>
          <w:iCs w:val="0"/>
          <w:noProof w:val="0"/>
          <w:sz w:val="24"/>
          <w:szCs w:val="24"/>
          <w:lang w:val="it-IT"/>
        </w:rPr>
        <w:footnoteReference w:id="11761"/>
      </w:r>
      <w:r w:rsidRPr="6F3C75FA" w:rsidR="3D882AFA">
        <w:rPr>
          <w:rFonts w:ascii="Times New Roman" w:hAnsi="Times New Roman" w:eastAsia="Times New Roman" w:cs="Times New Roman"/>
          <w:b w:val="0"/>
          <w:bCs w:val="0"/>
          <w:i w:val="0"/>
          <w:iCs w:val="0"/>
          <w:noProof w:val="0"/>
          <w:sz w:val="24"/>
          <w:szCs w:val="24"/>
          <w:lang w:val="it-IT"/>
        </w:rPr>
        <w:t>. La predeterminazione dell'itinerario probatorio risponde, del resto, all'esigenza manifestata fin dal progetto preliminare del codice di rito di rendere preventivamente conoscibile l'iter di accertamento. Sotto il profilo sanzionatorio, mentre i suggerimenti tecnici delle parti non vincolano l'organo giudicante nella stesura del protocollo, l'omessa attivazione del contraddittorio preventivo inficia la sequenza procedimentale, integrando una nullità di regime generale ex art. 178 c.p.p</w:t>
      </w:r>
      <w:r w:rsidRPr="6F3C75FA">
        <w:rPr>
          <w:rStyle w:val="FootnoteReference"/>
          <w:rFonts w:ascii="Times New Roman" w:hAnsi="Times New Roman" w:eastAsia="Times New Roman" w:cs="Times New Roman"/>
          <w:b w:val="0"/>
          <w:bCs w:val="0"/>
          <w:i w:val="0"/>
          <w:iCs w:val="0"/>
          <w:noProof w:val="0"/>
          <w:sz w:val="24"/>
          <w:szCs w:val="24"/>
          <w:lang w:val="it-IT"/>
        </w:rPr>
        <w:footnoteReference w:id="22837"/>
      </w:r>
      <w:r w:rsidRPr="6F3C75FA" w:rsidR="3D882AFA">
        <w:rPr>
          <w:rFonts w:ascii="Times New Roman" w:hAnsi="Times New Roman" w:eastAsia="Times New Roman" w:cs="Times New Roman"/>
          <w:b w:val="0"/>
          <w:bCs w:val="0"/>
          <w:i w:val="0"/>
          <w:iCs w:val="0"/>
          <w:noProof w:val="0"/>
          <w:sz w:val="24"/>
          <w:szCs w:val="24"/>
          <w:lang w:val="it-IT"/>
        </w:rPr>
        <w:t>.</w:t>
      </w:r>
      <w:r w:rsidRPr="6F3C75FA" w:rsidR="0F09DFBD">
        <w:rPr>
          <w:rFonts w:ascii="Times New Roman" w:hAnsi="Times New Roman" w:eastAsia="Times New Roman" w:cs="Times New Roman"/>
          <w:b w:val="0"/>
          <w:bCs w:val="0"/>
          <w:i w:val="0"/>
          <w:iCs w:val="0"/>
          <w:noProof w:val="0"/>
          <w:sz w:val="24"/>
          <w:szCs w:val="24"/>
          <w:lang w:val="it-IT"/>
        </w:rPr>
        <w:t xml:space="preserve"> Per quanto concerne lo svolgimento materiale delle attività istruttorie, l'attuazione del mezzo atipico deve informarsi, per quanto possibile, alle regole generali dell'esame incrociato, salvo gli adattamenti e i correttivi resi necessari dalla specificità dello strumento, come l'eventuale partecipazione simultanea o il confronto diretto tra gli esperti di parte. Il metodo dialogico conserva la sua centralità epistemologica quale strumento di verifica del teorema d'accusa su basi di parità. Sul punto, l'ambiguità letterale dell'art. 189 c.p.p. — là dove oscilla tra le formule "il giudice può assumerla" e "il giudice provvede all'ammissione" — ha alimentato in dottrina il dubbio che le parti potessero essere relegate a un ruolo meramente consultivo nella determinazione delle forme, rimanendo escluse dalla fase formativa vera e propria</w:t>
      </w:r>
      <w:r w:rsidRPr="6F3C75FA">
        <w:rPr>
          <w:rStyle w:val="FootnoteReference"/>
          <w:rFonts w:ascii="Times New Roman" w:hAnsi="Times New Roman" w:eastAsia="Times New Roman" w:cs="Times New Roman"/>
          <w:b w:val="0"/>
          <w:bCs w:val="0"/>
          <w:i w:val="0"/>
          <w:iCs w:val="0"/>
          <w:noProof w:val="0"/>
          <w:sz w:val="24"/>
          <w:szCs w:val="24"/>
          <w:lang w:val="it-IT"/>
        </w:rPr>
        <w:footnoteReference w:id="21115"/>
      </w:r>
      <w:r w:rsidRPr="6F3C75FA" w:rsidR="0F09DFBD">
        <w:rPr>
          <w:rFonts w:ascii="Times New Roman" w:hAnsi="Times New Roman" w:eastAsia="Times New Roman" w:cs="Times New Roman"/>
          <w:b w:val="0"/>
          <w:bCs w:val="0"/>
          <w:i w:val="0"/>
          <w:iCs w:val="0"/>
          <w:noProof w:val="0"/>
          <w:sz w:val="24"/>
          <w:szCs w:val="24"/>
          <w:lang w:val="it-IT"/>
        </w:rPr>
        <w:t>. Una simile interpretazione restrittiva deve tuttavia ritenersi superata, ponendosi in aperto contrasto sia con il principio del giusto processo sancito dall'art. 111 Cost., sia con i vincoli convenzionali dell'art. 6 CEDU, che presidiano il diritto fondamentale al confronto diretto con la fonte di prova. Nelle ipotesi di investigazione atipica, d'altro canto, la garanzia del contraddittorio subisce una necessaria trasposizione cronologica, declinandosi in forma differita sull'utilizzabilità e sul valore probatorio dei risultati già cristallizzati</w:t>
      </w:r>
      <w:r w:rsidRPr="6F3C75FA">
        <w:rPr>
          <w:rStyle w:val="FootnoteReference"/>
          <w:rFonts w:ascii="Times New Roman" w:hAnsi="Times New Roman" w:eastAsia="Times New Roman" w:cs="Times New Roman"/>
          <w:b w:val="0"/>
          <w:bCs w:val="0"/>
          <w:i w:val="0"/>
          <w:iCs w:val="0"/>
          <w:noProof w:val="0"/>
          <w:sz w:val="24"/>
          <w:szCs w:val="24"/>
          <w:lang w:val="it-IT"/>
        </w:rPr>
        <w:footnoteReference w:id="11316"/>
      </w:r>
      <w:r w:rsidRPr="6F3C75FA" w:rsidR="0F09DFBD">
        <w:rPr>
          <w:rFonts w:ascii="Times New Roman" w:hAnsi="Times New Roman" w:eastAsia="Times New Roman" w:cs="Times New Roman"/>
          <w:b w:val="0"/>
          <w:bCs w:val="0"/>
          <w:i w:val="0"/>
          <w:iCs w:val="0"/>
          <w:noProof w:val="0"/>
          <w:sz w:val="24"/>
          <w:szCs w:val="24"/>
          <w:lang w:val="it-IT"/>
        </w:rPr>
        <w:t>.</w:t>
      </w:r>
      <w:r w:rsidRPr="6F3C75FA" w:rsidR="61FA17F8">
        <w:rPr>
          <w:rFonts w:ascii="Times New Roman" w:hAnsi="Times New Roman" w:eastAsia="Times New Roman" w:cs="Times New Roman"/>
          <w:b w:val="0"/>
          <w:bCs w:val="0"/>
          <w:i w:val="0"/>
          <w:iCs w:val="0"/>
          <w:noProof w:val="0"/>
          <w:sz w:val="24"/>
          <w:szCs w:val="24"/>
          <w:lang w:val="it-IT"/>
        </w:rPr>
        <w:t xml:space="preserve"> L'eccezionalità dello strumento solleva ulteriori interrogativi circa la sua compatibilità con la fase delle indagini preliminari e, nello specifico, con l'istituto dell'incidente probatorio ex art. 392 c.p.p. Il rigido principio di tassatività che governa le ipotesi di anticipazione dibattimentale parrebbe precludere l'assunzione ex art. 189 c.p.p. in questa sede, lasciando irrisolto il problema normativo della tutela dei mezzi d'indagine innominati esposti a un concreto rischio di dispersione o indifferibilità, anche ai fini degli atti urgenti ex art. 467 c.p.p</w:t>
      </w:r>
      <w:r w:rsidRPr="6F3C75FA">
        <w:rPr>
          <w:rStyle w:val="FootnoteReference"/>
          <w:rFonts w:ascii="Times New Roman" w:hAnsi="Times New Roman" w:eastAsia="Times New Roman" w:cs="Times New Roman"/>
          <w:b w:val="0"/>
          <w:bCs w:val="0"/>
          <w:i w:val="0"/>
          <w:iCs w:val="0"/>
          <w:noProof w:val="0"/>
          <w:sz w:val="24"/>
          <w:szCs w:val="24"/>
          <w:lang w:val="it-IT"/>
        </w:rPr>
        <w:footnoteReference w:id="14921"/>
      </w:r>
      <w:r w:rsidRPr="6F3C75FA" w:rsidR="61FA17F8">
        <w:rPr>
          <w:rFonts w:ascii="Times New Roman" w:hAnsi="Times New Roman" w:eastAsia="Times New Roman" w:cs="Times New Roman"/>
          <w:b w:val="0"/>
          <w:bCs w:val="0"/>
          <w:i w:val="0"/>
          <w:iCs w:val="0"/>
          <w:noProof w:val="0"/>
          <w:sz w:val="24"/>
          <w:szCs w:val="24"/>
          <w:lang w:val="it-IT"/>
        </w:rPr>
        <w:t>.</w:t>
      </w:r>
      <w:r w:rsidRPr="6F3C75FA" w:rsidR="4D72A10B">
        <w:rPr>
          <w:rFonts w:ascii="Times New Roman" w:hAnsi="Times New Roman" w:eastAsia="Times New Roman" w:cs="Times New Roman"/>
          <w:b w:val="0"/>
          <w:bCs w:val="0"/>
          <w:i w:val="0"/>
          <w:iCs w:val="0"/>
          <w:noProof w:val="0"/>
          <w:sz w:val="24"/>
          <w:szCs w:val="24"/>
          <w:lang w:val="it-IT"/>
        </w:rPr>
        <w:t xml:space="preserve"> Infine, sotto il profilo della legittimazione all'impulso, l'incipit della disposizione individua chiaramente nelle parti i soggetti titolari del potere di richiesta. Ciononostante, parte della dottrina ammette la possibilità di un'introduzione ex officio del mezzo atipico, valorizzando il potere di integrazione istruttoria spettante al giudice ai sensi dell'art. 507 c.p.p. Poiché la disciplina ordinaria dei poteri ufficiosi non opera alcuna distinzione tra prove nominate ed extra-vaganti, il rischio di una potenziale lesione della terzietà del giudicante deve ritenersi parificato e bilanciato dal legislatore nei medesimi termini in cui è tollerato per l'assunzione d'ufficio delle prove tipiche, condizionando in ogni caso l'iniziativa autonoma del magistrato al rispetto del modulo consultivo preventivo sulle modalità di attuazione del codice. </w:t>
      </w:r>
    </w:p>
    <w:p w:rsidR="1B5A2BC4" w:rsidP="6F3C75FA" w:rsidRDefault="1B5A2BC4" w14:paraId="0AC7836F" w14:textId="62A0FCC5">
      <w:pPr>
        <w:pStyle w:val="Normal"/>
        <w:spacing w:before="0" w:beforeAutospacing="off" w:line="360" w:lineRule="auto"/>
        <w:ind w:firstLine="567"/>
        <w:jc w:val="both"/>
      </w:pPr>
      <w:r w:rsidRPr="6F3C75FA" w:rsidR="1B5A2BC4">
        <w:rPr>
          <w:rFonts w:ascii="Times New Roman" w:hAnsi="Times New Roman" w:eastAsia="Times New Roman" w:cs="Times New Roman"/>
          <w:b w:val="0"/>
          <w:bCs w:val="0"/>
          <w:i w:val="0"/>
          <w:iCs w:val="0"/>
          <w:noProof w:val="0"/>
          <w:sz w:val="24"/>
          <w:szCs w:val="24"/>
          <w:lang w:val="it-IT"/>
        </w:rPr>
        <w:t xml:space="preserve">Alla luce della complessa ricostruzione dogmatica sin qui tracciata, è possibile ricomporre l'apparente aporia metodologica da cui si sono mossi i primi passi di questo capitolo. L'esame dei confini dell'art. 189 c.p.p., l'analisi delle patologie acquisitive e il serrato confronto sull'estensione dell'atipicità ai mezzi di ricerca della prova consentono oggi di validare l'inquadramento sistematico della blockchain all'interno del processo penale. Se, come si è dimostrato, l'istanza di ingresso nel compendio probatorio del reperto informatico puro — sia esso un flusso di messaggistica, un'evidenza grafica o una traccia di sistema — trova la sua naturale e tipica collocazione documentale nel perimetro dell'art. 234 c.p.p., è l'innovativo protocollo scientifico di stabilizzazione della sua catena di custodia a pretendere lo statuto di atipicità. L'algoritmo decentralizzato non si sostituisce alla prova, ma ne blinda l'attendibilità gnoseologica attraverso un percorso di asseverazione estraneo alle sequenze predeterminate dal codice di rito. </w:t>
      </w:r>
      <w:r w:rsidRPr="6F3C75FA" w:rsidR="09FA91F7">
        <w:rPr>
          <w:rFonts w:ascii="Times New Roman" w:hAnsi="Times New Roman" w:eastAsia="Times New Roman" w:cs="Times New Roman"/>
          <w:b w:val="0"/>
          <w:bCs w:val="0"/>
          <w:i w:val="0"/>
          <w:iCs w:val="0"/>
          <w:noProof w:val="0"/>
          <w:sz w:val="24"/>
          <w:szCs w:val="24"/>
          <w:lang w:val="it-IT"/>
        </w:rPr>
        <w:t>ale</w:t>
      </w:r>
      <w:r w:rsidRPr="6F3C75FA" w:rsidR="09FA91F7">
        <w:rPr>
          <w:rFonts w:ascii="Times New Roman" w:hAnsi="Times New Roman" w:eastAsia="Times New Roman" w:cs="Times New Roman"/>
          <w:b w:val="0"/>
          <w:bCs w:val="0"/>
          <w:i w:val="0"/>
          <w:iCs w:val="0"/>
          <w:noProof w:val="0"/>
          <w:sz w:val="24"/>
          <w:szCs w:val="24"/>
          <w:lang w:val="it-IT"/>
        </w:rPr>
        <w:t xml:space="preserve"> modulo sussidiario di controllo si rivela pienamente compatibile con i rigorosi filtri di ammissibilità emersi dall'esegesi dell'art. 189 c.p.p. La </w:t>
      </w:r>
      <w:r w:rsidRPr="6F3C75FA" w:rsidR="09FA91F7">
        <w:rPr>
          <w:rFonts w:ascii="Times New Roman" w:hAnsi="Times New Roman" w:eastAsia="Times New Roman" w:cs="Times New Roman"/>
          <w:b w:val="0"/>
          <w:bCs w:val="0"/>
          <w:i w:val="0"/>
          <w:iCs w:val="0"/>
          <w:noProof w:val="0"/>
          <w:sz w:val="24"/>
          <w:szCs w:val="24"/>
          <w:lang w:val="it-IT"/>
        </w:rPr>
        <w:t>notarizzazione</w:t>
      </w:r>
      <w:r w:rsidRPr="6F3C75FA" w:rsidR="09FA91F7">
        <w:rPr>
          <w:rFonts w:ascii="Times New Roman" w:hAnsi="Times New Roman" w:eastAsia="Times New Roman" w:cs="Times New Roman"/>
          <w:b w:val="0"/>
          <w:bCs w:val="0"/>
          <w:i w:val="0"/>
          <w:iCs w:val="0"/>
          <w:noProof w:val="0"/>
          <w:sz w:val="24"/>
          <w:szCs w:val="24"/>
          <w:lang w:val="it-IT"/>
        </w:rPr>
        <w:t xml:space="preserve"> crittografica, infatti, non solo esprime un'altissima attitudine all'accertamento dei fatti — offrendo al giudice un dato informatico scientificamente immune da manipolazioni retroattive —, ma si dispiega nel totale rispetto della libertà morale dell'individuo, traducendosi in un calcolo matematico oggettivo e privo di qualsiasi valenza coercitiva. Inoltre, la necessaria flessione del contraddittorio in chiave differita, tipica delle investigazioni tecnologiche non ripetibili, garantisce alle parti la piena facoltà di scrutinio e di discussione sugli esiti della validazione in sede dibattimentale, ponendosi in perfetta armonia con i canoni costituzionali del giusto processo e con i vincoli sovranazionali della Convenzione Europea dei Diritti dell'Uomo. </w:t>
      </w:r>
      <w:r w:rsidRPr="6F3C75FA" w:rsidR="61FA17F8">
        <w:rPr>
          <w:rFonts w:ascii="Times New Roman" w:hAnsi="Times New Roman" w:eastAsia="Times New Roman" w:cs="Times New Roman"/>
          <w:b w:val="0"/>
          <w:bCs w:val="0"/>
          <w:i w:val="0"/>
          <w:iCs w:val="0"/>
          <w:noProof w:val="0"/>
          <w:sz w:val="24"/>
          <w:szCs w:val="24"/>
          <w:lang w:val="it-IT"/>
        </w:rPr>
        <w:t xml:space="preserve"> </w:t>
      </w:r>
      <w:r w:rsidRPr="6F3C75FA" w:rsidR="470A1516">
        <w:rPr>
          <w:rFonts w:ascii="Times New Roman" w:hAnsi="Times New Roman" w:eastAsia="Times New Roman" w:cs="Times New Roman"/>
          <w:b w:val="0"/>
          <w:bCs w:val="0"/>
          <w:i w:val="0"/>
          <w:iCs w:val="0"/>
          <w:noProof w:val="0"/>
          <w:sz w:val="24"/>
          <w:szCs w:val="24"/>
          <w:lang w:val="it-IT"/>
        </w:rPr>
        <w:t>In conclusione, l'impiego dei registri distribuiti quale garante della digital chain of custody non deve essere letto come un'anomala forzatura del principio di legalità processuale, né come una surrettizia introduzione di prove contra legem. Al contrario, esso si configura come un legittimo e virtuoso modulo probatorio atipico di accertamento scientifico che, muovendosi nel solco tracciato dall'art. 189 c.p.p., offre al processo penale moderno lo strumento più affidabile per traghettare la fluidità del dato digitale verso la certezza della verità giudiziale.</w:t>
      </w:r>
    </w:p>
    <w:p w:rsidR="6F3C75FA" w:rsidP="6F3C75FA" w:rsidRDefault="6F3C75FA" w14:paraId="3C82BEFD" w14:textId="78D2BDBC">
      <w:pPr>
        <w:spacing w:before="0" w:beforeAutospacing="off" w:line="360" w:lineRule="auto"/>
        <w:ind w:firstLine="0"/>
        <w:jc w:val="left"/>
        <w:rPr>
          <w:rFonts w:ascii="Times New Roman" w:hAnsi="Times New Roman" w:eastAsia="Times New Roman" w:cs="Times New Roman"/>
          <w:b w:val="0"/>
          <w:bCs w:val="0"/>
          <w:i w:val="0"/>
          <w:iCs w:val="0"/>
          <w:noProof w:val="0"/>
          <w:sz w:val="24"/>
          <w:szCs w:val="24"/>
          <w:lang w:val="it-IT"/>
        </w:rPr>
      </w:pPr>
    </w:p>
    <w:p w:rsidR="4CFA692C" w:rsidP="4CFA692C" w:rsidRDefault="4CFA692C" w14:paraId="64BFAE7A" w14:textId="4CC870F0">
      <w:pPr>
        <w:spacing w:before="0" w:beforeAutospacing="off" w:line="360" w:lineRule="auto"/>
        <w:ind w:firstLine="0"/>
        <w:rPr>
          <w:rFonts w:ascii="Times New Roman" w:hAnsi="Times New Roman" w:eastAsia="Times New Roman" w:cs="Times New Roman"/>
          <w:b w:val="0"/>
          <w:bCs w:val="0"/>
        </w:rPr>
      </w:pPr>
    </w:p>
    <w:p w:rsidR="44224BB2" w:rsidP="44224BB2" w:rsidRDefault="44224BB2" w14:paraId="76847C6E" w14:textId="264F16E1">
      <w:pPr>
        <w:spacing w:before="0" w:beforeAutospacing="off" w:line="360" w:lineRule="auto"/>
        <w:ind w:firstLine="0"/>
      </w:pPr>
      <w:r w:rsidRPr="7AF0079F" w:rsidR="275BE2B3">
        <w:rPr>
          <w:rFonts w:ascii="Times New Roman" w:hAnsi="Times New Roman" w:eastAsia="Times New Roman" w:cs="Times New Roman"/>
        </w:rPr>
        <w:t xml:space="preserve"> </w:t>
      </w:r>
    </w:p>
    <w:sectPr>
      <w:pgSz w:w="11906" w:h="16838" w:orient="portrait"/>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14="http://schemas.microsoft.com/office/word/2010/wordml" xmlns:w="http://schemas.openxmlformats.org/wordprocessingml/2006/main">
  <w:footnote w:type="separator" w:id="-1">
    <w:p w:rsidR="191420C3" w:rsidRDefault="191420C3" w14:paraId="138C1AD4" w14:textId="623937E1">
      <w:pPr>
        <w:spacing w:after="0" w:line="240" w:lineRule="auto"/>
      </w:pPr>
      <w:r>
        <w:separator/>
      </w:r>
    </w:p>
  </w:footnote>
  <w:footnote w:type="continuationSeparator" w:id="0">
    <w:p w:rsidR="191420C3" w:rsidRDefault="191420C3" w14:paraId="4A3AC107" w14:textId="26B02642">
      <w:pPr>
        <w:spacing w:after="0" w:line="240" w:lineRule="auto"/>
      </w:pPr>
      <w:r>
        <w:continuationSeparator/>
      </w:r>
    </w:p>
  </w:footnote>
  <w:footnote w:id="15971">
    <w:p w:rsidR="191420C3" w:rsidP="191420C3" w:rsidRDefault="191420C3" w14:paraId="68454E9F" w14:textId="50045D77">
      <w:pPr>
        <w:pStyle w:val="FootnoteText"/>
        <w:bidi w:val="0"/>
      </w:pPr>
      <w:r w:rsidRPr="191420C3">
        <w:rPr>
          <w:rStyle w:val="FootnoteReference"/>
        </w:rPr>
        <w:footnoteRef/>
      </w:r>
      <w:r w:rsidR="191420C3">
        <w:rPr/>
        <w:t xml:space="preserve"> Raffaella Brighi Valeria Ferrari "Digital </w:t>
      </w:r>
      <w:r w:rsidR="191420C3">
        <w:rPr/>
        <w:t>evidence</w:t>
      </w:r>
      <w:r w:rsidR="191420C3">
        <w:rPr/>
        <w:t>" e tutele processuali: potenzialità della tecnologia "blockchain" in Ragion pratica 51/2018, pp. 329-341</w:t>
      </w:r>
    </w:p>
  </w:footnote>
  <w:footnote w:id="17754">
    <w:p w:rsidR="191420C3" w:rsidP="191420C3" w:rsidRDefault="191420C3" w14:paraId="435259CE" w14:textId="4A2D859B">
      <w:pPr>
        <w:pStyle w:val="FootnoteText"/>
        <w:bidi w:val="0"/>
      </w:pPr>
      <w:r w:rsidRPr="191420C3">
        <w:rPr>
          <w:rStyle w:val="FootnoteReference"/>
          <w:lang w:val="en-US"/>
        </w:rPr>
        <w:footnoteRef/>
      </w:r>
      <w:r w:rsidRPr="191420C3" w:rsidR="191420C3">
        <w:rPr>
          <w:lang w:val="en-US"/>
        </w:rPr>
        <w:t xml:space="preserve"> Bayu </w:t>
      </w:r>
      <w:r w:rsidRPr="191420C3" w:rsidR="191420C3">
        <w:rPr>
          <w:lang w:val="en-US"/>
        </w:rPr>
        <w:t>Sujadmiko</w:t>
      </w:r>
      <w:r w:rsidRPr="191420C3" w:rsidR="191420C3">
        <w:rPr>
          <w:lang w:val="en-US"/>
        </w:rPr>
        <w:t xml:space="preserve"> Intan Fitri Meutia Anna Gustina Zainal  Technology, cyber and international offshore banks: financial services for asset recovery of Indonesian convicts in European Journal of Privacy Law &amp; Technologies 1/2025, 15</w:t>
      </w:r>
    </w:p>
  </w:footnote>
  <w:footnote w:id="3305">
    <w:p w:rsidR="191420C3" w:rsidP="191420C3" w:rsidRDefault="191420C3" w14:paraId="6C5DBBA4" w14:textId="6B9C0109">
      <w:pPr>
        <w:pStyle w:val="FootnoteText"/>
        <w:bidi w:val="0"/>
      </w:pPr>
      <w:r w:rsidRPr="191420C3">
        <w:rPr>
          <w:rStyle w:val="FootnoteReference"/>
        </w:rPr>
        <w:footnoteRef/>
      </w:r>
      <w:r w:rsidR="191420C3">
        <w:rPr/>
        <w:t xml:space="preserve"> Edoardo Valente Marco Torre La regolamentazione delle "criptovalute": condotte illecite e strategie di contrasto in Rivista di diritto privato 4/2019, pp. 547-573</w:t>
      </w:r>
    </w:p>
  </w:footnote>
  <w:footnote w:id="12559">
    <w:p w:rsidR="191420C3" w:rsidP="09769FAC" w:rsidRDefault="191420C3" w14:paraId="54E541F2" w14:textId="796C140E">
      <w:pPr>
        <w:pStyle w:val="FootnoteText"/>
        <w:bidi w:val="0"/>
        <w:rPr>
          <w:lang w:val="en-US"/>
        </w:rPr>
      </w:pPr>
      <w:r w:rsidRPr="09769FAC">
        <w:rPr>
          <w:rStyle w:val="FootnoteReference"/>
          <w:lang w:val="en-US"/>
        </w:rPr>
        <w:footnoteRef/>
      </w:r>
      <w:r w:rsidRPr="09769FAC" w:rsidR="09769FAC">
        <w:rPr>
          <w:lang w:val="en-US"/>
        </w:rPr>
        <w:t xml:space="preserve"> K. Zatyko, “Improving cyber </w:t>
      </w:r>
      <w:r w:rsidRPr="09769FAC" w:rsidR="09769FAC">
        <w:rPr>
          <w:lang w:val="en-US"/>
        </w:rPr>
        <w:t>forensics</w:t>
      </w:r>
      <w:r w:rsidRPr="09769FAC" w:rsidR="09769FAC">
        <w:rPr>
          <w:lang w:val="en-US"/>
        </w:rPr>
        <w:t xml:space="preserve"> cybersecurity through </w:t>
      </w:r>
      <w:r w:rsidRPr="09769FAC" w:rsidR="09769FAC">
        <w:rPr>
          <w:lang w:val="en-US"/>
        </w:rPr>
        <w:t>blockchain</w:t>
      </w:r>
      <w:r w:rsidRPr="09769FAC" w:rsidR="09769FAC">
        <w:rPr>
          <w:lang w:val="en-US"/>
        </w:rPr>
        <w:t xml:space="preserve"> technology with </w:t>
      </w:r>
      <w:r w:rsidRPr="09769FAC" w:rsidR="09769FAC">
        <w:rPr>
          <w:lang w:val="en-US"/>
        </w:rPr>
        <w:t>truth-based</w:t>
      </w:r>
      <w:r w:rsidRPr="09769FAC" w:rsidR="09769FAC">
        <w:rPr>
          <w:lang w:val="en-US"/>
        </w:rPr>
        <w:t xml:space="preserve"> systems,” International Symposium on Forensic Science Error Management,</w:t>
      </w:r>
      <w:r w:rsidRPr="09769FAC" w:rsidR="09769FAC">
        <w:rPr>
          <w:lang w:val="en-US"/>
        </w:rPr>
        <w:t xml:space="preserve"> </w:t>
      </w:r>
      <w:r w:rsidRPr="09769FAC" w:rsidR="09769FAC">
        <w:rPr>
          <w:lang w:val="en-US"/>
        </w:rPr>
        <w:t>July-23-2015</w:t>
      </w:r>
      <w:r w:rsidRPr="09769FAC" w:rsidR="09769FAC">
        <w:rPr>
          <w:lang w:val="en-US"/>
        </w:rPr>
        <w:t xml:space="preserve">. </w:t>
      </w:r>
    </w:p>
  </w:footnote>
  <w:footnote w:id="27398">
    <w:p w:rsidR="191420C3" w:rsidP="191420C3" w:rsidRDefault="191420C3" w14:paraId="7C0BF92A" w14:textId="265001D2">
      <w:pPr>
        <w:pStyle w:val="FootnoteText"/>
        <w:bidi w:val="0"/>
      </w:pPr>
      <w:r w:rsidRPr="191420C3">
        <w:rPr>
          <w:rStyle w:val="FootnoteReference"/>
        </w:rPr>
        <w:footnoteRef/>
      </w:r>
      <w:r w:rsidR="191420C3">
        <w:rPr/>
        <w:t xml:space="preserve"> S. Nakamoto, “Bitcoin: A peer-to-peer electronic cash system,” 2008</w:t>
      </w:r>
    </w:p>
  </w:footnote>
  <w:footnote w:id="8054">
    <w:p w:rsidR="191420C3" w:rsidP="191420C3" w:rsidRDefault="191420C3" w14:paraId="33531573" w14:textId="1C36ECCF">
      <w:pPr>
        <w:pStyle w:val="FootnoteText"/>
        <w:bidi w:val="0"/>
      </w:pPr>
      <w:r w:rsidRPr="191420C3">
        <w:rPr>
          <w:rStyle w:val="FootnoteReference"/>
        </w:rPr>
        <w:footnoteRef/>
      </w:r>
      <w:r w:rsidR="191420C3">
        <w:rPr/>
        <w:t xml:space="preserve"> Ivana Genestrone Giulia Tirozzi FIT ("Freezing Internet Tool") per innovare la "</w:t>
      </w:r>
      <w:r w:rsidR="191420C3">
        <w:rPr/>
        <w:t>digital</w:t>
      </w:r>
      <w:r w:rsidR="191420C3">
        <w:rPr/>
        <w:t xml:space="preserve"> </w:t>
      </w:r>
      <w:r w:rsidR="191420C3">
        <w:rPr/>
        <w:t>forensics</w:t>
      </w:r>
      <w:r w:rsidR="191420C3">
        <w:rPr/>
        <w:t>": riflessioni sulla prova digitale "cross-</w:t>
      </w:r>
      <w:r w:rsidR="191420C3">
        <w:rPr/>
        <w:t>border</w:t>
      </w:r>
      <w:r w:rsidR="191420C3">
        <w:rPr/>
        <w:t>" in Ciberspazio e Diritto 1/2024, pp. 115-130</w:t>
      </w:r>
    </w:p>
  </w:footnote>
  <w:footnote w:id="30471">
    <w:p w:rsidR="191420C3" w:rsidP="191420C3" w:rsidRDefault="191420C3" w14:paraId="0E1873E8" w14:textId="2655D415">
      <w:pPr>
        <w:pStyle w:val="FootnoteText"/>
        <w:bidi w:val="0"/>
      </w:pPr>
      <w:r w:rsidRPr="191420C3">
        <w:rPr>
          <w:rStyle w:val="FootnoteReference"/>
        </w:rPr>
        <w:footnoteRef/>
      </w:r>
      <w:r w:rsidR="191420C3">
        <w:rPr/>
        <w:t xml:space="preserve"> Auqib Hamid Lone, </w:t>
      </w:r>
      <w:r w:rsidR="191420C3">
        <w:rPr/>
        <w:t>RoohieNaaz</w:t>
      </w:r>
      <w:r w:rsidR="191420C3">
        <w:rPr/>
        <w:t xml:space="preserve"> </w:t>
      </w:r>
      <w:r w:rsidR="191420C3">
        <w:rPr/>
        <w:t>Mir,Forensic</w:t>
      </w:r>
      <w:r w:rsidR="191420C3">
        <w:rPr/>
        <w:t xml:space="preserve">-chain: Blockchain </w:t>
      </w:r>
      <w:r w:rsidR="191420C3">
        <w:rPr/>
        <w:t>based</w:t>
      </w:r>
      <w:r w:rsidR="191420C3">
        <w:rPr/>
        <w:t xml:space="preserve"> </w:t>
      </w:r>
      <w:r w:rsidR="191420C3">
        <w:rPr/>
        <w:t>digital</w:t>
      </w:r>
      <w:r w:rsidR="191420C3">
        <w:rPr/>
        <w:t xml:space="preserve"> </w:t>
      </w:r>
      <w:r w:rsidR="191420C3">
        <w:rPr/>
        <w:t>forensics</w:t>
      </w:r>
      <w:r w:rsidR="191420C3">
        <w:rPr/>
        <w:t xml:space="preserve"> chain of </w:t>
      </w:r>
      <w:r w:rsidR="191420C3">
        <w:rPr/>
        <w:t>custody</w:t>
      </w:r>
      <w:r w:rsidR="191420C3">
        <w:rPr/>
        <w:t xml:space="preserve"> with PoC in </w:t>
      </w:r>
      <w:r w:rsidR="191420C3">
        <w:rPr/>
        <w:t xml:space="preserve">Hyperledger </w:t>
      </w:r>
      <w:r w:rsidRPr="191420C3" w:rsidR="191420C3">
        <w:rPr>
          <w:lang w:val="en-US"/>
        </w:rPr>
        <w:t>Composer,Digital</w:t>
      </w:r>
      <w:r w:rsidRPr="191420C3" w:rsidR="191420C3">
        <w:rPr>
          <w:lang w:val="en-US"/>
        </w:rPr>
        <w:t xml:space="preserve"> </w:t>
      </w:r>
      <w:r w:rsidRPr="191420C3" w:rsidR="191420C3">
        <w:rPr>
          <w:lang w:val="en-US"/>
        </w:rPr>
        <w:t>Investigation,Volume</w:t>
      </w:r>
      <w:r w:rsidRPr="191420C3" w:rsidR="191420C3">
        <w:rPr>
          <w:lang w:val="en-US"/>
        </w:rPr>
        <w:t xml:space="preserve"> 28,</w:t>
      </w:r>
      <w:r w:rsidRPr="191420C3" w:rsidR="191420C3">
        <w:rPr>
          <w:lang w:val="en-US"/>
        </w:rPr>
        <w:t>2019,Pages</w:t>
      </w:r>
      <w:r w:rsidRPr="191420C3" w:rsidR="191420C3">
        <w:rPr>
          <w:lang w:val="en-US"/>
        </w:rPr>
        <w:t xml:space="preserve"> 44-55.</w:t>
      </w:r>
    </w:p>
  </w:footnote>
  <w:footnote w:id="24141">
    <w:p w:rsidR="191420C3" w:rsidP="191420C3" w:rsidRDefault="191420C3" w14:paraId="4B41BC7B" w14:textId="5CD611FC">
      <w:pPr>
        <w:pStyle w:val="FootnoteText"/>
        <w:bidi w:val="0"/>
      </w:pPr>
      <w:r w:rsidRPr="191420C3">
        <w:rPr>
          <w:rStyle w:val="FootnoteReference"/>
        </w:rPr>
        <w:footnoteRef/>
      </w:r>
      <w:r w:rsidR="191420C3">
        <w:rPr/>
        <w:t xml:space="preserve"> Muneeb </w:t>
      </w:r>
      <w:r w:rsidR="191420C3">
        <w:rPr/>
        <w:t>Ul</w:t>
      </w:r>
      <w:r w:rsidR="191420C3">
        <w:rPr/>
        <w:t xml:space="preserve"> Hassan, Mubashir Husain Rehmani, Jinjun Chen, Privacy </w:t>
      </w:r>
      <w:r w:rsidR="191420C3">
        <w:rPr/>
        <w:t>preservation</w:t>
      </w:r>
      <w:r w:rsidR="191420C3">
        <w:rPr/>
        <w:t xml:space="preserve"> in blockchain </w:t>
      </w:r>
      <w:r w:rsidR="191420C3">
        <w:rPr/>
        <w:t>based</w:t>
      </w:r>
      <w:r w:rsidR="191420C3">
        <w:rPr/>
        <w:t xml:space="preserve"> IoT systems: Integration issues, prospects, challenges, and future research directions, Future Generation Computer Systems, Volume 97, 2019, Pages 512-529</w:t>
      </w:r>
    </w:p>
  </w:footnote>
  <w:footnote w:id="32469">
    <w:p w:rsidR="191420C3" w:rsidP="191420C3" w:rsidRDefault="191420C3" w14:paraId="03A26265" w14:textId="322D8CF5">
      <w:pPr>
        <w:pStyle w:val="FootnoteText"/>
        <w:bidi w:val="0"/>
      </w:pPr>
      <w:r w:rsidRPr="191420C3">
        <w:rPr>
          <w:rStyle w:val="FootnoteReference"/>
          <w:lang w:val="en-US"/>
        </w:rPr>
        <w:footnoteRef/>
      </w:r>
      <w:r w:rsidRPr="191420C3" w:rsidR="191420C3">
        <w:rPr>
          <w:lang w:val="en-US"/>
        </w:rPr>
        <w:t xml:space="preserve"> Ayesha Altaf, Haider Abbas, Faiza Iqbal, </w:t>
      </w:r>
      <w:r w:rsidRPr="191420C3" w:rsidR="191420C3">
        <w:rPr>
          <w:lang w:val="en-US"/>
        </w:rPr>
        <w:t>AbdelouahidDerhab</w:t>
      </w:r>
      <w:r w:rsidRPr="191420C3" w:rsidR="191420C3">
        <w:rPr>
          <w:lang w:val="en-US"/>
        </w:rPr>
        <w:t xml:space="preserve">, Trust models of internet of smart </w:t>
      </w:r>
      <w:r w:rsidRPr="191420C3" w:rsidR="191420C3">
        <w:rPr>
          <w:lang w:val="en-US"/>
        </w:rPr>
        <w:t>things</w:t>
      </w:r>
      <w:r w:rsidRPr="191420C3" w:rsidR="191420C3">
        <w:rPr>
          <w:lang w:val="en-US"/>
        </w:rPr>
        <w:t xml:space="preserve">: A survey, open </w:t>
      </w:r>
      <w:r w:rsidRPr="191420C3" w:rsidR="191420C3">
        <w:rPr>
          <w:lang w:val="en-US"/>
        </w:rPr>
        <w:t>issues</w:t>
      </w:r>
      <w:r w:rsidRPr="191420C3" w:rsidR="191420C3">
        <w:rPr>
          <w:lang w:val="en-US"/>
        </w:rPr>
        <w:t>, and future directions, Journal of Network and Computer Applications, Volume 137, 2019, Pages 93-111.</w:t>
      </w:r>
    </w:p>
  </w:footnote>
  <w:footnote w:id="20092">
    <w:p w:rsidR="191420C3" w:rsidP="191420C3" w:rsidRDefault="191420C3" w14:paraId="5B72CBCB" w14:textId="1BB631C6">
      <w:pPr>
        <w:pStyle w:val="FootnoteText"/>
        <w:bidi w:val="0"/>
      </w:pPr>
      <w:r w:rsidRPr="191420C3">
        <w:rPr>
          <w:rStyle w:val="FootnoteReference"/>
        </w:rPr>
        <w:footnoteRef/>
      </w:r>
      <w:r w:rsidR="191420C3">
        <w:rPr/>
        <w:t xml:space="preserve"> Paolo Bellavista, Javier Berrocal, Antonio Corradi, Sajal K. Das, Luca Foschini, Alessandro Zanni, A survey on </w:t>
      </w:r>
      <w:r w:rsidR="191420C3">
        <w:rPr/>
        <w:t>fog</w:t>
      </w:r>
      <w:r w:rsidR="191420C3">
        <w:rPr/>
        <w:t xml:space="preserve"> computing for the Internet of Things, Pervasive and Mobile Computing, Volume 52, 2019, Pages 71-99.</w:t>
      </w:r>
    </w:p>
  </w:footnote>
  <w:footnote w:id="29389">
    <w:p w:rsidR="191420C3" w:rsidP="191420C3" w:rsidRDefault="191420C3" w14:paraId="56322EFB" w14:textId="602C2FE0">
      <w:pPr>
        <w:pStyle w:val="FootnoteText"/>
        <w:bidi w:val="0"/>
      </w:pPr>
      <w:r w:rsidRPr="191420C3">
        <w:rPr>
          <w:rStyle w:val="FootnoteReference"/>
        </w:rPr>
        <w:footnoteRef/>
      </w:r>
      <w:r w:rsidR="191420C3">
        <w:rPr/>
        <w:t xml:space="preserve"> Rane S., Dixit A. (2019) </w:t>
      </w:r>
      <w:r w:rsidR="191420C3">
        <w:rPr/>
        <w:t>BlockSLaaS</w:t>
      </w:r>
      <w:r w:rsidR="191420C3">
        <w:rPr/>
        <w:t xml:space="preserve">: Blockchain </w:t>
      </w:r>
      <w:r w:rsidR="191420C3">
        <w:rPr/>
        <w:t>Assisted</w:t>
      </w:r>
      <w:r w:rsidR="191420C3">
        <w:rPr/>
        <w:t xml:space="preserve"> Secure </w:t>
      </w:r>
      <w:r w:rsidR="191420C3">
        <w:rPr/>
        <w:t>Logging</w:t>
      </w:r>
      <w:r w:rsidR="191420C3">
        <w:rPr/>
        <w:t>-</w:t>
      </w:r>
      <w:r w:rsidR="191420C3">
        <w:rPr/>
        <w:t>as</w:t>
      </w:r>
      <w:r w:rsidR="191420C3">
        <w:rPr/>
        <w:t xml:space="preserve">-a-Service for Cloud </w:t>
      </w:r>
      <w:r w:rsidR="191420C3">
        <w:rPr/>
        <w:t>Forensics</w:t>
      </w:r>
      <w:r w:rsidR="191420C3">
        <w:rPr/>
        <w:t>. In: Nandi S.,</w:t>
      </w:r>
      <w:r w:rsidRPr="191420C3" w:rsidR="191420C3">
        <w:rPr>
          <w:lang w:val="en-US"/>
        </w:rPr>
        <w:t>Jinwala</w:t>
      </w:r>
      <w:r w:rsidRPr="191420C3" w:rsidR="191420C3">
        <w:rPr>
          <w:lang w:val="en-US"/>
        </w:rPr>
        <w:t xml:space="preserve"> D., Singh V., Laxmi V., Gaur M., Faruki P. (eds) Security and Privacy. ISEA-ISAP 2019. Communications in Computer and Information Science, vol 939. Springer, Singapore.</w:t>
      </w:r>
    </w:p>
  </w:footnote>
  <w:footnote w:id="14821">
    <w:p w:rsidR="4CFA692C" w:rsidP="4CFA692C" w:rsidRDefault="4CFA692C" w14:paraId="3DE4CDF0" w14:textId="1BB39C3A">
      <w:pPr>
        <w:pStyle w:val="FootnoteText"/>
        <w:bidi w:val="0"/>
      </w:pPr>
      <w:r w:rsidRPr="4CFA692C">
        <w:rPr>
          <w:rStyle w:val="FootnoteReference"/>
        </w:rPr>
        <w:footnoteRef/>
      </w:r>
      <w:r w:rsidR="4CFA692C">
        <w:rPr/>
        <w:t xml:space="preserve"> Guglielmo Bevivino "Smart </w:t>
      </w:r>
      <w:r w:rsidR="4CFA692C">
        <w:rPr/>
        <w:t>contracts</w:t>
      </w:r>
      <w:r w:rsidR="4CFA692C">
        <w:rPr/>
        <w:t>" e "</w:t>
      </w:r>
      <w:r w:rsidR="4CFA692C">
        <w:rPr/>
        <w:t>assestamenti"della</w:t>
      </w:r>
      <w:r w:rsidR="4CFA692C">
        <w:rPr/>
        <w:t xml:space="preserve"> disciplina generale del contratto in Contratto e impresa 2/2024, pp. 376-423</w:t>
      </w:r>
    </w:p>
  </w:footnote>
  <w:footnote w:id="29970">
    <w:p w:rsidR="4CFA692C" w:rsidP="4CFA692C" w:rsidRDefault="4CFA692C" w14:paraId="2A65B05C" w14:textId="28905F89">
      <w:pPr>
        <w:pStyle w:val="FootnoteText"/>
        <w:bidi w:val="0"/>
      </w:pPr>
      <w:r w:rsidRPr="4CFA692C">
        <w:rPr>
          <w:rStyle w:val="FootnoteReference"/>
        </w:rPr>
        <w:footnoteRef/>
      </w:r>
      <w:r w:rsidR="4CFA692C">
        <w:rPr/>
        <w:t xml:space="preserve"> Francesco Delfini Le discipline a tutela del consumatore e il coordinamento con la proposta di Regolamento </w:t>
      </w:r>
      <w:r w:rsidR="4CFA692C">
        <w:rPr/>
        <w:t>MiCA</w:t>
      </w:r>
      <w:r w:rsidR="4CFA692C">
        <w:rPr/>
        <w:t xml:space="preserve"> in Osservatorio del diritto civile e commerciale x/2022, pp. 267-293</w:t>
      </w:r>
    </w:p>
  </w:footnote>
  <w:footnote w:id="28978">
    <w:p w:rsidR="4CFA692C" w:rsidP="4CFA692C" w:rsidRDefault="4CFA692C" w14:paraId="581EA471" w14:textId="06B612F3">
      <w:pPr>
        <w:pStyle w:val="FootnoteText"/>
        <w:bidi w:val="0"/>
      </w:pPr>
      <w:r w:rsidRPr="4CFA692C">
        <w:rPr>
          <w:rStyle w:val="FootnoteReference"/>
        </w:rPr>
        <w:footnoteRef/>
      </w:r>
      <w:r w:rsidR="4CFA692C">
        <w:rPr/>
        <w:t xml:space="preserve"> Guido Befani Certezza, consenso e certificazioni informatiche: problemi e prospettive di un approccio giuridico al fenomeno delle tecnologie basate sui registri distribuiti in Il diritto dell'economia 2/2021, pp. 77-114</w:t>
      </w:r>
    </w:p>
  </w:footnote>
  <w:footnote w:id="11445">
    <w:p w:rsidR="4CFA692C" w:rsidP="4CFA692C" w:rsidRDefault="4CFA692C" w14:paraId="21ECE642" w14:textId="0BA5ADB1">
      <w:pPr>
        <w:pStyle w:val="FootnoteText"/>
        <w:bidi w:val="0"/>
      </w:pPr>
      <w:r w:rsidRPr="4CFA692C">
        <w:rPr>
          <w:rStyle w:val="FootnoteReference"/>
        </w:rPr>
        <w:footnoteRef/>
      </w:r>
      <w:r w:rsidR="4CFA692C">
        <w:rPr/>
        <w:t xml:space="preserve"> Tribunale di Firenze, sez. fallimentare, sentenza n. 18 del 21.1.2019</w:t>
      </w:r>
    </w:p>
  </w:footnote>
  <w:footnote w:id="26664">
    <w:p w:rsidR="4CFA692C" w:rsidP="4CFA692C" w:rsidRDefault="4CFA692C" w14:paraId="1513DB59" w14:textId="55C69E68">
      <w:pPr>
        <w:pStyle w:val="FootnoteText"/>
        <w:bidi w:val="0"/>
      </w:pPr>
      <w:r w:rsidRPr="4CFA692C">
        <w:rPr>
          <w:rStyle w:val="FootnoteReference"/>
        </w:rPr>
        <w:footnoteRef/>
      </w:r>
      <w:r w:rsidR="4CFA692C">
        <w:rPr/>
        <w:t xml:space="preserve"> M. Giuliano, “La blockchain e gli smart contracts nell’innovazione del diritto nel terzo</w:t>
      </w:r>
    </w:p>
    <w:p w:rsidR="4CFA692C" w:rsidP="4CFA692C" w:rsidRDefault="4CFA692C" w14:paraId="47F02775" w14:textId="43919026">
      <w:pPr>
        <w:pStyle w:val="FootnoteText"/>
      </w:pPr>
      <w:r w:rsidR="4CFA692C">
        <w:rPr/>
        <w:t>millennio”, 2018, in Diritto dell’Informazione e dell’Informatica (II), fasc. 6, pag. 989.</w:t>
      </w:r>
    </w:p>
  </w:footnote>
  <w:footnote w:id="7357">
    <w:p w:rsidR="4CFA692C" w:rsidP="4CFA692C" w:rsidRDefault="4CFA692C" w14:paraId="433119C3" w14:textId="49AEE91E">
      <w:pPr>
        <w:pStyle w:val="FootnoteText"/>
        <w:bidi w:val="0"/>
      </w:pPr>
      <w:r w:rsidRPr="4CFA692C">
        <w:rPr>
          <w:rStyle w:val="FootnoteReference"/>
        </w:rPr>
        <w:footnoteRef/>
      </w:r>
      <w:r w:rsidR="4CFA692C">
        <w:rPr/>
        <w:t xml:space="preserve"> Emilio Bufano "Blockchain" e mercato delle opere di interesse artistico: piattaforme, nuovi beni e vecchie regole in Aedon 2/2021, pp. 100-110</w:t>
      </w:r>
    </w:p>
  </w:footnote>
  <w:footnote w:id="15171">
    <w:p w:rsidR="4CFA692C" w:rsidP="4CFA692C" w:rsidRDefault="4CFA692C" w14:paraId="5A8563FA" w14:textId="2563815E">
      <w:pPr>
        <w:pStyle w:val="FootnoteText"/>
        <w:bidi w:val="0"/>
      </w:pPr>
      <w:r w:rsidRPr="4CFA692C">
        <w:rPr>
          <w:rStyle w:val="FootnoteReference"/>
        </w:rPr>
        <w:footnoteRef/>
      </w:r>
      <w:r w:rsidR="4CFA692C">
        <w:rPr/>
        <w:t xml:space="preserve"> Fabrizio Fracchia Pasquale Pantalone La fatica di semplificare: procedimenti a geometria variabile, amministrazione difensiva, contratti pubblici ed esigenze di collaborazione del privato “responsabilizzato” in federalismi.it 36/2020, pp. 33-70</w:t>
      </w:r>
    </w:p>
  </w:footnote>
  <w:footnote w:id="12541">
    <w:p w:rsidR="4CFA692C" w:rsidP="4CFA692C" w:rsidRDefault="4CFA692C" w14:paraId="4FDF1C01" w14:textId="027C7FED">
      <w:pPr>
        <w:pStyle w:val="FootnoteText"/>
        <w:bidi w:val="0"/>
      </w:pPr>
      <w:r w:rsidRPr="4CFA692C">
        <w:rPr>
          <w:rStyle w:val="FootnoteReference"/>
        </w:rPr>
        <w:footnoteRef/>
      </w:r>
      <w:r w:rsidR="4CFA692C">
        <w:rPr/>
        <w:t xml:space="preserve"> Antonio Davola "Blockchain" e "Smart </w:t>
      </w:r>
      <w:r w:rsidR="4CFA692C">
        <w:rPr/>
        <w:t>Contract</w:t>
      </w:r>
      <w:r w:rsidR="4CFA692C">
        <w:rPr/>
        <w:t xml:space="preserve"> </w:t>
      </w:r>
      <w:r w:rsidR="4CFA692C">
        <w:rPr/>
        <w:t>as</w:t>
      </w:r>
      <w:r w:rsidR="4CFA692C">
        <w:rPr/>
        <w:t xml:space="preserve"> a Service"(</w:t>
      </w:r>
      <w:r w:rsidR="4CFA692C">
        <w:rPr/>
        <w:t>SCaaS</w:t>
      </w:r>
      <w:r w:rsidR="4CFA692C">
        <w:rPr/>
        <w:t xml:space="preserve">): prospettive di mercato a criticità normative delle prestazioni </w:t>
      </w:r>
      <w:r w:rsidR="4CFA692C">
        <w:rPr/>
        <w:t>BaaS</w:t>
      </w:r>
      <w:r w:rsidR="4CFA692C">
        <w:rPr/>
        <w:t xml:space="preserve"> e </w:t>
      </w:r>
      <w:r w:rsidR="4CFA692C">
        <w:rPr/>
        <w:t>SCaaS</w:t>
      </w:r>
      <w:r w:rsidR="4CFA692C">
        <w:rPr/>
        <w:t xml:space="preserve"> alla luce di un’incerta qualificazione giuridica in Il Diritto industriale 2/2020, pp. 147-156</w:t>
      </w:r>
    </w:p>
  </w:footnote>
  <w:footnote w:id="29678">
    <w:p w:rsidR="4CFA692C" w:rsidP="4CFA692C" w:rsidRDefault="4CFA692C" w14:paraId="54E88A8A" w14:textId="7F583D46">
      <w:pPr>
        <w:pStyle w:val="FootnoteText"/>
        <w:bidi w:val="0"/>
      </w:pPr>
      <w:r w:rsidRPr="4CFA692C">
        <w:rPr>
          <w:rStyle w:val="FootnoteReference"/>
        </w:rPr>
        <w:footnoteRef/>
      </w:r>
      <w:r w:rsidR="4CFA692C">
        <w:rPr/>
        <w:t xml:space="preserve"> Francesco Rampone "Smart </w:t>
      </w:r>
      <w:r w:rsidR="4CFA692C">
        <w:rPr/>
        <w:t>contract</w:t>
      </w:r>
      <w:r w:rsidR="4CFA692C">
        <w:rPr/>
        <w:t>": né "smart", né "</w:t>
      </w:r>
      <w:r w:rsidR="4CFA692C">
        <w:rPr/>
        <w:t>contract</w:t>
      </w:r>
      <w:r w:rsidR="4CFA692C">
        <w:rPr/>
        <w:t>" in Rivista di diritto privato 2/2020, pp. 241-258</w:t>
      </w:r>
    </w:p>
  </w:footnote>
  <w:footnote w:id="1697">
    <w:p w:rsidR="4CFA692C" w:rsidP="4CFA692C" w:rsidRDefault="4CFA692C" w14:paraId="42677BDA" w14:textId="7EBFF852">
      <w:pPr>
        <w:pStyle w:val="FootnoteText"/>
        <w:bidi w:val="0"/>
      </w:pPr>
      <w:r w:rsidRPr="4CFA692C">
        <w:rPr>
          <w:rStyle w:val="FootnoteReference"/>
        </w:rPr>
        <w:footnoteRef/>
      </w:r>
      <w:r w:rsidR="4CFA692C">
        <w:rPr/>
        <w:t xml:space="preserve"> Roberta Catalano Dichiarazione elettronica e documento informatico alla prova di "blockchain" e "smart </w:t>
      </w:r>
      <w:r w:rsidR="4CFA692C">
        <w:rPr/>
        <w:t>contracts</w:t>
      </w:r>
      <w:r w:rsidR="4CFA692C">
        <w:rPr/>
        <w:t>" in Il Foro napoletano 1/2019, pp. 3-28</w:t>
      </w:r>
    </w:p>
  </w:footnote>
  <w:footnote w:id="16669">
    <w:p w:rsidR="4CFA692C" w:rsidP="4CFA692C" w:rsidRDefault="4CFA692C" w14:paraId="6BA8E943" w14:textId="243EB00D">
      <w:pPr>
        <w:pStyle w:val="FootnoteText"/>
        <w:bidi w:val="0"/>
      </w:pPr>
      <w:r w:rsidRPr="4CFA692C">
        <w:rPr>
          <w:rStyle w:val="FootnoteReference"/>
        </w:rPr>
        <w:footnoteRef/>
      </w:r>
      <w:r w:rsidR="4CFA692C">
        <w:rPr/>
        <w:t xml:space="preserve"> Anna Montesano </w:t>
      </w:r>
      <w:r w:rsidRPr="4CFA692C" w:rsidR="4CFA692C">
        <w:rPr>
          <w:lang w:val="en-US"/>
        </w:rPr>
        <w:t xml:space="preserve">The Digital Revolution of the Shipping Industry: Electronic Bill of Lading, Blockchain Technology and Smart Contracts in Il </w:t>
      </w:r>
      <w:r w:rsidRPr="4CFA692C" w:rsidR="4CFA692C">
        <w:rPr>
          <w:lang w:val="en-US"/>
        </w:rPr>
        <w:t>Diritto</w:t>
      </w:r>
      <w:r w:rsidRPr="4CFA692C" w:rsidR="4CFA692C">
        <w:rPr>
          <w:lang w:val="en-US"/>
        </w:rPr>
        <w:t xml:space="preserve"> </w:t>
      </w:r>
      <w:r w:rsidRPr="4CFA692C" w:rsidR="4CFA692C">
        <w:rPr>
          <w:lang w:val="en-US"/>
        </w:rPr>
        <w:t>marittimo</w:t>
      </w:r>
      <w:r w:rsidRPr="4CFA692C" w:rsidR="4CFA692C">
        <w:rPr>
          <w:lang w:val="en-US"/>
        </w:rPr>
        <w:t xml:space="preserve"> 1/2020, pp. 267-281</w:t>
      </w:r>
    </w:p>
  </w:footnote>
  <w:footnote w:id="15637">
    <w:p w:rsidR="4CFA692C" w:rsidP="4CFA692C" w:rsidRDefault="4CFA692C" w14:paraId="72D36778" w14:textId="11533ABD">
      <w:pPr>
        <w:pStyle w:val="FootnoteText"/>
        <w:bidi w:val="0"/>
      </w:pPr>
      <w:r w:rsidRPr="4CFA692C">
        <w:rPr>
          <w:rStyle w:val="FootnoteReference"/>
        </w:rPr>
        <w:footnoteRef/>
      </w:r>
      <w:r w:rsidR="4CFA692C">
        <w:rPr/>
        <w:t xml:space="preserve"> Piccioni, Manuel Bitcoin e oltre. Come l'anti-moneta sta riscrivendo la storia del denaro in Rassegna dell'Arma dei Carabinieri 3/2025, pp. 139-153</w:t>
      </w:r>
    </w:p>
  </w:footnote>
  <w:footnote w:id="3769">
    <w:p w:rsidR="4CFA692C" w:rsidP="4CFA692C" w:rsidRDefault="4CFA692C" w14:paraId="18461471" w14:textId="14C32135">
      <w:pPr>
        <w:pStyle w:val="FootnoteText"/>
        <w:bidi w:val="0"/>
      </w:pPr>
      <w:r w:rsidRPr="4CFA692C">
        <w:rPr>
          <w:rStyle w:val="FootnoteReference"/>
        </w:rPr>
        <w:footnoteRef/>
      </w:r>
      <w:r w:rsidR="4CFA692C">
        <w:rPr/>
        <w:t xml:space="preserve"> Davide Sarti La funzione non finanziaria dei token MiCAR in Orizzonti del diritto commerciale 3/2024, pp. 764-811</w:t>
      </w:r>
    </w:p>
  </w:footnote>
  <w:footnote w:id="852">
    <w:p w:rsidR="4CFA692C" w:rsidP="4CFA692C" w:rsidRDefault="4CFA692C" w14:paraId="3629593A" w14:textId="63DD6D51">
      <w:pPr>
        <w:pStyle w:val="FootnoteText"/>
        <w:bidi w:val="0"/>
      </w:pPr>
      <w:r w:rsidRPr="4CFA692C">
        <w:rPr>
          <w:rStyle w:val="FootnoteReference"/>
        </w:rPr>
        <w:footnoteRef/>
      </w:r>
      <w:r w:rsidR="4CFA692C">
        <w:rPr/>
        <w:t xml:space="preserve"> Giuseppina Pizzolante Alcune considerazioni sulla nozione di consumatore nel diritto dell’Unione europea tra esigenze del mercato interno e tutela della vulnerabilità in </w:t>
      </w:r>
      <w:r w:rsidR="4CFA692C">
        <w:rPr/>
        <w:t>Eurojus</w:t>
      </w:r>
      <w:r w:rsidR="4CFA692C">
        <w:rPr/>
        <w:t xml:space="preserve"> 1/2026, pp. 64-80</w:t>
      </w:r>
    </w:p>
  </w:footnote>
  <w:footnote w:id="16794">
    <w:p w:rsidR="4CFA692C" w:rsidP="4CFA692C" w:rsidRDefault="4CFA692C" w14:paraId="79A908CE" w14:textId="63429397">
      <w:pPr>
        <w:pStyle w:val="FootnoteText"/>
        <w:bidi w:val="0"/>
      </w:pPr>
      <w:r w:rsidRPr="4CFA692C">
        <w:rPr>
          <w:rStyle w:val="FootnoteReference"/>
        </w:rPr>
        <w:footnoteRef/>
      </w:r>
      <w:r w:rsidR="4CFA692C">
        <w:rPr/>
        <w:t xml:space="preserve"> Michele De Mari Prime ipotesi per una disciplina italiana delle "</w:t>
      </w:r>
      <w:r w:rsidR="4CFA692C">
        <w:rPr/>
        <w:t>Initial</w:t>
      </w:r>
      <w:r w:rsidR="4CFA692C">
        <w:rPr/>
        <w:t xml:space="preserve"> Token </w:t>
      </w:r>
      <w:r w:rsidR="4CFA692C">
        <w:rPr/>
        <w:t>Offerings</w:t>
      </w:r>
      <w:r w:rsidR="4CFA692C">
        <w:rPr/>
        <w:t>" (</w:t>
      </w:r>
      <w:r w:rsidR="4CFA692C">
        <w:rPr/>
        <w:t>ITOs</w:t>
      </w:r>
      <w:r w:rsidR="4CFA692C">
        <w:rPr/>
        <w:t>): "token crowdfunding" e sistemi di scambio di "</w:t>
      </w:r>
      <w:r w:rsidR="4CFA692C">
        <w:rPr/>
        <w:t>crypto</w:t>
      </w:r>
      <w:r w:rsidR="4CFA692C">
        <w:rPr/>
        <w:t>-asset" in Orizzonti del diritto commerciale 2/2019, pp. 267-312</w:t>
      </w:r>
    </w:p>
  </w:footnote>
  <w:footnote w:id="14844">
    <w:p w:rsidR="4CFA692C" w:rsidP="4CFA692C" w:rsidRDefault="4CFA692C" w14:paraId="7D4B503E" w14:textId="3663C681">
      <w:pPr>
        <w:pStyle w:val="FootnoteText"/>
        <w:bidi w:val="0"/>
      </w:pPr>
      <w:r w:rsidRPr="4CFA692C">
        <w:rPr>
          <w:rStyle w:val="FootnoteReference"/>
        </w:rPr>
        <w:footnoteRef/>
      </w:r>
      <w:r w:rsidR="4CFA692C">
        <w:rPr/>
        <w:t xml:space="preserve"> Pier Paolo Pirani Gli strumenti della finanza disintermediata: "</w:t>
      </w:r>
      <w:r w:rsidR="4CFA692C">
        <w:rPr/>
        <w:t>Initial</w:t>
      </w:r>
      <w:r w:rsidR="4CFA692C">
        <w:rPr/>
        <w:t xml:space="preserve"> Coin </w:t>
      </w:r>
      <w:r w:rsidR="4CFA692C">
        <w:rPr/>
        <w:t>Offering</w:t>
      </w:r>
      <w:r w:rsidR="4CFA692C">
        <w:rPr/>
        <w:t>" e "blockchain" in Analisi Giuridica dell'Economia 1/2019, pp. 327-355</w:t>
      </w:r>
    </w:p>
  </w:footnote>
  <w:footnote w:id="8817">
    <w:p w:rsidR="4CFA692C" w:rsidP="4CFA692C" w:rsidRDefault="4CFA692C" w14:paraId="72F0BF83" w14:textId="6D0F68EB">
      <w:pPr>
        <w:pStyle w:val="FootnoteText"/>
        <w:bidi w:val="0"/>
      </w:pPr>
      <w:r w:rsidRPr="4CFA692C">
        <w:rPr>
          <w:rStyle w:val="FootnoteReference"/>
        </w:rPr>
        <w:footnoteRef/>
      </w:r>
      <w:r w:rsidR="4CFA692C">
        <w:rPr/>
        <w:t xml:space="preserve"> Sabina Scordo Assunzioni "sine </w:t>
      </w:r>
      <w:r w:rsidR="4CFA692C">
        <w:rPr/>
        <w:t>titulo</w:t>
      </w:r>
      <w:r w:rsidR="4CFA692C">
        <w:rPr/>
        <w:t xml:space="preserve">" presso la pubblica amministrazione e vantaggi comunque conseguiti dall'amministrazione e dalla comunità amministrata per prestazioni lavorative routinarie e non richiedenti titoli di elevata specializzazione in Rivista della </w:t>
      </w:r>
      <w:r w:rsidR="4CFA692C">
        <w:rPr/>
        <w:t>Corte dei Conti</w:t>
      </w:r>
      <w:r w:rsidR="4CFA692C">
        <w:rPr/>
        <w:t xml:space="preserve"> 5/2025, pp. 77-81</w:t>
      </w:r>
    </w:p>
  </w:footnote>
  <w:footnote w:id="25207">
    <w:p w:rsidR="4CFA692C" w:rsidP="4CFA692C" w:rsidRDefault="4CFA692C" w14:paraId="731BA13E" w14:textId="3EFB5DE3">
      <w:pPr>
        <w:pStyle w:val="FootnoteText"/>
        <w:bidi w:val="0"/>
      </w:pPr>
      <w:r w:rsidRPr="4CFA692C">
        <w:rPr>
          <w:rStyle w:val="FootnoteReference"/>
        </w:rPr>
        <w:footnoteRef/>
      </w:r>
      <w:r w:rsidR="4CFA692C">
        <w:rPr/>
        <w:t xml:space="preserve"> Francesca Altamura La tutela dei dati personali nel (difficile) rapporto tra PSD2 e GDPR: riflessioni critiche in Rivista di diritto privato 2/2025, pp. 249-274</w:t>
      </w:r>
    </w:p>
  </w:footnote>
  <w:footnote w:id="17862">
    <w:p w:rsidR="4CFA692C" w:rsidP="4CFA692C" w:rsidRDefault="4CFA692C" w14:paraId="3592D887" w14:textId="62A46E14">
      <w:pPr>
        <w:pStyle w:val="FootnoteText"/>
        <w:bidi w:val="0"/>
      </w:pPr>
      <w:r w:rsidRPr="4CFA692C">
        <w:rPr>
          <w:rStyle w:val="FootnoteReference"/>
        </w:rPr>
        <w:footnoteRef/>
      </w:r>
      <w:r w:rsidR="4CFA692C">
        <w:rPr/>
        <w:t xml:space="preserve"> Matteo Bicchiri Asia e intelligenza artificiale. Strategie, regolamentazione e sfide globali in La Nuova Giurisprudenza Civile Commentata 3/2025, pp. 798-806</w:t>
      </w:r>
    </w:p>
  </w:footnote>
  <w:footnote w:id="20588">
    <w:p w:rsidR="4CFA692C" w:rsidP="4CFA692C" w:rsidRDefault="4CFA692C" w14:paraId="7E92FF34" w14:textId="550467FC">
      <w:pPr>
        <w:pStyle w:val="FootnoteText"/>
        <w:bidi w:val="0"/>
      </w:pPr>
      <w:r w:rsidRPr="4CFA692C">
        <w:rPr>
          <w:rStyle w:val="FootnoteReference"/>
        </w:rPr>
        <w:footnoteRef/>
      </w:r>
      <w:r w:rsidR="4CFA692C">
        <w:rPr/>
        <w:t xml:space="preserve"> Giuseppe Settanni Globalizzazione del diritto e contratti intelligenti. Interessanti spunti di approfondimento dalla giurisprudenza estera in La Nuova Giurisprudenza Civile Commentata 1/2025, pp. 233-245</w:t>
      </w:r>
    </w:p>
  </w:footnote>
  <w:footnote w:id="18388">
    <w:p w:rsidR="6F3C75FA" w:rsidP="6F3C75FA" w:rsidRDefault="6F3C75FA" w14:paraId="2B1E7C55" w14:textId="3C60AF71">
      <w:pPr>
        <w:pStyle w:val="FootnoteText"/>
        <w:bidi w:val="0"/>
      </w:pPr>
      <w:r w:rsidRPr="6F3C75FA">
        <w:rPr>
          <w:rStyle w:val="FootnoteReference"/>
        </w:rPr>
        <w:footnoteRef/>
      </w:r>
      <w:r w:rsidR="6F3C75FA">
        <w:rPr/>
        <w:t xml:space="preserve"> Carlo Sarzana Di Sant'Ippolito La Convenzione europea sulla </w:t>
      </w:r>
      <w:r w:rsidR="6F3C75FA">
        <w:rPr/>
        <w:t>cibercriminalità</w:t>
      </w:r>
      <w:r w:rsidR="6F3C75FA">
        <w:rPr/>
        <w:t xml:space="preserve"> in Diritto penale e processo 4/2002, pp. 509-514</w:t>
      </w:r>
    </w:p>
  </w:footnote>
  <w:footnote w:id="15357">
    <w:p w:rsidR="6F3C75FA" w:rsidP="6F3C75FA" w:rsidRDefault="6F3C75FA" w14:paraId="699EEF55" w14:textId="4645B7AD">
      <w:pPr>
        <w:pStyle w:val="FootnoteText"/>
        <w:bidi w:val="0"/>
      </w:pPr>
      <w:r w:rsidRPr="6F3C75FA">
        <w:rPr>
          <w:rStyle w:val="FootnoteReference"/>
        </w:rPr>
        <w:footnoteRef/>
      </w:r>
      <w:r w:rsidR="6F3C75FA">
        <w:rPr/>
        <w:t xml:space="preserve"> Lorenzo Bianchi Nuove prove e nuovi documenti in appello in Rassegna tributaria 3/2025, pp. 570-593</w:t>
      </w:r>
    </w:p>
  </w:footnote>
  <w:footnote w:id="8846">
    <w:p w:rsidR="6F3C75FA" w:rsidP="6F3C75FA" w:rsidRDefault="6F3C75FA" w14:paraId="48EE851D" w14:textId="59D7F736">
      <w:pPr>
        <w:pStyle w:val="FootnoteText"/>
        <w:bidi w:val="0"/>
      </w:pPr>
      <w:r w:rsidRPr="6F3C75FA">
        <w:rPr>
          <w:rStyle w:val="FootnoteReference"/>
        </w:rPr>
        <w:footnoteRef/>
      </w:r>
      <w:r w:rsidR="6F3C75FA">
        <w:rPr/>
        <w:t xml:space="preserve"> Fabio Savino Sul valore probatorio delle e-mail e dei messaggi "whatsapp" nel processo civile in Rivista trimestrale di diritto e procedura civile 3/2025, pp. 751-769</w:t>
      </w:r>
    </w:p>
  </w:footnote>
  <w:footnote w:id="7861">
    <w:p w:rsidR="6F3C75FA" w:rsidP="6F3C75FA" w:rsidRDefault="6F3C75FA" w14:paraId="3617D461" w14:textId="406E55A1">
      <w:pPr>
        <w:pStyle w:val="FootnoteText"/>
        <w:bidi w:val="0"/>
      </w:pPr>
      <w:r w:rsidRPr="6F3C75FA">
        <w:rPr>
          <w:rStyle w:val="FootnoteReference"/>
        </w:rPr>
        <w:footnoteRef/>
      </w:r>
      <w:r w:rsidR="6F3C75FA">
        <w:rPr/>
        <w:t xml:space="preserve"> G. Ubertis, Prova </w:t>
      </w:r>
      <w:r w:rsidR="6F3C75FA">
        <w:rPr/>
        <w:t>( in</w:t>
      </w:r>
      <w:r w:rsidR="6F3C75FA">
        <w:rPr/>
        <w:t xml:space="preserve"> generale), in </w:t>
      </w:r>
      <w:r w:rsidR="6F3C75FA">
        <w:rPr/>
        <w:t>Dig</w:t>
      </w:r>
      <w:r w:rsidR="6F3C75FA">
        <w:rPr/>
        <w:t xml:space="preserve">. disc. </w:t>
      </w:r>
      <w:r w:rsidR="6F3C75FA">
        <w:rPr/>
        <w:t>pen</w:t>
      </w:r>
      <w:r w:rsidR="6F3C75FA">
        <w:rPr/>
        <w:t>., X, Utet, 1995, p.300</w:t>
      </w:r>
    </w:p>
  </w:footnote>
  <w:footnote w:id="26859">
    <w:p w:rsidR="6F3C75FA" w:rsidP="6F3C75FA" w:rsidRDefault="6F3C75FA" w14:paraId="30C73FFF" w14:textId="785001C2">
      <w:pPr>
        <w:pStyle w:val="FootnoteText"/>
        <w:bidi w:val="0"/>
      </w:pPr>
      <w:r w:rsidRPr="6F3C75FA">
        <w:rPr>
          <w:rStyle w:val="FootnoteReference"/>
        </w:rPr>
        <w:footnoteRef/>
      </w:r>
      <w:r w:rsidR="6F3C75FA">
        <w:rPr/>
        <w:t xml:space="preserve"> Giulia Cascone Mezzi tecnologici di ricerca della prova e disciplina dell'attività d'indagine atipica in Cassazione penale 9/2025, pp. 2960-2986</w:t>
      </w:r>
    </w:p>
  </w:footnote>
  <w:footnote w:id="23841">
    <w:p w:rsidR="6F3C75FA" w:rsidP="6F3C75FA" w:rsidRDefault="6F3C75FA" w14:paraId="7A74E568" w14:textId="1CD586CC">
      <w:pPr>
        <w:pStyle w:val="FootnoteText"/>
        <w:bidi w:val="0"/>
      </w:pPr>
      <w:r w:rsidRPr="6F3C75FA">
        <w:rPr>
          <w:rStyle w:val="FootnoteReference"/>
        </w:rPr>
        <w:footnoteRef/>
      </w:r>
      <w:r w:rsidR="6F3C75FA">
        <w:rPr/>
        <w:t xml:space="preserve"> Giuseppe Civita L’ammissione della prova scientifica “nuova”. Nuovi spunti di riflessione dalla Riforma in Diritto penale e processo 6/2023, pp. 841-848</w:t>
      </w:r>
    </w:p>
  </w:footnote>
  <w:footnote w:id="17454">
    <w:p w:rsidR="6F3C75FA" w:rsidP="6F3C75FA" w:rsidRDefault="6F3C75FA" w14:paraId="2BF9D4BE" w14:textId="1D82339D">
      <w:pPr>
        <w:pStyle w:val="FootnoteText"/>
        <w:bidi w:val="0"/>
      </w:pPr>
      <w:r w:rsidRPr="6F3C75FA">
        <w:rPr>
          <w:rStyle w:val="FootnoteReference"/>
        </w:rPr>
        <w:footnoteRef/>
      </w:r>
      <w:r w:rsidR="6F3C75FA">
        <w:rPr/>
        <w:t xml:space="preserve"> Eva Lacková L'assoluzione come prova atipica ai fini dell'illegittimità del licenziamento disciplinare? in Rivista italiana di diritto del lavoro 3/2023, 2, pp. 505-510</w:t>
      </w:r>
    </w:p>
  </w:footnote>
  <w:footnote w:id="8842">
    <w:p w:rsidR="6F3C75FA" w:rsidP="6F3C75FA" w:rsidRDefault="6F3C75FA" w14:paraId="10AEE05B" w14:textId="059DF820">
      <w:pPr>
        <w:pStyle w:val="FootnoteText"/>
        <w:bidi w:val="0"/>
      </w:pPr>
      <w:r w:rsidRPr="6F3C75FA">
        <w:rPr>
          <w:rStyle w:val="FootnoteReference"/>
        </w:rPr>
        <w:footnoteRef/>
      </w:r>
      <w:r w:rsidR="6F3C75FA">
        <w:rPr/>
        <w:t xml:space="preserve"> Silvia Renzetti La prova scientifica nel processo penale: problemi e prospettive in Rivista di diritto processuale 2/2015, pp. 399-423</w:t>
      </w:r>
    </w:p>
  </w:footnote>
  <w:footnote w:id="27796">
    <w:p w:rsidR="6F3C75FA" w:rsidP="6F3C75FA" w:rsidRDefault="6F3C75FA" w14:paraId="1D5EB916" w14:textId="266CAC8D">
      <w:pPr>
        <w:pStyle w:val="FootnoteText"/>
        <w:bidi w:val="0"/>
        <w:ind w:firstLine="0"/>
      </w:pPr>
      <w:r w:rsidRPr="6F3C75FA">
        <w:rPr>
          <w:rStyle w:val="FootnoteReference"/>
        </w:rPr>
        <w:footnoteRef/>
      </w:r>
      <w:r w:rsidR="6F3C75FA">
        <w:rPr/>
        <w:t xml:space="preserve"> Alessio Innocenti Le Sezioni Unite aprono all'utilizzabilità dei risultati di intercettazioni disposte in "diverso procedimento" in Diritto penale e processo 12/2014, pp. 1451-1460</w:t>
      </w:r>
    </w:p>
  </w:footnote>
  <w:footnote w:id="7333">
    <w:p w:rsidR="6F3C75FA" w:rsidP="6F3C75FA" w:rsidRDefault="6F3C75FA" w14:paraId="6A34ACEA" w14:textId="5E4E73B1">
      <w:pPr>
        <w:pStyle w:val="FootnoteText"/>
        <w:bidi w:val="0"/>
      </w:pPr>
      <w:r w:rsidRPr="6F3C75FA">
        <w:rPr>
          <w:rStyle w:val="FootnoteReference"/>
        </w:rPr>
        <w:footnoteRef/>
      </w:r>
      <w:r w:rsidR="6F3C75FA">
        <w:rPr/>
        <w:t xml:space="preserve"> Sergio Colaiocco Nuovi mezzi di ricerca della prova: l'utilizzo dei programmi spia in Archivio penale 1/2014, pp. 187-197</w:t>
      </w:r>
    </w:p>
  </w:footnote>
  <w:footnote w:id="11749">
    <w:p w:rsidR="6F3C75FA" w:rsidP="6F3C75FA" w:rsidRDefault="6F3C75FA" w14:paraId="1A5E815A" w14:textId="1A26D94E">
      <w:pPr>
        <w:pStyle w:val="FootnoteText"/>
        <w:bidi w:val="0"/>
      </w:pPr>
      <w:r w:rsidRPr="6F3C75FA">
        <w:rPr>
          <w:rStyle w:val="FootnoteReference"/>
        </w:rPr>
        <w:footnoteRef/>
      </w:r>
      <w:r w:rsidR="6F3C75FA">
        <w:rPr/>
        <w:t xml:space="preserve"> Claudio Bechis In tema di prove atipiche in Giurisprudenza italiana 12/2010, pp. 2591-2595</w:t>
      </w:r>
    </w:p>
  </w:footnote>
  <w:footnote w:id="15917">
    <w:p w:rsidR="6F3C75FA" w:rsidP="6F3C75FA" w:rsidRDefault="6F3C75FA" w14:paraId="387CF8BC" w14:textId="64376217">
      <w:pPr>
        <w:pStyle w:val="FootnoteText"/>
        <w:bidi w:val="0"/>
      </w:pPr>
      <w:r w:rsidRPr="6F3C75FA">
        <w:rPr>
          <w:rStyle w:val="FootnoteReference"/>
        </w:rPr>
        <w:footnoteRef/>
      </w:r>
      <w:r w:rsidR="6F3C75FA">
        <w:rPr/>
        <w:t xml:space="preserve"> Paola Sechi Limiti decisori in materia di richiesta di incidente probatorio "speciale" in Cassazione penale 6/2025, pp. 1877-1887</w:t>
      </w:r>
    </w:p>
  </w:footnote>
  <w:footnote w:id="22731">
    <w:p w:rsidR="6F3C75FA" w:rsidP="6F3C75FA" w:rsidRDefault="6F3C75FA" w14:paraId="11DB333E" w14:textId="340F1F42">
      <w:pPr>
        <w:pStyle w:val="FootnoteText"/>
        <w:bidi w:val="0"/>
      </w:pPr>
      <w:r w:rsidRPr="6F3C75FA">
        <w:rPr>
          <w:rStyle w:val="FootnoteReference"/>
        </w:rPr>
        <w:footnoteRef/>
      </w:r>
      <w:r w:rsidR="6F3C75FA">
        <w:rPr/>
        <w:t xml:space="preserve"> Silvia Signorato Oltre il ragionevole dubbio: la prova transumanista nel processo penale in Rivista di diritto processuale 4/2025, pp. 1364-1374</w:t>
      </w:r>
    </w:p>
  </w:footnote>
  <w:footnote w:id="11761">
    <w:p w:rsidR="6F3C75FA" w:rsidP="6F3C75FA" w:rsidRDefault="6F3C75FA" w14:paraId="5E4BF8FE" w14:textId="4F2E0EB2">
      <w:pPr>
        <w:pStyle w:val="FootnoteText"/>
        <w:bidi w:val="0"/>
      </w:pPr>
      <w:r w:rsidRPr="6F3C75FA">
        <w:rPr>
          <w:rStyle w:val="FootnoteReference"/>
        </w:rPr>
        <w:footnoteRef/>
      </w:r>
      <w:r w:rsidR="6F3C75FA">
        <w:rPr/>
        <w:t xml:space="preserve"> Carlotta Conti Il principio di non sostituibilità: il sistema probatorio tra Costituzione e legge ordinaria in Cassazione penale 2/2024, pp. 451-472</w:t>
      </w:r>
    </w:p>
  </w:footnote>
  <w:footnote w:id="22837">
    <w:p w:rsidR="6F3C75FA" w:rsidP="6F3C75FA" w:rsidRDefault="6F3C75FA" w14:paraId="1F8A7BE7" w14:textId="410475B4">
      <w:pPr>
        <w:pStyle w:val="FootnoteText"/>
        <w:bidi w:val="0"/>
      </w:pPr>
      <w:r w:rsidRPr="6F3C75FA">
        <w:rPr>
          <w:rStyle w:val="FootnoteReference"/>
        </w:rPr>
        <w:footnoteRef/>
      </w:r>
      <w:r w:rsidR="6F3C75FA">
        <w:rPr/>
        <w:t xml:space="preserve"> Denise Mirasola Le Sezioni Unite scalfiscono la retroattività della confisca "allargata" in Diritto penale e processo 11/2024, pp. 1468-1480</w:t>
      </w:r>
    </w:p>
  </w:footnote>
  <w:footnote w:id="21115">
    <w:p w:rsidR="6F3C75FA" w:rsidP="6F3C75FA" w:rsidRDefault="6F3C75FA" w14:paraId="46339C2A" w14:textId="415E27B4">
      <w:pPr>
        <w:pStyle w:val="FootnoteText"/>
        <w:bidi w:val="0"/>
      </w:pPr>
      <w:r w:rsidRPr="6F3C75FA">
        <w:rPr>
          <w:rStyle w:val="FootnoteReference"/>
        </w:rPr>
        <w:footnoteRef/>
      </w:r>
      <w:r w:rsidR="6F3C75FA">
        <w:rPr/>
        <w:t xml:space="preserve"> Giuseppe Civita L’ammissione della prova scientifica “nuova”. Nuovi spunti di riflessione dalla Riforma in Diritto penale e processo 6/2023, pp. 841-848</w:t>
      </w:r>
    </w:p>
  </w:footnote>
  <w:footnote w:id="11316">
    <w:p w:rsidR="6F3C75FA" w:rsidP="6F3C75FA" w:rsidRDefault="6F3C75FA" w14:paraId="76897B5E" w14:textId="2F57660C">
      <w:pPr>
        <w:pStyle w:val="FootnoteText"/>
        <w:bidi w:val="0"/>
      </w:pPr>
      <w:r w:rsidRPr="6F3C75FA">
        <w:rPr>
          <w:rStyle w:val="FootnoteReference"/>
        </w:rPr>
        <w:footnoteRef/>
      </w:r>
      <w:r w:rsidR="6F3C75FA">
        <w:rPr/>
        <w:t xml:space="preserve"> Pasquale Mazza «Nemo </w:t>
      </w:r>
      <w:r w:rsidR="6F3C75FA">
        <w:rPr/>
        <w:t>testis</w:t>
      </w:r>
      <w:r w:rsidR="6F3C75FA">
        <w:rPr/>
        <w:t xml:space="preserve"> in causa propria»: nell’incerto scenario del giudizio civile di rinvio post-cassazione penale, tra vecchi feticci e nuove suggestioni in Rivista trimestrale di diritto e procedura civile 2/2023, pp. 627-650</w:t>
      </w:r>
    </w:p>
  </w:footnote>
  <w:footnote w:id="14921">
    <w:p w:rsidR="6F3C75FA" w:rsidP="6F3C75FA" w:rsidRDefault="6F3C75FA" w14:paraId="4D4F98A3" w14:textId="23FC3D83">
      <w:pPr>
        <w:pStyle w:val="FootnoteText"/>
        <w:bidi w:val="0"/>
      </w:pPr>
      <w:r w:rsidRPr="6F3C75FA">
        <w:rPr>
          <w:rStyle w:val="FootnoteReference"/>
        </w:rPr>
        <w:footnoteRef/>
      </w:r>
      <w:r w:rsidR="6F3C75FA">
        <w:rPr/>
        <w:t xml:space="preserve"> Andrea Carmelo Russo Captatore informatico e tutela dei diritti dell'individuo: tra presupposti applicativi e divieti probatori in Diritto penale e processo 11/2021, pp. 1518-1526</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283"/>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05076FA"/>
    <w:rsid w:val="00ABF999"/>
    <w:rsid w:val="015598C2"/>
    <w:rsid w:val="0246D905"/>
    <w:rsid w:val="0311CDEA"/>
    <w:rsid w:val="038365AA"/>
    <w:rsid w:val="0454C790"/>
    <w:rsid w:val="048EEB86"/>
    <w:rsid w:val="049C84CD"/>
    <w:rsid w:val="0521F720"/>
    <w:rsid w:val="0634A473"/>
    <w:rsid w:val="06479552"/>
    <w:rsid w:val="066DABC5"/>
    <w:rsid w:val="066ED0C0"/>
    <w:rsid w:val="06DCDAB2"/>
    <w:rsid w:val="06F1411C"/>
    <w:rsid w:val="06F6F4E4"/>
    <w:rsid w:val="0710E7F6"/>
    <w:rsid w:val="079C4B93"/>
    <w:rsid w:val="079D758D"/>
    <w:rsid w:val="07EBB41A"/>
    <w:rsid w:val="0809CBAB"/>
    <w:rsid w:val="085BB21B"/>
    <w:rsid w:val="08D74575"/>
    <w:rsid w:val="08FE1043"/>
    <w:rsid w:val="09769FAC"/>
    <w:rsid w:val="099F3DDA"/>
    <w:rsid w:val="09E3553A"/>
    <w:rsid w:val="09FA91F7"/>
    <w:rsid w:val="0A4F0844"/>
    <w:rsid w:val="0A6332A4"/>
    <w:rsid w:val="0A929388"/>
    <w:rsid w:val="0AEBECF0"/>
    <w:rsid w:val="0AF26CDA"/>
    <w:rsid w:val="0CAA4D95"/>
    <w:rsid w:val="0D0F57A8"/>
    <w:rsid w:val="0D2B07FE"/>
    <w:rsid w:val="0D5C8F02"/>
    <w:rsid w:val="0D896DBC"/>
    <w:rsid w:val="0E2891C2"/>
    <w:rsid w:val="0F09DFBD"/>
    <w:rsid w:val="0F2A0D27"/>
    <w:rsid w:val="0F6CB64B"/>
    <w:rsid w:val="105A69BB"/>
    <w:rsid w:val="11210FF6"/>
    <w:rsid w:val="12F009DC"/>
    <w:rsid w:val="13A4B158"/>
    <w:rsid w:val="13DE171A"/>
    <w:rsid w:val="150F5B58"/>
    <w:rsid w:val="166870F1"/>
    <w:rsid w:val="16D75360"/>
    <w:rsid w:val="172927F1"/>
    <w:rsid w:val="191420C3"/>
    <w:rsid w:val="1A2A7649"/>
    <w:rsid w:val="1B14606E"/>
    <w:rsid w:val="1B5A2BC4"/>
    <w:rsid w:val="1BAEB595"/>
    <w:rsid w:val="1BDC2095"/>
    <w:rsid w:val="1BF66139"/>
    <w:rsid w:val="1C0548E1"/>
    <w:rsid w:val="1C159FD2"/>
    <w:rsid w:val="1C5D69E6"/>
    <w:rsid w:val="1D9474A1"/>
    <w:rsid w:val="1E251F9C"/>
    <w:rsid w:val="1E311963"/>
    <w:rsid w:val="1EED26AA"/>
    <w:rsid w:val="200154C7"/>
    <w:rsid w:val="2045A575"/>
    <w:rsid w:val="2050D4D9"/>
    <w:rsid w:val="209F3497"/>
    <w:rsid w:val="20E23F84"/>
    <w:rsid w:val="20FEF7BB"/>
    <w:rsid w:val="210F44C1"/>
    <w:rsid w:val="21395F0D"/>
    <w:rsid w:val="21E6A9FC"/>
    <w:rsid w:val="2209CF03"/>
    <w:rsid w:val="2213A0EE"/>
    <w:rsid w:val="2252EBE5"/>
    <w:rsid w:val="228D5993"/>
    <w:rsid w:val="22992FE5"/>
    <w:rsid w:val="22CEF6A9"/>
    <w:rsid w:val="24223814"/>
    <w:rsid w:val="242A1DF6"/>
    <w:rsid w:val="254D2D2F"/>
    <w:rsid w:val="25884636"/>
    <w:rsid w:val="25F680F2"/>
    <w:rsid w:val="26B2A2CF"/>
    <w:rsid w:val="26CFB6C5"/>
    <w:rsid w:val="26DFD174"/>
    <w:rsid w:val="26FE2D6F"/>
    <w:rsid w:val="275BE2B3"/>
    <w:rsid w:val="280C44ED"/>
    <w:rsid w:val="281F80C8"/>
    <w:rsid w:val="283FABB0"/>
    <w:rsid w:val="28D4FC75"/>
    <w:rsid w:val="29418E36"/>
    <w:rsid w:val="295D48F0"/>
    <w:rsid w:val="29858288"/>
    <w:rsid w:val="298A1836"/>
    <w:rsid w:val="2A40A4E9"/>
    <w:rsid w:val="2A6D46A4"/>
    <w:rsid w:val="2B1F88D0"/>
    <w:rsid w:val="2C203E62"/>
    <w:rsid w:val="2C8C2A62"/>
    <w:rsid w:val="2D0CCF85"/>
    <w:rsid w:val="2D8EDA5C"/>
    <w:rsid w:val="2DC17257"/>
    <w:rsid w:val="2E484EE3"/>
    <w:rsid w:val="300EDE01"/>
    <w:rsid w:val="3029F61C"/>
    <w:rsid w:val="304180AB"/>
    <w:rsid w:val="3048CE86"/>
    <w:rsid w:val="310EE310"/>
    <w:rsid w:val="3129C914"/>
    <w:rsid w:val="315444AF"/>
    <w:rsid w:val="31568E38"/>
    <w:rsid w:val="316D482D"/>
    <w:rsid w:val="31767A68"/>
    <w:rsid w:val="319FECB0"/>
    <w:rsid w:val="321E16DF"/>
    <w:rsid w:val="33E6D609"/>
    <w:rsid w:val="340FB037"/>
    <w:rsid w:val="346CD7B6"/>
    <w:rsid w:val="34D8B982"/>
    <w:rsid w:val="3505033D"/>
    <w:rsid w:val="350E75BF"/>
    <w:rsid w:val="3617377E"/>
    <w:rsid w:val="3677A592"/>
    <w:rsid w:val="372BE63C"/>
    <w:rsid w:val="37FF77F2"/>
    <w:rsid w:val="389F1513"/>
    <w:rsid w:val="3958DB8C"/>
    <w:rsid w:val="39B54984"/>
    <w:rsid w:val="3AB098FB"/>
    <w:rsid w:val="3ABDE570"/>
    <w:rsid w:val="3B4545AF"/>
    <w:rsid w:val="3BCD2BD2"/>
    <w:rsid w:val="3CBD9911"/>
    <w:rsid w:val="3CBE4B1E"/>
    <w:rsid w:val="3D0C5D4E"/>
    <w:rsid w:val="3D882AFA"/>
    <w:rsid w:val="3E571125"/>
    <w:rsid w:val="3E5BB01C"/>
    <w:rsid w:val="3F3FD85F"/>
    <w:rsid w:val="414CA0B3"/>
    <w:rsid w:val="4285BE27"/>
    <w:rsid w:val="42B41E61"/>
    <w:rsid w:val="42F2B5F7"/>
    <w:rsid w:val="432CAB58"/>
    <w:rsid w:val="435FEBF0"/>
    <w:rsid w:val="43ABF232"/>
    <w:rsid w:val="441B7D4D"/>
    <w:rsid w:val="44224BB2"/>
    <w:rsid w:val="44A5C8BB"/>
    <w:rsid w:val="45384B49"/>
    <w:rsid w:val="459C8246"/>
    <w:rsid w:val="45C36783"/>
    <w:rsid w:val="4693FC0E"/>
    <w:rsid w:val="46DFDFE2"/>
    <w:rsid w:val="4706BB44"/>
    <w:rsid w:val="470A1516"/>
    <w:rsid w:val="48057B30"/>
    <w:rsid w:val="4854F18E"/>
    <w:rsid w:val="48F097C0"/>
    <w:rsid w:val="493B6DC9"/>
    <w:rsid w:val="49969188"/>
    <w:rsid w:val="4A763C23"/>
    <w:rsid w:val="4A7ACB33"/>
    <w:rsid w:val="4A8B3DE0"/>
    <w:rsid w:val="4A94E434"/>
    <w:rsid w:val="4AC96885"/>
    <w:rsid w:val="4ADFCA21"/>
    <w:rsid w:val="4B1D7249"/>
    <w:rsid w:val="4B7E25E7"/>
    <w:rsid w:val="4B8B25B2"/>
    <w:rsid w:val="4BD33CC5"/>
    <w:rsid w:val="4C04D215"/>
    <w:rsid w:val="4C0D80E7"/>
    <w:rsid w:val="4C974407"/>
    <w:rsid w:val="4CAB3555"/>
    <w:rsid w:val="4CBFAC5E"/>
    <w:rsid w:val="4CFA692C"/>
    <w:rsid w:val="4D47B513"/>
    <w:rsid w:val="4D72A10B"/>
    <w:rsid w:val="4D8A98A6"/>
    <w:rsid w:val="4E043E38"/>
    <w:rsid w:val="4E0654C2"/>
    <w:rsid w:val="4E50C09E"/>
    <w:rsid w:val="4E6833D7"/>
    <w:rsid w:val="4EAB6430"/>
    <w:rsid w:val="4F22EBD2"/>
    <w:rsid w:val="4F3EFC4E"/>
    <w:rsid w:val="4F85950B"/>
    <w:rsid w:val="50AC41A5"/>
    <w:rsid w:val="514A4711"/>
    <w:rsid w:val="51BD34E8"/>
    <w:rsid w:val="52942BA1"/>
    <w:rsid w:val="52E5F22D"/>
    <w:rsid w:val="52F72933"/>
    <w:rsid w:val="5319B743"/>
    <w:rsid w:val="53A48EEE"/>
    <w:rsid w:val="53D5FE3A"/>
    <w:rsid w:val="54A14346"/>
    <w:rsid w:val="54B2AF81"/>
    <w:rsid w:val="54D82382"/>
    <w:rsid w:val="54F38433"/>
    <w:rsid w:val="5519230F"/>
    <w:rsid w:val="559BF7B8"/>
    <w:rsid w:val="55A383C5"/>
    <w:rsid w:val="55AB520A"/>
    <w:rsid w:val="55B4B30C"/>
    <w:rsid w:val="5615271A"/>
    <w:rsid w:val="566D04E1"/>
    <w:rsid w:val="56865ACC"/>
    <w:rsid w:val="581CFF9B"/>
    <w:rsid w:val="58B0375D"/>
    <w:rsid w:val="59230E71"/>
    <w:rsid w:val="5996DC00"/>
    <w:rsid w:val="5A1BC360"/>
    <w:rsid w:val="5A4AFF50"/>
    <w:rsid w:val="5A9E200B"/>
    <w:rsid w:val="5ABD3914"/>
    <w:rsid w:val="5B5D5623"/>
    <w:rsid w:val="5C49A1D8"/>
    <w:rsid w:val="5D0B2A7C"/>
    <w:rsid w:val="5E13D6B8"/>
    <w:rsid w:val="5E21B5F7"/>
    <w:rsid w:val="5EBA7943"/>
    <w:rsid w:val="5F6CE284"/>
    <w:rsid w:val="6003866F"/>
    <w:rsid w:val="6037865D"/>
    <w:rsid w:val="605076FA"/>
    <w:rsid w:val="60D54320"/>
    <w:rsid w:val="614DD17A"/>
    <w:rsid w:val="61522D34"/>
    <w:rsid w:val="615442EB"/>
    <w:rsid w:val="61952DED"/>
    <w:rsid w:val="61FA17F8"/>
    <w:rsid w:val="62545789"/>
    <w:rsid w:val="62AE0C52"/>
    <w:rsid w:val="6498562D"/>
    <w:rsid w:val="64BB393B"/>
    <w:rsid w:val="6502F2B4"/>
    <w:rsid w:val="65C16D4C"/>
    <w:rsid w:val="65C59D0E"/>
    <w:rsid w:val="662BFD84"/>
    <w:rsid w:val="663E3E72"/>
    <w:rsid w:val="667BFF94"/>
    <w:rsid w:val="67BD6092"/>
    <w:rsid w:val="68051C41"/>
    <w:rsid w:val="68322AB8"/>
    <w:rsid w:val="6A10147D"/>
    <w:rsid w:val="6A84307D"/>
    <w:rsid w:val="6AF9A9CB"/>
    <w:rsid w:val="6C11A856"/>
    <w:rsid w:val="6C58947D"/>
    <w:rsid w:val="6C5BEA08"/>
    <w:rsid w:val="6C63074B"/>
    <w:rsid w:val="6CC870A3"/>
    <w:rsid w:val="6DD2692F"/>
    <w:rsid w:val="6DD924E1"/>
    <w:rsid w:val="6E61DF37"/>
    <w:rsid w:val="6EB277AD"/>
    <w:rsid w:val="6F0BF130"/>
    <w:rsid w:val="6F3C75FA"/>
    <w:rsid w:val="6F8A7B8F"/>
    <w:rsid w:val="70565C28"/>
    <w:rsid w:val="70C4D073"/>
    <w:rsid w:val="711A2BAF"/>
    <w:rsid w:val="712EA977"/>
    <w:rsid w:val="71909F4B"/>
    <w:rsid w:val="71B6C935"/>
    <w:rsid w:val="71CB28E6"/>
    <w:rsid w:val="727B6370"/>
    <w:rsid w:val="72948DA3"/>
    <w:rsid w:val="72AAF519"/>
    <w:rsid w:val="735E25D8"/>
    <w:rsid w:val="7360EAA6"/>
    <w:rsid w:val="73EF7827"/>
    <w:rsid w:val="75292C56"/>
    <w:rsid w:val="753B9520"/>
    <w:rsid w:val="76AA39A0"/>
    <w:rsid w:val="76CCE028"/>
    <w:rsid w:val="76F14338"/>
    <w:rsid w:val="77076682"/>
    <w:rsid w:val="777586B9"/>
    <w:rsid w:val="7788379A"/>
    <w:rsid w:val="778D44F5"/>
    <w:rsid w:val="7794CFF4"/>
    <w:rsid w:val="77C2D971"/>
    <w:rsid w:val="77D40E74"/>
    <w:rsid w:val="77EC5506"/>
    <w:rsid w:val="780B0B9A"/>
    <w:rsid w:val="7832410D"/>
    <w:rsid w:val="7956606F"/>
    <w:rsid w:val="798FE110"/>
    <w:rsid w:val="799C64F5"/>
    <w:rsid w:val="7A3E206B"/>
    <w:rsid w:val="7A8B0CF9"/>
    <w:rsid w:val="7AF0079F"/>
    <w:rsid w:val="7B45FC10"/>
    <w:rsid w:val="7C0051E8"/>
    <w:rsid w:val="7CDACDA2"/>
    <w:rsid w:val="7D5E229A"/>
    <w:rsid w:val="7E85E32E"/>
    <w:rsid w:val="7EA8A4E3"/>
    <w:rsid w:val="7F2EBA7A"/>
    <w:rsid w:val="7FE98412"/>
    <w:rsid w:val="7FF3084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F05DF"/>
  <w15:chartTrackingRefBased/>
  <w15:docId w15:val="{448B1645-531D-4D4B-960B-4E610EC6A3D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it-IT"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spacing w:line="360" w:lineRule="auto"/>
      <w:ind w:firstLine="567"/>
      <w:jc w:val="both"/>
    </w:pPr>
    <w:rPr>
      <w:rFonts w:ascii="Times New Roman" w:hAnsi="Times New Roman"/>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FootnoteText">
    <w:uiPriority w:val="99"/>
    <w:name w:val="footnote text"/>
    <w:basedOn w:val="Normal"/>
    <w:semiHidden/>
    <w:unhideWhenUsed/>
    <w:rsid w:val="191420C3"/>
    <w:rPr>
      <w:sz w:val="20"/>
      <w:szCs w:val="20"/>
    </w:rPr>
    <w:pPr>
      <w:spacing w:after="0" w:line="240" w:lineRule="auto"/>
    </w:pPr>
  </w:style>
  <w:style w:type="character" w:styleId="FootnoteReference">
    <w:uiPriority w:val="99"/>
    <w:name w:val="footnote reference"/>
    <w:basedOn w:val="DefaultParagraphFont"/>
    <w:semiHidden/>
    <w:unhideWhenUsed/>
    <w:rsid w:val="191420C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799576321" /><Relationship Type="http://schemas.openxmlformats.org/officeDocument/2006/relationships/image" Target="../media/image2.png" Id="rId2141539956" /><Relationship Type="http://schemas.openxmlformats.org/officeDocument/2006/relationships/image" Target="../media/image3.png" Id="rId981484858" /><Relationship Type="http://schemas.openxmlformats.org/officeDocument/2006/relationships/image" Target="../media/image4.png" Id="rId1399730100" /><Relationship Type="http://schemas.openxmlformats.org/officeDocument/2006/relationships/footnotes" Target="footnotes.xml" Id="Re5e6503e17454f8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2026-03-19T15:52:27.0605113Z</dcterms:created>
  <dcterms:modified xsi:type="dcterms:W3CDTF">2026-06-26T07:41:14.2698390Z</dcterms:modified>
  <dc:creator>Francesco Marra</dc:creator>
  <lastModifiedBy>Francesco Marra</lastModifiedBy>
</coreProperties>
</file>