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4224BB2" w:rsidP="24DEF490" w:rsidRDefault="44224BB2" w14:paraId="0FD7BDF8" w14:textId="1FA27BEA">
      <w:pPr>
        <w:spacing w:before="0" w:beforeAutospacing="off" w:line="360" w:lineRule="auto"/>
        <w:ind w:firstLine="567"/>
        <w:jc w:val="both"/>
        <w:rPr>
          <w:rFonts w:ascii="Times New Roman" w:hAnsi="Times New Roman" w:eastAsia="Times New Roman" w:cs="Times New Roman"/>
          <w:b w:val="1"/>
          <w:bCs w:val="1"/>
        </w:rPr>
      </w:pPr>
      <w:r w:rsidRPr="24DEF490" w:rsidR="3968B5EB">
        <w:rPr>
          <w:rFonts w:ascii="Times New Roman" w:hAnsi="Times New Roman" w:eastAsia="Times New Roman" w:cs="Times New Roman"/>
          <w:b w:val="1"/>
          <w:bCs w:val="1"/>
          <w:sz w:val="24"/>
        </w:rPr>
        <w:t xml:space="preserve">5 Sfide e Prospettive Future </w:t>
      </w:r>
    </w:p>
    <w:p w:rsidR="44224BB2" w:rsidP="24DEF490" w:rsidRDefault="44224BB2" w14:paraId="04CFB0BB" w14:textId="2C53E3EE">
      <w:pPr>
        <w:pStyle w:val="Normal"/>
        <w:spacing w:before="0" w:beforeAutospacing="off" w:line="360" w:lineRule="auto"/>
        <w:ind w:firstLine="0"/>
        <w:rPr>
          <w:rFonts w:ascii="Times New Roman" w:hAnsi="Times New Roman" w:eastAsia="Times New Roman" w:cs="Times New Roman"/>
          <w:b w:val="1"/>
          <w:bCs w:val="1"/>
        </w:rPr>
      </w:pPr>
      <w:r w:rsidRPr="24DEF490" w:rsidR="3968B5EB">
        <w:rPr>
          <w:rFonts w:ascii="Times New Roman" w:hAnsi="Times New Roman" w:eastAsia="Times New Roman" w:cs="Times New Roman"/>
          <w:b w:val="1"/>
          <w:bCs w:val="1"/>
        </w:rPr>
        <w:t xml:space="preserve"> </w:t>
      </w:r>
    </w:p>
    <w:p w:rsidR="44224BB2" w:rsidP="24DEF490" w:rsidRDefault="44224BB2" w14:paraId="5F4F3978" w14:textId="33934B18">
      <w:pPr>
        <w:pStyle w:val="Normal"/>
        <w:spacing w:before="0" w:beforeAutospacing="off" w:line="360" w:lineRule="auto"/>
        <w:ind w:firstLine="0"/>
        <w:jc w:val="left"/>
      </w:pPr>
      <w:r w:rsidRPr="794B3601" w:rsidR="53863477">
        <w:rPr>
          <w:rFonts w:ascii="Times New Roman" w:hAnsi="Times New Roman" w:eastAsia="Times New Roman" w:cs="Times New Roman"/>
          <w:b/>
          <w:bCs w:val="1"/>
          <w:sz w:val="24"/>
        </w:rPr>
        <w:t xml:space="preserve">5.1 Contrasto con il GDPR  </w:t>
      </w:r>
    </w:p>
    <w:p w:rsidR="38350706" w:rsidP="794B3601" w:rsidRDefault="38350706" w14:paraId="4157C56A" w14:textId="4B7B1F06">
      <w:pPr>
        <w:pStyle w:val="Normal"/>
        <w:spacing w:before="0" w:beforeAutospacing="off" w:line="360" w:lineRule="auto"/>
        <w:ind w:firstLine="567"/>
        <w:jc w:val="both"/>
      </w:pPr>
      <w:r w:rsidRPr="07894961" w:rsidR="38350706">
        <w:rPr>
          <w:rFonts w:ascii="Times New Roman" w:hAnsi="Times New Roman" w:eastAsia="Times New Roman" w:cs="Times New Roman"/>
          <w:b w:val="0"/>
          <w:bCs w:val="0"/>
          <w:sz w:val="24"/>
          <w:szCs w:val="24"/>
        </w:rPr>
        <w:t>Per comprendere appieno la portata delle attuali tensioni tra la blockchain e il Regolamento Generale sulla Protezione dei Dati (GDPR), è metodologicamente indispensabile fare un passo indietro. L'antinomia tra l'immutabilità crittografica e le prerogative dell'interessato non è che l'ultimo capitolo di una dialettica ben più antica: il rapporto conflittuale tra il diritto e l'innovazione tecnologica. Il legislatore europeo, infatti, si è trovato a forgiare il GDPR non nel vuoto cosmico, ma al culmine di un'evoluzione storica caratterizzata dal progressivo passaggio da una regolamentazione di stampo dirigista (</w:t>
      </w:r>
      <w:r w:rsidRPr="07894961" w:rsidR="38350706">
        <w:rPr>
          <w:rFonts w:ascii="Times New Roman" w:hAnsi="Times New Roman" w:eastAsia="Times New Roman" w:cs="Times New Roman"/>
          <w:b w:val="0"/>
          <w:bCs w:val="0"/>
          <w:sz w:val="24"/>
          <w:szCs w:val="24"/>
        </w:rPr>
        <w:t>command</w:t>
      </w:r>
      <w:r w:rsidRPr="07894961" w:rsidR="38350706">
        <w:rPr>
          <w:rFonts w:ascii="Times New Roman" w:hAnsi="Times New Roman" w:eastAsia="Times New Roman" w:cs="Times New Roman"/>
          <w:b w:val="0"/>
          <w:bCs w:val="0"/>
          <w:sz w:val="24"/>
          <w:szCs w:val="24"/>
        </w:rPr>
        <w:t xml:space="preserve"> and control) a modelli flessibili di co-regolazione e neutralità tecnologica</w:t>
      </w:r>
      <w:r w:rsidRPr="07894961">
        <w:rPr>
          <w:rStyle w:val="FootnoteReference"/>
          <w:rFonts w:ascii="Times New Roman" w:hAnsi="Times New Roman" w:eastAsia="Times New Roman" w:cs="Times New Roman"/>
          <w:b w:val="0"/>
          <w:bCs w:val="0"/>
          <w:sz w:val="24"/>
          <w:szCs w:val="24"/>
        </w:rPr>
        <w:footnoteReference w:id="18673"/>
      </w:r>
      <w:r w:rsidRPr="07894961" w:rsidR="38350706">
        <w:rPr>
          <w:rFonts w:ascii="Times New Roman" w:hAnsi="Times New Roman" w:eastAsia="Times New Roman" w:cs="Times New Roman"/>
          <w:b w:val="0"/>
          <w:bCs w:val="0"/>
          <w:sz w:val="24"/>
          <w:szCs w:val="24"/>
        </w:rPr>
        <w:t>.</w:t>
      </w:r>
      <w:r w:rsidRPr="07894961" w:rsidR="73004CAD">
        <w:rPr>
          <w:rFonts w:ascii="Times New Roman" w:hAnsi="Times New Roman" w:eastAsia="Times New Roman" w:cs="Times New Roman"/>
          <w:b w:val="0"/>
          <w:bCs w:val="0"/>
          <w:sz w:val="24"/>
          <w:szCs w:val="24"/>
        </w:rPr>
        <w:t xml:space="preserve"> Storicamente, i primi tentativi di normare la riservatezza e la circolazione delle informazioni risalgono agli albori della computerizzazione di massa negli anni '70 e '80. In quella fase prodromica, la risposta degli ordinamenti fu improntata al classico modello del </w:t>
      </w:r>
      <w:r w:rsidRPr="07894961" w:rsidR="73004CAD">
        <w:rPr>
          <w:rFonts w:ascii="Times New Roman" w:hAnsi="Times New Roman" w:eastAsia="Times New Roman" w:cs="Times New Roman"/>
          <w:b w:val="0"/>
          <w:bCs w:val="0"/>
          <w:sz w:val="24"/>
          <w:szCs w:val="24"/>
        </w:rPr>
        <w:t>command</w:t>
      </w:r>
      <w:r w:rsidRPr="07894961" w:rsidR="73004CAD">
        <w:rPr>
          <w:rFonts w:ascii="Times New Roman" w:hAnsi="Times New Roman" w:eastAsia="Times New Roman" w:cs="Times New Roman"/>
          <w:b w:val="0"/>
          <w:bCs w:val="0"/>
          <w:sz w:val="24"/>
          <w:szCs w:val="24"/>
        </w:rPr>
        <w:t xml:space="preserve"> and control: una potestà legislativa calata dall'alto in maniera imperativa, rigida e omogenea. Le prime leggi nazionali sulla protezione dei dati (si pensi alla legge tedesca del </w:t>
      </w:r>
      <w:r w:rsidRPr="07894961" w:rsidR="73004CAD">
        <w:rPr>
          <w:rFonts w:ascii="Times New Roman" w:hAnsi="Times New Roman" w:eastAsia="Times New Roman" w:cs="Times New Roman"/>
          <w:b w:val="0"/>
          <w:bCs w:val="0"/>
          <w:sz w:val="24"/>
          <w:szCs w:val="24"/>
        </w:rPr>
        <w:t>Bundesdatenschutzgesetz</w:t>
      </w:r>
      <w:r w:rsidRPr="07894961" w:rsidR="73004CAD">
        <w:rPr>
          <w:rFonts w:ascii="Times New Roman" w:hAnsi="Times New Roman" w:eastAsia="Times New Roman" w:cs="Times New Roman"/>
          <w:b w:val="0"/>
          <w:bCs w:val="0"/>
          <w:sz w:val="24"/>
          <w:szCs w:val="24"/>
        </w:rPr>
        <w:t xml:space="preserve"> o alla successiva Direttiva comunitaria 95/46/CE) concepivano i database come entità fisiche, centralizzate e statiche. Il flusso delle informazioni era unilaterale: vi era un server centrale, gestito da un titolare chiaramente individuato, e una massa di terminali (clients) che vi accedevano</w:t>
      </w:r>
      <w:r w:rsidRPr="07894961">
        <w:rPr>
          <w:rStyle w:val="FootnoteReference"/>
          <w:rFonts w:ascii="Times New Roman" w:hAnsi="Times New Roman" w:eastAsia="Times New Roman" w:cs="Times New Roman"/>
          <w:b w:val="0"/>
          <w:bCs w:val="0"/>
          <w:sz w:val="24"/>
          <w:szCs w:val="24"/>
        </w:rPr>
        <w:footnoteReference w:id="9111"/>
      </w:r>
      <w:r w:rsidRPr="07894961" w:rsidR="73004CAD">
        <w:rPr>
          <w:rFonts w:ascii="Times New Roman" w:hAnsi="Times New Roman" w:eastAsia="Times New Roman" w:cs="Times New Roman"/>
          <w:b w:val="0"/>
          <w:bCs w:val="0"/>
          <w:sz w:val="24"/>
          <w:szCs w:val="24"/>
        </w:rPr>
        <w:t>.</w:t>
      </w:r>
      <w:r w:rsidRPr="07894961" w:rsidR="16E6D8C4">
        <w:rPr>
          <w:rFonts w:ascii="Times New Roman" w:hAnsi="Times New Roman" w:eastAsia="Times New Roman" w:cs="Times New Roman"/>
          <w:b w:val="0"/>
          <w:bCs w:val="0"/>
          <w:sz w:val="24"/>
          <w:szCs w:val="24"/>
        </w:rPr>
        <w:t xml:space="preserve"> Tuttavia, questo approccio risentiva di una forte asimmetria informativa a svantaggio del legislatore. Con l'avvento del ventunesimo secolo e l'esplosione del Web 2.0, l'infrastruttura di Internet è andata incontro a una radicale metamorfosi. La comparsa delle prime reti paritarie (peer-to-peer), inaugurata da software di file sharing come Napster e poi perfezionata da protocolli disintermediati come BitTorrent, ha dimostrato l'inadeguatezza dei vecchi schemi centralizzati. Il codice informatico ha iniziato a muoversi a una velocità tale da causare l'obsolescenza precoce delle norme scritte, spingendo la giurisprudenza a farsi carico, su base casistica, di risolvere i conflitti legati alla responsabilità degli intermediari della rete</w:t>
      </w:r>
      <w:r w:rsidRPr="07894961" w:rsidR="02F163A9">
        <w:rPr>
          <w:rFonts w:ascii="Times New Roman" w:hAnsi="Times New Roman" w:eastAsia="Times New Roman" w:cs="Times New Roman"/>
          <w:b w:val="0"/>
          <w:bCs w:val="0"/>
          <w:sz w:val="24"/>
          <w:szCs w:val="24"/>
        </w:rPr>
        <w:t xml:space="preserve"> </w:t>
      </w:r>
      <w:r w:rsidRPr="07894961">
        <w:rPr>
          <w:rStyle w:val="FootnoteReference"/>
          <w:rFonts w:ascii="Times New Roman" w:hAnsi="Times New Roman" w:eastAsia="Times New Roman" w:cs="Times New Roman"/>
          <w:b w:val="0"/>
          <w:bCs w:val="0"/>
          <w:sz w:val="24"/>
          <w:szCs w:val="24"/>
        </w:rPr>
        <w:footnoteReference w:id="10803"/>
      </w:r>
      <w:r w:rsidRPr="07894961" w:rsidR="16E6D8C4">
        <w:rPr>
          <w:rFonts w:ascii="Times New Roman" w:hAnsi="Times New Roman" w:eastAsia="Times New Roman" w:cs="Times New Roman"/>
          <w:b w:val="0"/>
          <w:bCs w:val="0"/>
          <w:sz w:val="24"/>
          <w:szCs w:val="24"/>
        </w:rPr>
        <w:t>.</w:t>
      </w:r>
      <w:r w:rsidRPr="07894961" w:rsidR="3D21BCCF">
        <w:rPr>
          <w:rFonts w:ascii="Times New Roman" w:hAnsi="Times New Roman" w:eastAsia="Times New Roman" w:cs="Times New Roman"/>
          <w:b w:val="0"/>
          <w:bCs w:val="0"/>
          <w:sz w:val="24"/>
          <w:szCs w:val="24"/>
        </w:rPr>
        <w:t xml:space="preserve"> Consapevole del rischio di </w:t>
      </w:r>
      <w:r w:rsidRPr="07894961" w:rsidR="6B504C5A">
        <w:rPr>
          <w:rFonts w:ascii="Times New Roman" w:hAnsi="Times New Roman" w:eastAsia="Times New Roman" w:cs="Times New Roman"/>
          <w:b w:val="0"/>
          <w:bCs w:val="0"/>
          <w:sz w:val="24"/>
          <w:szCs w:val="24"/>
        </w:rPr>
        <w:t>attuare</w:t>
      </w:r>
      <w:r w:rsidRPr="07894961" w:rsidR="3D21BCCF">
        <w:rPr>
          <w:rFonts w:ascii="Times New Roman" w:hAnsi="Times New Roman" w:eastAsia="Times New Roman" w:cs="Times New Roman"/>
          <w:b w:val="0"/>
          <w:bCs w:val="0"/>
          <w:sz w:val="24"/>
          <w:szCs w:val="24"/>
        </w:rPr>
        <w:t xml:space="preserve"> norme-zavorra capaci di frenare l'attività imprenditoriale e lo sviluppo scientifico, l'Unione Europea ha progressivamente integrato nella propria azione il principio di neutralità tecnologica. Secondo tale canone, il diritto deve mantenere un approccio flessibile e agnostico rispetto ai mezzi tecnici utilizzati, fissando gli obiettivi di tutela ma lasciando aperti i mezzi tecnologici per conseguirli. È proprio in questo solco che si inserisce la transizione verso il GDPR del 2016. Il legislatore europeo, nel tentativo di superare la rigidità del </w:t>
      </w:r>
      <w:r w:rsidRPr="07894961" w:rsidR="3D21BCCF">
        <w:rPr>
          <w:rFonts w:ascii="Times New Roman" w:hAnsi="Times New Roman" w:eastAsia="Times New Roman" w:cs="Times New Roman"/>
          <w:b w:val="0"/>
          <w:bCs w:val="0"/>
          <w:sz w:val="24"/>
          <w:szCs w:val="24"/>
        </w:rPr>
        <w:t>command</w:t>
      </w:r>
      <w:r w:rsidRPr="07894961" w:rsidR="3D21BCCF">
        <w:rPr>
          <w:rFonts w:ascii="Times New Roman" w:hAnsi="Times New Roman" w:eastAsia="Times New Roman" w:cs="Times New Roman"/>
          <w:b w:val="0"/>
          <w:bCs w:val="0"/>
          <w:sz w:val="24"/>
          <w:szCs w:val="24"/>
        </w:rPr>
        <w:t xml:space="preserve"> and control, ha abbracciato la filosofia della self-</w:t>
      </w:r>
      <w:r w:rsidRPr="07894961" w:rsidR="3D21BCCF">
        <w:rPr>
          <w:rFonts w:ascii="Times New Roman" w:hAnsi="Times New Roman" w:eastAsia="Times New Roman" w:cs="Times New Roman"/>
          <w:b w:val="0"/>
          <w:bCs w:val="0"/>
          <w:sz w:val="24"/>
          <w:szCs w:val="24"/>
        </w:rPr>
        <w:t>regulation</w:t>
      </w:r>
      <w:r w:rsidRPr="07894961" w:rsidR="3D21BCCF">
        <w:rPr>
          <w:rFonts w:ascii="Times New Roman" w:hAnsi="Times New Roman" w:eastAsia="Times New Roman" w:cs="Times New Roman"/>
          <w:b w:val="0"/>
          <w:bCs w:val="0"/>
          <w:sz w:val="24"/>
          <w:szCs w:val="24"/>
        </w:rPr>
        <w:t xml:space="preserve"> guidata, responsabilizzando i titolari del trattamento attraverso l'introduzione di obblighi preventivi e flessibili, quali il privacy by design e il privacy by default</w:t>
      </w:r>
      <w:r w:rsidRPr="07894961" w:rsidR="111E6C0D">
        <w:rPr>
          <w:rFonts w:ascii="Times New Roman" w:hAnsi="Times New Roman" w:eastAsia="Times New Roman" w:cs="Times New Roman"/>
          <w:b w:val="0"/>
          <w:bCs w:val="0"/>
          <w:sz w:val="24"/>
          <w:szCs w:val="24"/>
        </w:rPr>
        <w:t xml:space="preserve"> </w:t>
      </w:r>
      <w:r w:rsidRPr="07894961">
        <w:rPr>
          <w:rStyle w:val="FootnoteReference"/>
          <w:rFonts w:ascii="Times New Roman" w:hAnsi="Times New Roman" w:eastAsia="Times New Roman" w:cs="Times New Roman"/>
          <w:b w:val="0"/>
          <w:bCs w:val="0"/>
          <w:sz w:val="24"/>
          <w:szCs w:val="24"/>
        </w:rPr>
        <w:footnoteReference w:id="27110"/>
      </w:r>
      <w:r w:rsidRPr="07894961" w:rsidR="3D21BCCF">
        <w:rPr>
          <w:rFonts w:ascii="Times New Roman" w:hAnsi="Times New Roman" w:eastAsia="Times New Roman" w:cs="Times New Roman"/>
          <w:b w:val="0"/>
          <w:bCs w:val="0"/>
          <w:sz w:val="24"/>
          <w:szCs w:val="24"/>
        </w:rPr>
        <w:t>.</w:t>
      </w:r>
      <w:r w:rsidRPr="07894961" w:rsidR="06075217">
        <w:rPr>
          <w:rFonts w:ascii="Times New Roman" w:hAnsi="Times New Roman" w:eastAsia="Times New Roman" w:cs="Times New Roman"/>
          <w:b w:val="0"/>
          <w:bCs w:val="0"/>
          <w:sz w:val="24"/>
          <w:szCs w:val="24"/>
        </w:rPr>
        <w:t xml:space="preserve"> Un ulteriore filo rosso unisce la storia dei contratti tecnologici alla disciplina della data </w:t>
      </w:r>
      <w:r w:rsidRPr="07894961" w:rsidR="06075217">
        <w:rPr>
          <w:rFonts w:ascii="Times New Roman" w:hAnsi="Times New Roman" w:eastAsia="Times New Roman" w:cs="Times New Roman"/>
          <w:b w:val="0"/>
          <w:bCs w:val="0"/>
          <w:sz w:val="24"/>
          <w:szCs w:val="24"/>
        </w:rPr>
        <w:t>protection</w:t>
      </w:r>
      <w:r w:rsidRPr="07894961" w:rsidR="06075217">
        <w:rPr>
          <w:rFonts w:ascii="Times New Roman" w:hAnsi="Times New Roman" w:eastAsia="Times New Roman" w:cs="Times New Roman"/>
          <w:b w:val="0"/>
          <w:bCs w:val="0"/>
          <w:sz w:val="24"/>
          <w:szCs w:val="24"/>
        </w:rPr>
        <w:t xml:space="preserve">: la crisi del </w:t>
      </w:r>
      <w:r w:rsidRPr="07894961" w:rsidR="06075217">
        <w:rPr>
          <w:rFonts w:ascii="Times New Roman" w:hAnsi="Times New Roman" w:eastAsia="Times New Roman" w:cs="Times New Roman"/>
          <w:b w:val="0"/>
          <w:bCs w:val="0"/>
          <w:sz w:val="24"/>
          <w:szCs w:val="24"/>
        </w:rPr>
        <w:t>consensualismo</w:t>
      </w:r>
      <w:r w:rsidRPr="07894961" w:rsidR="06075217">
        <w:rPr>
          <w:rFonts w:ascii="Times New Roman" w:hAnsi="Times New Roman" w:eastAsia="Times New Roman" w:cs="Times New Roman"/>
          <w:b w:val="0"/>
          <w:bCs w:val="0"/>
          <w:sz w:val="24"/>
          <w:szCs w:val="24"/>
        </w:rPr>
        <w:t xml:space="preserve">. Nella contrattazione telematica e nei contratti cibernetici, l'impiego di condizioni generali standardizzate e l'automazione dei processi hanno da tempo sbiadito la pienezza della volontà umana, riducendo l'accordo a una mera adesione a istruzioni preimpostate. </w:t>
      </w:r>
      <w:r w:rsidRPr="07894961" w:rsidR="2998726D">
        <w:rPr>
          <w:rFonts w:ascii="Times New Roman" w:hAnsi="Times New Roman" w:eastAsia="Times New Roman" w:cs="Times New Roman"/>
          <w:b w:val="0"/>
          <w:bCs w:val="0"/>
          <w:sz w:val="24"/>
          <w:szCs w:val="24"/>
        </w:rPr>
        <w:t xml:space="preserve">Questo deficit di consenso reale si riflette specularmente sul piano della privacy digitale. Il GDPR poggia largamente sul consenso informato dell'interessato quale base giuridica del trattamento. Tuttavia, nel moderno ecosistema digitale, l'interazione costante con dispositivi connessi a Internet (Internet of </w:t>
      </w:r>
      <w:r w:rsidRPr="07894961" w:rsidR="2998726D">
        <w:rPr>
          <w:rFonts w:ascii="Times New Roman" w:hAnsi="Times New Roman" w:eastAsia="Times New Roman" w:cs="Times New Roman"/>
          <w:b w:val="0"/>
          <w:bCs w:val="0"/>
          <w:sz w:val="24"/>
          <w:szCs w:val="24"/>
        </w:rPr>
        <w:t>Things</w:t>
      </w:r>
      <w:r w:rsidRPr="07894961" w:rsidR="2998726D">
        <w:rPr>
          <w:rFonts w:ascii="Times New Roman" w:hAnsi="Times New Roman" w:eastAsia="Times New Roman" w:cs="Times New Roman"/>
          <w:b w:val="0"/>
          <w:bCs w:val="0"/>
          <w:sz w:val="24"/>
          <w:szCs w:val="24"/>
        </w:rPr>
        <w:t xml:space="preserve">) e piattaforme complesse costringe gli utenti ad accettare informative farraginose e impenetrabili, trasformando il consenso in un pleonasmo formale </w:t>
      </w:r>
      <w:r w:rsidRPr="07894961">
        <w:rPr>
          <w:rStyle w:val="FootnoteReference"/>
          <w:rFonts w:ascii="Times New Roman" w:hAnsi="Times New Roman" w:eastAsia="Times New Roman" w:cs="Times New Roman"/>
          <w:b w:val="0"/>
          <w:bCs w:val="0"/>
          <w:sz w:val="24"/>
          <w:szCs w:val="24"/>
        </w:rPr>
        <w:footnoteReference w:id="8522"/>
      </w:r>
      <w:r w:rsidRPr="07894961" w:rsidR="2998726D">
        <w:rPr>
          <w:rFonts w:ascii="Times New Roman" w:hAnsi="Times New Roman" w:eastAsia="Times New Roman" w:cs="Times New Roman"/>
          <w:b w:val="0"/>
          <w:bCs w:val="0"/>
          <w:sz w:val="24"/>
          <w:szCs w:val="24"/>
        </w:rPr>
        <w:t xml:space="preserve">. </w:t>
      </w:r>
      <w:r w:rsidRPr="07894961" w:rsidR="04F0CD85">
        <w:rPr>
          <w:rFonts w:ascii="Times New Roman" w:hAnsi="Times New Roman" w:eastAsia="Times New Roman" w:cs="Times New Roman"/>
          <w:b w:val="0"/>
          <w:bCs w:val="0"/>
          <w:sz w:val="24"/>
          <w:szCs w:val="24"/>
        </w:rPr>
        <w:t xml:space="preserve">La tecnologia blockchain si è presentata sul mercato con la promessa rivoluzionaria di colmare questo </w:t>
      </w:r>
      <w:r w:rsidRPr="07894961" w:rsidR="04F0CD85">
        <w:rPr>
          <w:rFonts w:ascii="Times New Roman" w:hAnsi="Times New Roman" w:eastAsia="Times New Roman" w:cs="Times New Roman"/>
          <w:b w:val="0"/>
          <w:bCs w:val="0"/>
          <w:sz w:val="24"/>
          <w:szCs w:val="24"/>
        </w:rPr>
        <w:t>gap</w:t>
      </w:r>
      <w:r w:rsidRPr="07894961" w:rsidR="04F0CD85">
        <w:rPr>
          <w:rFonts w:ascii="Times New Roman" w:hAnsi="Times New Roman" w:eastAsia="Times New Roman" w:cs="Times New Roman"/>
          <w:b w:val="0"/>
          <w:bCs w:val="0"/>
          <w:sz w:val="24"/>
          <w:szCs w:val="24"/>
        </w:rPr>
        <w:t xml:space="preserve"> di fiducia e restituire all'utente la sovranità sui propri dati attraverso la crittografia e la disintermediazione. L'utopia libertaria e individualista che anima i registri distribuiti — ereditata direttamente dal manifesto politico del movimento dei </w:t>
      </w:r>
      <w:r w:rsidRPr="07894961" w:rsidR="04F0CD85">
        <w:rPr>
          <w:rFonts w:ascii="Times New Roman" w:hAnsi="Times New Roman" w:eastAsia="Times New Roman" w:cs="Times New Roman"/>
          <w:b w:val="0"/>
          <w:bCs w:val="0"/>
          <w:sz w:val="24"/>
          <w:szCs w:val="24"/>
        </w:rPr>
        <w:t>Cypherpunks</w:t>
      </w:r>
      <w:r w:rsidRPr="07894961" w:rsidR="04F0CD85">
        <w:rPr>
          <w:rFonts w:ascii="Times New Roman" w:hAnsi="Times New Roman" w:eastAsia="Times New Roman" w:cs="Times New Roman"/>
          <w:b w:val="0"/>
          <w:bCs w:val="0"/>
          <w:sz w:val="24"/>
          <w:szCs w:val="24"/>
        </w:rPr>
        <w:t xml:space="preserve"> alla fine del secolo scorso — postula la sostituzione della fiducia nelle autorità centrali con la fiducia nell'infallibilità matematica del codice (la c.d. </w:t>
      </w:r>
      <w:r w:rsidRPr="07894961" w:rsidR="04F0CD85">
        <w:rPr>
          <w:rFonts w:ascii="Times New Roman" w:hAnsi="Times New Roman" w:eastAsia="Times New Roman" w:cs="Times New Roman"/>
          <w:b w:val="0"/>
          <w:bCs w:val="0"/>
          <w:sz w:val="24"/>
          <w:szCs w:val="24"/>
        </w:rPr>
        <w:t>lex</w:t>
      </w:r>
      <w:r w:rsidRPr="07894961" w:rsidR="04F0CD85">
        <w:rPr>
          <w:rFonts w:ascii="Times New Roman" w:hAnsi="Times New Roman" w:eastAsia="Times New Roman" w:cs="Times New Roman"/>
          <w:b w:val="0"/>
          <w:bCs w:val="0"/>
          <w:sz w:val="24"/>
          <w:szCs w:val="24"/>
        </w:rPr>
        <w:t xml:space="preserve"> </w:t>
      </w:r>
      <w:r w:rsidRPr="07894961" w:rsidR="04F0CD85">
        <w:rPr>
          <w:rFonts w:ascii="Times New Roman" w:hAnsi="Times New Roman" w:eastAsia="Times New Roman" w:cs="Times New Roman"/>
          <w:b w:val="0"/>
          <w:bCs w:val="0"/>
          <w:sz w:val="24"/>
          <w:szCs w:val="24"/>
        </w:rPr>
        <w:t>cryptographia</w:t>
      </w:r>
      <w:r w:rsidRPr="07894961" w:rsidR="04F0CD85">
        <w:rPr>
          <w:rFonts w:ascii="Times New Roman" w:hAnsi="Times New Roman" w:eastAsia="Times New Roman" w:cs="Times New Roman"/>
          <w:b w:val="0"/>
          <w:bCs w:val="0"/>
          <w:sz w:val="24"/>
          <w:szCs w:val="24"/>
        </w:rPr>
        <w:t xml:space="preserve">) </w:t>
      </w:r>
      <w:r w:rsidRPr="07894961">
        <w:rPr>
          <w:rStyle w:val="FootnoteReference"/>
          <w:rFonts w:ascii="Times New Roman" w:hAnsi="Times New Roman" w:eastAsia="Times New Roman" w:cs="Times New Roman"/>
          <w:b w:val="0"/>
          <w:bCs w:val="0"/>
          <w:sz w:val="24"/>
          <w:szCs w:val="24"/>
        </w:rPr>
        <w:footnoteReference w:id="17349"/>
      </w:r>
      <w:r w:rsidRPr="07894961" w:rsidR="04F0CD85">
        <w:rPr>
          <w:rFonts w:ascii="Times New Roman" w:hAnsi="Times New Roman" w:eastAsia="Times New Roman" w:cs="Times New Roman"/>
          <w:b w:val="0"/>
          <w:bCs w:val="0"/>
          <w:sz w:val="24"/>
          <w:szCs w:val="24"/>
        </w:rPr>
        <w:t xml:space="preserve">. </w:t>
      </w:r>
      <w:r w:rsidRPr="07894961" w:rsidR="32567EA4">
        <w:rPr>
          <w:rFonts w:ascii="Times New Roman" w:hAnsi="Times New Roman" w:eastAsia="Times New Roman" w:cs="Times New Roman"/>
          <w:b w:val="0"/>
          <w:bCs w:val="0"/>
          <w:sz w:val="24"/>
          <w:szCs w:val="24"/>
        </w:rPr>
        <w:t xml:space="preserve">L'equivoco dogmatico emerge nel momento in cui questa ideologia si scontra con il rigore del diritto positivo europeo. Nelle public blockchain, l'eliminazione dell'intermediario centrale viene compensata da una trasparenza oggettiva assoluta: ogni transazione e ogni stringa di dati è memorizzata in copia identica su tutti i nodi della rete ed è visibile a chiunque. Se dal punto di vista informatico questa architettura </w:t>
      </w:r>
      <w:r w:rsidRPr="07894961" w:rsidR="32567EA4">
        <w:rPr>
          <w:rFonts w:ascii="Times New Roman" w:hAnsi="Times New Roman" w:eastAsia="Times New Roman" w:cs="Times New Roman"/>
          <w:b w:val="0"/>
          <w:bCs w:val="0"/>
          <w:sz w:val="24"/>
          <w:szCs w:val="24"/>
        </w:rPr>
        <w:t>append-only</w:t>
      </w:r>
      <w:r w:rsidRPr="07894961" w:rsidR="32567EA4">
        <w:rPr>
          <w:rFonts w:ascii="Times New Roman" w:hAnsi="Times New Roman" w:eastAsia="Times New Roman" w:cs="Times New Roman"/>
          <w:b w:val="0"/>
          <w:bCs w:val="0"/>
          <w:sz w:val="24"/>
          <w:szCs w:val="24"/>
        </w:rPr>
        <w:t xml:space="preserve"> previene alterazioni e frodi, dal punto di vista del diritto europeo essa esaspera i rischi per la riservatezza. La pseudonimizzazione offerta dalle chiavi pubbliche non equivale a un'anonimizzazione irreversibile, poiché l'incrocio dei metadati o l'analisi degli indirizzi IP consente di risalire all'identità degli individui, attirando l'intero registro distribuito nell'orbita del GDPR </w:t>
      </w:r>
      <w:r w:rsidRPr="07894961">
        <w:rPr>
          <w:rStyle w:val="FootnoteReference"/>
          <w:rFonts w:ascii="Times New Roman" w:hAnsi="Times New Roman" w:eastAsia="Times New Roman" w:cs="Times New Roman"/>
          <w:b w:val="0"/>
          <w:bCs w:val="0"/>
          <w:sz w:val="24"/>
          <w:szCs w:val="24"/>
        </w:rPr>
        <w:footnoteReference w:id="31291"/>
      </w:r>
      <w:r w:rsidRPr="07894961" w:rsidR="32567EA4">
        <w:rPr>
          <w:rFonts w:ascii="Times New Roman" w:hAnsi="Times New Roman" w:eastAsia="Times New Roman" w:cs="Times New Roman"/>
          <w:b w:val="0"/>
          <w:bCs w:val="0"/>
          <w:sz w:val="24"/>
          <w:szCs w:val="24"/>
        </w:rPr>
        <w:t>.</w:t>
      </w:r>
      <w:r w:rsidRPr="07894961" w:rsidR="14254DE3">
        <w:rPr>
          <w:rFonts w:ascii="Times New Roman" w:hAnsi="Times New Roman" w:eastAsia="Times New Roman" w:cs="Times New Roman"/>
          <w:b w:val="0"/>
          <w:bCs w:val="0"/>
          <w:sz w:val="24"/>
          <w:szCs w:val="24"/>
        </w:rPr>
        <w:t xml:space="preserve"> </w:t>
      </w:r>
      <w:r w:rsidRPr="07894961" w:rsidR="2E91255C">
        <w:rPr>
          <w:rFonts w:ascii="Times New Roman" w:hAnsi="Times New Roman" w:eastAsia="Times New Roman" w:cs="Times New Roman"/>
          <w:b w:val="0"/>
          <w:bCs w:val="0"/>
          <w:sz w:val="24"/>
          <w:szCs w:val="24"/>
        </w:rPr>
        <w:t xml:space="preserve">Pertanto, il vero punto di tensione non risiede in una transizione dal piano del diritto comune a un inedito ordinamento crittografico, ma nella complessa convivenza di entrambi i sistemi. Esattamente come accade per la smart </w:t>
      </w:r>
      <w:r w:rsidRPr="07894961" w:rsidR="2E91255C">
        <w:rPr>
          <w:rFonts w:ascii="Times New Roman" w:hAnsi="Times New Roman" w:eastAsia="Times New Roman" w:cs="Times New Roman"/>
          <w:b w:val="0"/>
          <w:bCs w:val="0"/>
          <w:sz w:val="24"/>
          <w:szCs w:val="24"/>
        </w:rPr>
        <w:t>property</w:t>
      </w:r>
      <w:r w:rsidRPr="07894961" w:rsidR="2E91255C">
        <w:rPr>
          <w:rFonts w:ascii="Times New Roman" w:hAnsi="Times New Roman" w:eastAsia="Times New Roman" w:cs="Times New Roman"/>
          <w:b w:val="0"/>
          <w:bCs w:val="0"/>
          <w:sz w:val="24"/>
          <w:szCs w:val="24"/>
        </w:rPr>
        <w:t xml:space="preserve"> immobiliare — dove l'efficacia traslativa on-chain deve necessariamente fare i conti con i vincoli di trascrizione e la certezza dei registri pubblici tradizionali —, così la gestione dei dati personali su blockchain non può prescindere dai diritti irrinunciabili della persona, ponendo il legislatore contemporaneo dinanzi alla sfida di governare l'innovazione senza abdicare alla legalità </w:t>
      </w:r>
      <w:r w:rsidRPr="07894961">
        <w:rPr>
          <w:rStyle w:val="FootnoteReference"/>
          <w:rFonts w:ascii="Times New Roman" w:hAnsi="Times New Roman" w:eastAsia="Times New Roman" w:cs="Times New Roman"/>
          <w:b w:val="0"/>
          <w:bCs w:val="0"/>
          <w:sz w:val="24"/>
          <w:szCs w:val="24"/>
        </w:rPr>
        <w:footnoteReference w:id="3233"/>
      </w:r>
      <w:r w:rsidRPr="07894961" w:rsidR="2E91255C">
        <w:rPr>
          <w:rFonts w:ascii="Times New Roman" w:hAnsi="Times New Roman" w:eastAsia="Times New Roman" w:cs="Times New Roman"/>
          <w:b w:val="0"/>
          <w:bCs w:val="0"/>
          <w:sz w:val="24"/>
          <w:szCs w:val="24"/>
        </w:rPr>
        <w:t>.</w:t>
      </w:r>
    </w:p>
    <w:p w:rsidR="6BF00DD1" w:rsidP="07894961" w:rsidRDefault="6BF00DD1" w14:paraId="56E05FA0" w14:textId="4E740D91">
      <w:pPr>
        <w:pStyle w:val="Normal"/>
        <w:spacing w:before="0" w:beforeAutospacing="off" w:line="360" w:lineRule="auto"/>
        <w:ind w:firstLine="567"/>
        <w:jc w:val="both"/>
        <w:rPr>
          <w:rFonts w:ascii="Times New Roman" w:hAnsi="Times New Roman" w:eastAsia="Times New Roman" w:cs="Times New Roman"/>
          <w:b w:val="0"/>
          <w:bCs w:val="0"/>
          <w:sz w:val="24"/>
          <w:szCs w:val="24"/>
        </w:rPr>
      </w:pPr>
      <w:r w:rsidRPr="07894961" w:rsidR="6BF00DD1">
        <w:rPr>
          <w:rFonts w:ascii="Times New Roman" w:hAnsi="Times New Roman" w:eastAsia="Times New Roman" w:cs="Times New Roman"/>
          <w:b w:val="0"/>
          <w:bCs w:val="0"/>
          <w:sz w:val="24"/>
          <w:szCs w:val="24"/>
        </w:rPr>
        <w:t>L'interazione tra le tecnologie basate su registri distribuiti e la disciplina del Regolamento UE 2016/679 (GDPR) evidenzia una serie di frizioni sistemiche e punti di forte tensione dogmatica</w:t>
      </w:r>
      <w:r w:rsidRPr="07894961">
        <w:rPr>
          <w:rStyle w:val="FootnoteReference"/>
          <w:rFonts w:ascii="Times New Roman" w:hAnsi="Times New Roman" w:eastAsia="Times New Roman" w:cs="Times New Roman"/>
          <w:b w:val="0"/>
          <w:bCs w:val="0"/>
          <w:sz w:val="24"/>
          <w:szCs w:val="24"/>
        </w:rPr>
        <w:footnoteReference w:id="16762"/>
      </w:r>
      <w:r w:rsidRPr="07894961" w:rsidR="6BF00DD1">
        <w:rPr>
          <w:rFonts w:ascii="Times New Roman" w:hAnsi="Times New Roman" w:eastAsia="Times New Roman" w:cs="Times New Roman"/>
          <w:b w:val="0"/>
          <w:bCs w:val="0"/>
          <w:sz w:val="24"/>
          <w:szCs w:val="24"/>
        </w:rPr>
        <w:t>. Tali asimmetrie possono essere ricondotte a due fondamentali fattori di natura strutturale e filosofica. In primo luogo, l'impianto del GDPR poggia sul presupposto logico-giuridico dell'esistenza di un centro unitario di imputazione delle responsabilità — il titolare o il responsabile del trattamento —, inteso quale interlocutore fisico o giuridico a cui l'interessato può rivolgersi per l'esercizio dei diritti garantiti dall'ordinamento eurounitario. Al contrario, l'architettura blockchain si definisce proprio in funzione del suo carattere intrinsecamente acentrico e decentralizzato, volto a sostituire l'attore monopolistico con una governance paritaria e diffusa tra una pluralità di nodi</w:t>
      </w:r>
      <w:r w:rsidRPr="07894961">
        <w:rPr>
          <w:rStyle w:val="FootnoteReference"/>
          <w:rFonts w:ascii="Times New Roman" w:hAnsi="Times New Roman" w:eastAsia="Times New Roman" w:cs="Times New Roman"/>
          <w:b w:val="0"/>
          <w:bCs w:val="0"/>
          <w:sz w:val="24"/>
          <w:szCs w:val="24"/>
        </w:rPr>
        <w:footnoteReference w:id="20016"/>
      </w:r>
      <w:r w:rsidRPr="07894961" w:rsidR="6BF00DD1">
        <w:rPr>
          <w:rFonts w:ascii="Times New Roman" w:hAnsi="Times New Roman" w:eastAsia="Times New Roman" w:cs="Times New Roman"/>
          <w:b w:val="0"/>
          <w:bCs w:val="0"/>
          <w:sz w:val="24"/>
          <w:szCs w:val="24"/>
        </w:rPr>
        <w:t>. L'identificazione dei ruoli soggettivi della privacy risulta ulteriormente complicata dalle evoluzioni dottrinali e giurisprudenziali, le quali rendono scivoloso l'inquadramento delle singole entità operanti sul network nelle tradizionali categorie di contitolarità del trattamento.</w:t>
      </w:r>
      <w:r w:rsidRPr="07894961" w:rsidR="78FFB2E4">
        <w:rPr>
          <w:rFonts w:ascii="Times New Roman" w:hAnsi="Times New Roman" w:eastAsia="Times New Roman" w:cs="Times New Roman"/>
          <w:b w:val="0"/>
          <w:bCs w:val="0"/>
          <w:sz w:val="24"/>
          <w:szCs w:val="24"/>
        </w:rPr>
        <w:t xml:space="preserve"> In secondo luogo, la normativa europea sulla protezione dei dati presuppone la modificabilità e la revocabilità dei flussi informativi ogniqualvolta sia necessario conformarsi al dettato degli articoli</w:t>
      </w:r>
      <w:r w:rsidRPr="07894961" w:rsidR="73A99AF4">
        <w:rPr>
          <w:rFonts w:ascii="Times New Roman" w:hAnsi="Times New Roman" w:eastAsia="Times New Roman" w:cs="Times New Roman"/>
          <w:b w:val="0"/>
          <w:bCs w:val="0"/>
          <w:sz w:val="24"/>
          <w:szCs w:val="24"/>
        </w:rPr>
        <w:t xml:space="preserve"> del </w:t>
      </w:r>
      <w:r w:rsidRPr="07894961" w:rsidR="2DFAE659">
        <w:rPr>
          <w:rFonts w:ascii="Times New Roman" w:hAnsi="Times New Roman" w:eastAsia="Times New Roman" w:cs="Times New Roman"/>
          <w:b w:val="0"/>
          <w:bCs w:val="0"/>
          <w:sz w:val="24"/>
          <w:szCs w:val="24"/>
        </w:rPr>
        <w:t>Regolamento:</w:t>
      </w:r>
    </w:p>
    <w:p w:rsidR="7E06E61C" w:rsidP="2ED41990" w:rsidRDefault="7E06E61C" w14:paraId="432435AD" w14:textId="065102B0">
      <w:pPr>
        <w:pStyle w:val="ListParagraph"/>
        <w:numPr>
          <w:ilvl w:val="0"/>
          <w:numId w:val="1"/>
        </w:numPr>
        <w:spacing w:before="0" w:beforeAutospacing="off" w:line="360" w:lineRule="auto"/>
        <w:ind w:firstLine="567"/>
        <w:jc w:val="both"/>
        <w:rPr>
          <w:rFonts w:ascii="Times New Roman" w:hAnsi="Times New Roman" w:eastAsia="Times New Roman" w:cs="Times New Roman"/>
          <w:b w:val="0"/>
          <w:bCs w:val="0"/>
        </w:rPr>
      </w:pPr>
      <w:r w:rsidRPr="07894961" w:rsidR="2DFAE659">
        <w:rPr>
          <w:rFonts w:ascii="Times New Roman" w:hAnsi="Times New Roman" w:eastAsia="Times New Roman" w:cs="Times New Roman"/>
          <w:b w:val="0"/>
          <w:bCs w:val="0"/>
          <w:sz w:val="24"/>
          <w:szCs w:val="24"/>
        </w:rPr>
        <w:t>Art.</w:t>
      </w:r>
      <w:r w:rsidRPr="07894961" w:rsidR="7E06E61C">
        <w:rPr>
          <w:rFonts w:ascii="Times New Roman" w:hAnsi="Times New Roman" w:eastAsia="Times New Roman" w:cs="Times New Roman"/>
          <w:b w:val="0"/>
          <w:bCs w:val="0"/>
          <w:sz w:val="24"/>
          <w:szCs w:val="24"/>
        </w:rPr>
        <w:t xml:space="preserve"> </w:t>
      </w:r>
      <w:r w:rsidRPr="07894961" w:rsidR="78FFB2E4">
        <w:rPr>
          <w:rFonts w:ascii="Times New Roman" w:hAnsi="Times New Roman" w:eastAsia="Times New Roman" w:cs="Times New Roman"/>
          <w:b w:val="0"/>
          <w:bCs w:val="0"/>
          <w:sz w:val="24"/>
          <w:szCs w:val="24"/>
        </w:rPr>
        <w:t xml:space="preserve">16 </w:t>
      </w:r>
      <w:r w:rsidRPr="07894961" w:rsidR="3B6A5F03">
        <w:rPr>
          <w:rFonts w:ascii="Times New Roman" w:hAnsi="Times New Roman" w:eastAsia="Times New Roman" w:cs="Times New Roman"/>
          <w:b w:val="0"/>
          <w:bCs w:val="0"/>
          <w:sz w:val="24"/>
          <w:szCs w:val="24"/>
        </w:rPr>
        <w:t>(“</w:t>
      </w:r>
      <w:r w:rsidRPr="07894961" w:rsidR="3B6A5F03">
        <w:rPr>
          <w:rFonts w:ascii="Times New Roman" w:hAnsi="Times New Roman" w:eastAsia="Times New Roman" w:cs="Times New Roman"/>
          <w:b w:val="0"/>
          <w:bCs w:val="0"/>
          <w:i w:val="1"/>
          <w:iCs w:val="1"/>
          <w:sz w:val="24"/>
          <w:szCs w:val="24"/>
        </w:rPr>
        <w:t xml:space="preserve">L'interessato ha il diritto di ottenere dal titolare del trattamento la rettifica dei dati personali inesatti che lo riguardano senza ingiustificato ritardo. Tenuto conto delle finalità del trattamento, l'interessato ha il diritto di ottenere l'integrazione dei dati personali incompleti, anche fornendo una dichiarazione integrativa. </w:t>
      </w:r>
      <w:r w:rsidRPr="07894961" w:rsidR="3B6A5F03">
        <w:rPr>
          <w:rFonts w:ascii="Times New Roman" w:hAnsi="Times New Roman" w:eastAsia="Times New Roman" w:cs="Times New Roman"/>
          <w:b w:val="0"/>
          <w:bCs w:val="0"/>
          <w:i w:val="1"/>
          <w:iCs w:val="1"/>
          <w:sz w:val="24"/>
          <w:szCs w:val="24"/>
        </w:rPr>
        <w:t>“</w:t>
      </w:r>
      <w:r w:rsidRPr="07894961" w:rsidR="3B6A5F03">
        <w:rPr>
          <w:rFonts w:ascii="Times New Roman" w:hAnsi="Times New Roman" w:eastAsia="Times New Roman" w:cs="Times New Roman"/>
          <w:b w:val="0"/>
          <w:bCs w:val="0"/>
          <w:sz w:val="24"/>
          <w:szCs w:val="24"/>
        </w:rPr>
        <w:t>)</w:t>
      </w:r>
    </w:p>
    <w:p w:rsidR="52DA7D49" w:rsidP="07894961" w:rsidRDefault="52DA7D49" w14:paraId="5BD5AF45" w14:textId="7FFC0053">
      <w:pPr>
        <w:pStyle w:val="ListParagraph"/>
        <w:numPr>
          <w:ilvl w:val="0"/>
          <w:numId w:val="1"/>
        </w:numPr>
        <w:spacing w:before="0" w:beforeAutospacing="off" w:line="360" w:lineRule="auto"/>
        <w:ind w:firstLine="567"/>
        <w:jc w:val="both"/>
        <w:rPr>
          <w:i w:val="1"/>
          <w:iCs w:val="1"/>
          <w:noProof w:val="0"/>
          <w:lang w:val="it-IT"/>
        </w:rPr>
      </w:pPr>
      <w:r w:rsidRPr="07894961" w:rsidR="557BB0AA">
        <w:rPr>
          <w:rFonts w:ascii="Times New Roman" w:hAnsi="Times New Roman" w:eastAsia="Times New Roman" w:cs="Times New Roman"/>
          <w:b w:val="0"/>
          <w:bCs w:val="0"/>
          <w:sz w:val="24"/>
          <w:szCs w:val="24"/>
        </w:rPr>
        <w:t>Art.</w:t>
      </w:r>
      <w:r w:rsidRPr="07894961" w:rsidR="78FFB2E4">
        <w:rPr>
          <w:rFonts w:ascii="Times New Roman" w:hAnsi="Times New Roman" w:eastAsia="Times New Roman" w:cs="Times New Roman"/>
          <w:b w:val="0"/>
          <w:bCs w:val="0"/>
          <w:sz w:val="24"/>
          <w:szCs w:val="24"/>
        </w:rPr>
        <w:t xml:space="preserve"> 17 </w:t>
      </w:r>
      <w:r w:rsidRPr="07894961" w:rsidR="101FE103">
        <w:rPr>
          <w:rFonts w:ascii="Times New Roman" w:hAnsi="Times New Roman" w:eastAsia="Times New Roman" w:cs="Times New Roman"/>
          <w:b w:val="0"/>
          <w:bCs w:val="0"/>
          <w:sz w:val="24"/>
          <w:szCs w:val="24"/>
        </w:rPr>
        <w:t>(“</w:t>
      </w:r>
      <w:r w:rsidRPr="07894961" w:rsidR="59DA77B9">
        <w:rPr>
          <w:rFonts w:ascii="Times New Roman" w:hAnsi="Times New Roman"/>
          <w:i w:val="1"/>
          <w:iCs w:val="1"/>
          <w:noProof w:val="0"/>
          <w:sz w:val="24"/>
          <w:szCs w:val="24"/>
          <w:lang w:val="it-IT"/>
        </w:rPr>
        <w:t>L'interessato ha il diritto di ottenere dal titolare del trattamento la cancellazione dei dati personali che lo riguardano senza ingiustificato ritardo e il titolare del trattamento ha l'obbligo di cancellare senza ingiustificato ritardo i dati personali, se sussiste uno dei motivi seguenti:</w:t>
      </w:r>
    </w:p>
    <w:p w:rsidR="59DA77B9" w:rsidP="2ED41990" w:rsidRDefault="59DA77B9" w14:paraId="5F600729" w14:textId="667219DF">
      <w:pPr>
        <w:pStyle w:val="ListParagraph"/>
        <w:spacing w:before="0" w:beforeAutospacing="off" w:after="0" w:afterAutospacing="off" w:line="360" w:lineRule="auto"/>
        <w:ind w:left="720" w:firstLine="567"/>
        <w:jc w:val="both"/>
        <w:rPr>
          <w:i w:val="1"/>
          <w:iCs w:val="1"/>
          <w:noProof w:val="0"/>
          <w:lang w:val="it-IT"/>
        </w:rPr>
      </w:pPr>
      <w:r w:rsidRPr="2ED41990" w:rsidR="59DA77B9">
        <w:rPr>
          <w:rFonts w:ascii="Times New Roman" w:hAnsi="Times New Roman"/>
          <w:i w:val="1"/>
          <w:iCs w:val="1"/>
          <w:noProof w:val="0"/>
          <w:sz w:val="24"/>
          <w:lang w:val="it-IT"/>
        </w:rPr>
        <w:t>a) i dati personali non sono più necessari rispetto alle finalità per le quali sono stati raccolti o altrimenti trattati; b) l'interessato revoca il consenso su cui si basa il trattamento conformemente all'articolo 6, paragrafo 1, lettera a), o all'articolo 9, paragrafo 2, lettera a), e se non sussiste altro fondamento giuridico per il trattamento; c) l'interessato si oppone al trattamento ai sensi dell'articolo 21, paragrafo 1, e non sussiste alcun motivo legittimo prevalente per procedere al trattamento, oppure si oppone al trattamento ai sensi dell'articolo 21, paragrafo 2; d) i dati personali sono stati trattati illecitamente; e) i dati personali devono essere cancellati per adempiere un obbligo legale previsto dal diritto dell'Unione o dello Stato membro cui è soggetto il titolare del trattamento; f) i dati personali sono stati raccolti relativamente all'offerta di servizi della società dell'informazione di cui all'articolo 8, paragrafo 1.</w:t>
      </w:r>
    </w:p>
    <w:p w:rsidR="59DA77B9" w:rsidP="2ED41990" w:rsidRDefault="59DA77B9" w14:paraId="25A4568B" w14:textId="43E3DD7F">
      <w:pPr>
        <w:pStyle w:val="ListParagraph"/>
        <w:spacing w:before="0" w:beforeAutospacing="off" w:after="0" w:afterAutospacing="off" w:line="360" w:lineRule="auto"/>
        <w:ind w:left="720" w:firstLine="567"/>
        <w:jc w:val="both"/>
        <w:rPr>
          <w:i w:val="1"/>
          <w:iCs w:val="1"/>
          <w:noProof w:val="0"/>
          <w:lang w:val="it-IT"/>
        </w:rPr>
      </w:pPr>
      <w:r w:rsidRPr="2ED41990" w:rsidR="59DA77B9">
        <w:rPr>
          <w:rFonts w:ascii="Times New Roman" w:hAnsi="Times New Roman"/>
          <w:i w:val="1"/>
          <w:iCs w:val="1"/>
          <w:noProof w:val="0"/>
          <w:sz w:val="24"/>
          <w:lang w:val="it-IT"/>
        </w:rPr>
        <w:t>Il titolare del trattamento, se ha reso pubblici dati personali ed è obbligato, ai sensi del paragrafo 1, a cancellarli, tenendo conto della tecnologia disponibile e dei costi di attuazione adotta le misure ragionevoli, anche tecniche, per informare i titolari del trattamento che stanno trattando i dati personali della richiesta dell'interessato di cancellare qualsiasi link, copia o riproduzione dei suoi dati personali.</w:t>
      </w:r>
    </w:p>
    <w:p w:rsidR="59DA77B9" w:rsidP="2ED41990" w:rsidRDefault="59DA77B9" w14:paraId="02D89CEC" w14:textId="3699FB35">
      <w:pPr>
        <w:pStyle w:val="ListParagraph"/>
        <w:spacing w:before="0" w:beforeAutospacing="off" w:after="0" w:afterAutospacing="off" w:line="360" w:lineRule="auto"/>
        <w:ind w:left="720" w:firstLine="567"/>
        <w:jc w:val="both"/>
        <w:rPr>
          <w:i w:val="1"/>
          <w:iCs w:val="1"/>
          <w:noProof w:val="0"/>
          <w:lang w:val="it-IT"/>
        </w:rPr>
      </w:pPr>
      <w:r w:rsidRPr="2ED41990" w:rsidR="59DA77B9">
        <w:rPr>
          <w:rFonts w:ascii="Times New Roman" w:hAnsi="Times New Roman"/>
          <w:i w:val="1"/>
          <w:iCs w:val="1"/>
          <w:noProof w:val="0"/>
          <w:sz w:val="24"/>
          <w:lang w:val="it-IT"/>
        </w:rPr>
        <w:t>I paragrafi 1 e 2 non si applicano nella misura in cui il trattamento sia necessario:</w:t>
      </w:r>
    </w:p>
    <w:p w:rsidR="59DA77B9" w:rsidP="2ED41990" w:rsidRDefault="59DA77B9" w14:paraId="5D93E5EB" w14:textId="1B9A8C9D">
      <w:pPr>
        <w:pStyle w:val="ListParagraph"/>
        <w:spacing w:before="0" w:beforeAutospacing="off" w:after="0" w:afterAutospacing="off" w:line="360" w:lineRule="auto"/>
        <w:ind w:left="720" w:firstLine="567"/>
        <w:jc w:val="both"/>
        <w:rPr>
          <w:i w:val="1"/>
          <w:iCs w:val="1"/>
          <w:noProof w:val="0"/>
          <w:lang w:val="it-IT"/>
        </w:rPr>
      </w:pPr>
      <w:r w:rsidRPr="2ED41990" w:rsidR="59DA77B9">
        <w:rPr>
          <w:rFonts w:ascii="Times New Roman" w:hAnsi="Times New Roman"/>
          <w:i w:val="1"/>
          <w:iCs w:val="1"/>
          <w:noProof w:val="0"/>
          <w:sz w:val="24"/>
          <w:lang w:val="it-IT"/>
        </w:rPr>
        <w:t>a) per l'esercizio del diritto alla libertà di espressione e di informazione; b) per l'adempimento di un obbligo legale che richieda il trattamento previsto dal diritto dell'Unione o dello Stato membro cui è soggetto il titolare del trattamento o per l'esecuzione di un compito svolto nel pubblico interesse oppure nell'esercizio di pubblici poteri di cui è investito il titolare del trattamento; c) per motivi di interesse pubblico nel settore della sanità pubblica in conformità dell'articolo 9, paragrafo 2, lettere h) e i), e dell'articolo 9, paragrafo 3; d) a fini di archiviazione nel pubblico interesse, di ricerca scientifica o storica o a fini statistici conformemente all'articolo 89, paragrafo 1, nella misura in cui il diritto di cui al paragrafo 1 rischi di rendere impossibile o di pregiudicare gravemente il conseguimento degli obiettivi di tale trattamento; o e) per l'accertamento, l'esercizio o la difesa di un diritto in sede giudiziaria.”</w:t>
      </w:r>
      <w:r w:rsidRPr="2ED41990" w:rsidR="61811D56">
        <w:rPr>
          <w:rFonts w:ascii="Times New Roman" w:hAnsi="Times New Roman"/>
          <w:i w:val="1"/>
          <w:iCs w:val="1"/>
          <w:noProof w:val="0"/>
          <w:sz w:val="24"/>
          <w:lang w:val="it-IT"/>
        </w:rPr>
        <w:t>)</w:t>
      </w:r>
    </w:p>
    <w:p w:rsidR="2ED41990" w:rsidP="2ED41990" w:rsidRDefault="2ED41990" w14:paraId="64CD7EED" w14:textId="4A1017FE">
      <w:pPr>
        <w:pStyle w:val="ListParagraph"/>
        <w:spacing w:before="0" w:beforeAutospacing="off" w:line="360" w:lineRule="auto"/>
        <w:ind w:left="720" w:firstLine="0"/>
        <w:rPr>
          <w:rFonts w:ascii="Times New Roman" w:hAnsi="Times New Roman" w:eastAsia="Times New Roman" w:cs="Times New Roman"/>
          <w:b w:val="0"/>
          <w:bCs w:val="0"/>
          <w:i w:val="1"/>
          <w:iCs w:val="1"/>
        </w:rPr>
      </w:pPr>
    </w:p>
    <w:p w:rsidR="78FFB2E4" w:rsidP="2ED41990" w:rsidRDefault="78FFB2E4" w14:paraId="2996FD38" w14:textId="20B149F4">
      <w:pPr>
        <w:pStyle w:val="Normal"/>
        <w:spacing w:before="0" w:beforeAutospacing="off" w:line="360" w:lineRule="auto"/>
        <w:ind w:left="0" w:firstLine="567"/>
        <w:jc w:val="both"/>
      </w:pPr>
      <w:r w:rsidRPr="2ED41990" w:rsidR="78FFB2E4">
        <w:rPr>
          <w:rFonts w:ascii="Times New Roman" w:hAnsi="Times New Roman" w:eastAsia="Times New Roman" w:cs="Times New Roman"/>
          <w:b w:val="0"/>
          <w:bCs w:val="0"/>
          <w:sz w:val="24"/>
        </w:rPr>
        <w:t>Le DLT, all'opposto, sono progettate per rendere l'alterazione dei record deliberatamente onerosa e tecnicamente improbabile, al fine di blindare l'integrità del registro e consolidare il fattore fiduciario all'interno della rete</w:t>
      </w:r>
      <w:r w:rsidRPr="2ED41990">
        <w:rPr>
          <w:rStyle w:val="FootnoteReference"/>
          <w:rFonts w:ascii="Times New Roman" w:hAnsi="Times New Roman" w:eastAsia="Times New Roman" w:cs="Times New Roman"/>
          <w:b w:val="0"/>
          <w:bCs w:val="0"/>
          <w:sz w:val="24"/>
        </w:rPr>
        <w:footnoteReference w:id="7455"/>
      </w:r>
      <w:r w:rsidRPr="2ED41990" w:rsidR="78FFB2E4">
        <w:rPr>
          <w:rFonts w:ascii="Times New Roman" w:hAnsi="Times New Roman" w:eastAsia="Times New Roman" w:cs="Times New Roman"/>
          <w:b w:val="0"/>
          <w:bCs w:val="0"/>
          <w:sz w:val="24"/>
        </w:rPr>
        <w:t xml:space="preserve">. Questo scontro tra la fissità del dato crittografico e la fluidità imposta dal diritto positivo si scontra, peraltro, con l'incertezza interpretativa che avvolge la stessa nozione di "cancellazione" ex art. 17 GDPR, non risultandone ancora chiari i confini applicativi sul piano tecnico-giuridico. Le ricadute di tale antinomia si riverberano su molteplici profili operativi. Sussiste </w:t>
      </w:r>
      <w:r w:rsidRPr="2ED41990" w:rsidR="429CAFC0">
        <w:rPr>
          <w:rFonts w:ascii="Times New Roman" w:hAnsi="Times New Roman" w:eastAsia="Times New Roman" w:cs="Times New Roman"/>
          <w:b w:val="0"/>
          <w:bCs w:val="0"/>
          <w:sz w:val="24"/>
        </w:rPr>
        <w:t xml:space="preserve">infatti </w:t>
      </w:r>
      <w:r w:rsidRPr="2ED41990" w:rsidR="78FFB2E4">
        <w:rPr>
          <w:rFonts w:ascii="Times New Roman" w:hAnsi="Times New Roman" w:eastAsia="Times New Roman" w:cs="Times New Roman"/>
          <w:b w:val="0"/>
          <w:bCs w:val="0"/>
          <w:sz w:val="24"/>
        </w:rPr>
        <w:t xml:space="preserve">un vivace dibattito circa la riconducibilità dei dati transazionali e delle chiavi pubbliche nella nozione di dato </w:t>
      </w:r>
      <w:r w:rsidRPr="2ED41990" w:rsidR="78FFB2E4">
        <w:rPr>
          <w:rFonts w:ascii="Times New Roman" w:hAnsi="Times New Roman" w:eastAsia="Times New Roman" w:cs="Times New Roman"/>
          <w:b w:val="0"/>
          <w:bCs w:val="0"/>
          <w:sz w:val="24"/>
        </w:rPr>
        <w:t xml:space="preserve">personale. Nello specifico, si dubita se l'applicazione di algoritmi di cifratura o l'estrazione di stringhe di </w:t>
      </w:r>
      <w:r w:rsidRPr="2ED41990" w:rsidR="78FFB2E4">
        <w:rPr>
          <w:rFonts w:ascii="Times New Roman" w:hAnsi="Times New Roman" w:eastAsia="Times New Roman" w:cs="Times New Roman"/>
          <w:b w:val="0"/>
          <w:bCs w:val="0"/>
          <w:sz w:val="24"/>
        </w:rPr>
        <w:t>hash</w:t>
      </w:r>
      <w:r w:rsidRPr="2ED41990" w:rsidR="78FFB2E4">
        <w:rPr>
          <w:rFonts w:ascii="Times New Roman" w:hAnsi="Times New Roman" w:eastAsia="Times New Roman" w:cs="Times New Roman"/>
          <w:b w:val="0"/>
          <w:bCs w:val="0"/>
          <w:sz w:val="24"/>
        </w:rPr>
        <w:t xml:space="preserve"> siano sufficienti a recidere il legame identificativo con l'individuo. L'orientamento maggioritario propende per la qualificazione di tali elementi in termini di dati pseudonimizzati, con la conseguente e piena attrazione del fenomeno nell'alveo applicativo della tutela europea, evidenziando la complessità nel determinare la soglia minima per un'efficace e irreversibile anonimizzazione</w:t>
      </w:r>
      <w:r w:rsidRPr="2ED41990">
        <w:rPr>
          <w:rStyle w:val="FootnoteReference"/>
          <w:rFonts w:ascii="Times New Roman" w:hAnsi="Times New Roman" w:eastAsia="Times New Roman" w:cs="Times New Roman"/>
          <w:b w:val="0"/>
          <w:bCs w:val="0"/>
          <w:sz w:val="24"/>
        </w:rPr>
        <w:footnoteReference w:id="18091"/>
      </w:r>
      <w:r w:rsidRPr="2ED41990" w:rsidR="78FFB2E4">
        <w:rPr>
          <w:rFonts w:ascii="Times New Roman" w:hAnsi="Times New Roman" w:eastAsia="Times New Roman" w:cs="Times New Roman"/>
          <w:b w:val="0"/>
          <w:bCs w:val="0"/>
          <w:sz w:val="24"/>
        </w:rPr>
        <w:t>. Analoghe difficoltà interpretative si registrano in ordine ai canoni fondamentali di minimizzazione dei dati e di limitazione delle finalità. Se il GDPR esige che i trattamenti siano ridotti allo stretto necessario e vincolati a scopi predeterminati e successivi a una previa informativa, la struttura stessa dei registri condivisi — configurati come database incrementali (</w:t>
      </w:r>
      <w:r w:rsidRPr="2ED41990" w:rsidR="78FFB2E4">
        <w:rPr>
          <w:rFonts w:ascii="Times New Roman" w:hAnsi="Times New Roman" w:eastAsia="Times New Roman" w:cs="Times New Roman"/>
          <w:b w:val="0"/>
          <w:bCs w:val="0"/>
          <w:sz w:val="24"/>
        </w:rPr>
        <w:t>append-only</w:t>
      </w:r>
      <w:r w:rsidRPr="2ED41990" w:rsidR="78FFB2E4">
        <w:rPr>
          <w:rFonts w:ascii="Times New Roman" w:hAnsi="Times New Roman" w:eastAsia="Times New Roman" w:cs="Times New Roman"/>
          <w:b w:val="0"/>
          <w:bCs w:val="0"/>
          <w:sz w:val="24"/>
        </w:rPr>
        <w:t>) e capillarmente replicati su una moltitudine di terminali — si pone in ontologica frizione con tali precetti. Non appare chiaro, inoltre, se la finalità del trattamento debba esaurirsi nell'atto transazionale genetico o se si estenda all'attività conservativa e di memorizzazione permanente operata dalla catena di blocchi</w:t>
      </w:r>
      <w:r w:rsidRPr="2ED41990">
        <w:rPr>
          <w:rStyle w:val="FootnoteReference"/>
          <w:rFonts w:ascii="Times New Roman" w:hAnsi="Times New Roman" w:eastAsia="Times New Roman" w:cs="Times New Roman"/>
          <w:b w:val="0"/>
          <w:bCs w:val="0"/>
          <w:sz w:val="24"/>
        </w:rPr>
        <w:footnoteReference w:id="16078"/>
      </w:r>
      <w:r w:rsidRPr="2ED41990" w:rsidR="78FFB2E4">
        <w:rPr>
          <w:rFonts w:ascii="Times New Roman" w:hAnsi="Times New Roman" w:eastAsia="Times New Roman" w:cs="Times New Roman"/>
          <w:b w:val="0"/>
          <w:bCs w:val="0"/>
          <w:sz w:val="24"/>
        </w:rPr>
        <w:t xml:space="preserve">. </w:t>
      </w:r>
      <w:r w:rsidRPr="2ED41990" w:rsidR="77A04C67">
        <w:rPr>
          <w:rFonts w:ascii="Times New Roman" w:hAnsi="Times New Roman" w:eastAsia="Times New Roman" w:cs="Times New Roman"/>
          <w:b w:val="0"/>
          <w:bCs w:val="0"/>
          <w:sz w:val="24"/>
        </w:rPr>
        <w:t>La massima frizione concettuale investe il coordinamento tra il diritto alla cancellazione (il c.d. diritto all'oblio) e l'immutabilità della blockchain. L'impossibilità di procedere a rettifiche o eliminazioni unilaterali dei blocchi contrasta apertamente con le prerogative riconosciute agli artt. 16 e 17 del Regolamento, delineando una situazione di oggettiva incertezza per gli operatori economici e i progettisti software. In questo scenario, un peculiare profilo di criticità concerne lo statuto giuridico dei nodi validatori (</w:t>
      </w:r>
      <w:r w:rsidRPr="2ED41990" w:rsidR="77A04C67">
        <w:rPr>
          <w:rFonts w:ascii="Times New Roman" w:hAnsi="Times New Roman" w:eastAsia="Times New Roman" w:cs="Times New Roman"/>
          <w:b w:val="0"/>
          <w:bCs w:val="0"/>
          <w:sz w:val="24"/>
        </w:rPr>
        <w:t>miners</w:t>
      </w:r>
      <w:r w:rsidRPr="2ED41990" w:rsidR="77A04C67">
        <w:rPr>
          <w:rFonts w:ascii="Times New Roman" w:hAnsi="Times New Roman" w:eastAsia="Times New Roman" w:cs="Times New Roman"/>
          <w:b w:val="0"/>
          <w:bCs w:val="0"/>
          <w:sz w:val="24"/>
        </w:rPr>
        <w:t xml:space="preserve">). Data l'autonomia manifestata nell'elaborazione e nell'inserimento dei blocchi transazionali, autorevoli documenti istituzionali — tra cui i report del Parlamento Europeo e i pareri del pregresso Gruppo di Lavoro Articolo 29 — hanno ipotizzato la configurabilità in capo ai </w:t>
      </w:r>
      <w:r w:rsidRPr="2ED41990" w:rsidR="77A04C67">
        <w:rPr>
          <w:rFonts w:ascii="Times New Roman" w:hAnsi="Times New Roman" w:eastAsia="Times New Roman" w:cs="Times New Roman"/>
          <w:b w:val="0"/>
          <w:bCs w:val="0"/>
          <w:sz w:val="24"/>
        </w:rPr>
        <w:t>miners</w:t>
      </w:r>
      <w:r w:rsidRPr="2ED41990" w:rsidR="77A04C67">
        <w:rPr>
          <w:rFonts w:ascii="Times New Roman" w:hAnsi="Times New Roman" w:eastAsia="Times New Roman" w:cs="Times New Roman"/>
          <w:b w:val="0"/>
          <w:bCs w:val="0"/>
          <w:sz w:val="24"/>
        </w:rPr>
        <w:t xml:space="preserve"> della qualifica di titolari autonomi del trattamento (data controllers). Di diverso avviso si mostra invece la Commission </w:t>
      </w:r>
      <w:r w:rsidRPr="2ED41990" w:rsidR="77A04C67">
        <w:rPr>
          <w:rFonts w:ascii="Times New Roman" w:hAnsi="Times New Roman" w:eastAsia="Times New Roman" w:cs="Times New Roman"/>
          <w:b w:val="0"/>
          <w:bCs w:val="0"/>
          <w:sz w:val="24"/>
        </w:rPr>
        <w:t>Nationale</w:t>
      </w:r>
      <w:r w:rsidRPr="2ED41990" w:rsidR="77A04C67">
        <w:rPr>
          <w:rFonts w:ascii="Times New Roman" w:hAnsi="Times New Roman" w:eastAsia="Times New Roman" w:cs="Times New Roman"/>
          <w:b w:val="0"/>
          <w:bCs w:val="0"/>
          <w:sz w:val="24"/>
        </w:rPr>
        <w:t xml:space="preserve"> de l'</w:t>
      </w:r>
      <w:r w:rsidRPr="2ED41990" w:rsidR="77A04C67">
        <w:rPr>
          <w:rFonts w:ascii="Times New Roman" w:hAnsi="Times New Roman" w:eastAsia="Times New Roman" w:cs="Times New Roman"/>
          <w:b w:val="0"/>
          <w:bCs w:val="0"/>
          <w:sz w:val="24"/>
        </w:rPr>
        <w:t>Informatique</w:t>
      </w:r>
      <w:r w:rsidRPr="2ED41990" w:rsidR="77A04C67">
        <w:rPr>
          <w:rFonts w:ascii="Times New Roman" w:hAnsi="Times New Roman" w:eastAsia="Times New Roman" w:cs="Times New Roman"/>
          <w:b w:val="0"/>
          <w:bCs w:val="0"/>
          <w:sz w:val="24"/>
        </w:rPr>
        <w:t xml:space="preserve"> et </w:t>
      </w:r>
      <w:r w:rsidRPr="2ED41990" w:rsidR="77A04C67">
        <w:rPr>
          <w:rFonts w:ascii="Times New Roman" w:hAnsi="Times New Roman" w:eastAsia="Times New Roman" w:cs="Times New Roman"/>
          <w:b w:val="0"/>
          <w:bCs w:val="0"/>
          <w:sz w:val="24"/>
        </w:rPr>
        <w:t>des</w:t>
      </w:r>
      <w:r w:rsidRPr="2ED41990" w:rsidR="77A04C67">
        <w:rPr>
          <w:rFonts w:ascii="Times New Roman" w:hAnsi="Times New Roman" w:eastAsia="Times New Roman" w:cs="Times New Roman"/>
          <w:b w:val="0"/>
          <w:bCs w:val="0"/>
          <w:sz w:val="24"/>
        </w:rPr>
        <w:t xml:space="preserve"> Libertés (CNIL) francese. L'autorità d'oltralpe esclude che il mero inserimento di un record nella blockchain possa fondare una titolarità del trattamento, propendendo piuttosto per la qualificazione del validatore in termini di responsabile esterno (data processor) ai sensi dell'art. 4 GDPR, limitatamente alle transazioni commerciali su reti pubbliche</w:t>
      </w:r>
      <w:r w:rsidRPr="794B3601" w:rsidR="58AD7A6F">
        <w:rPr>
          <w:rFonts w:ascii="Times New Roman" w:hAnsi="Times New Roman" w:eastAsia="Times New Roman" w:cs="Times New Roman"/>
          <w:b w:val="0"/>
          <w:bCs w:val="0"/>
          <w:sz w:val="24"/>
        </w:rPr>
        <w:t xml:space="preserve"> </w:t>
      </w:r>
      <w:r w:rsidRPr="794B3601">
        <w:rPr>
          <w:rStyle w:val="FootnoteReference"/>
          <w:rFonts w:ascii="Times New Roman" w:hAnsi="Times New Roman" w:eastAsia="Times New Roman" w:cs="Times New Roman"/>
          <w:b w:val="0"/>
          <w:bCs w:val="0"/>
          <w:sz w:val="24"/>
        </w:rPr>
        <w:footnoteReference w:id="17795"/>
      </w:r>
      <w:r w:rsidRPr="794B3601" w:rsidR="77A04C67">
        <w:rPr>
          <w:rFonts w:ascii="Times New Roman" w:hAnsi="Times New Roman" w:eastAsia="Times New Roman" w:cs="Times New Roman"/>
          <w:b w:val="0"/>
          <w:bCs w:val="0"/>
          <w:sz w:val="24"/>
        </w:rPr>
        <w:t>. Tale impostazione sconta tuttavia una fragilità logica rispetto alle categorie civilistiche del diritto europeo, giacché la figura del responsabile postula necessariamente l'esistenza di un formale mandato negoziale conferito da un titolare, elemento strutturalmente assente nelle dinamiche disintermediate dei protocolli pubblici</w:t>
      </w:r>
      <w:r w:rsidRPr="794B3601">
        <w:rPr>
          <w:rStyle w:val="FootnoteReference"/>
          <w:rFonts w:ascii="Times New Roman" w:hAnsi="Times New Roman" w:eastAsia="Times New Roman" w:cs="Times New Roman"/>
          <w:b w:val="0"/>
          <w:bCs w:val="0"/>
          <w:sz w:val="24"/>
        </w:rPr>
        <w:footnoteReference w:id="12321"/>
      </w:r>
      <w:r w:rsidRPr="794B3601" w:rsidR="77A04C67">
        <w:rPr>
          <w:rFonts w:ascii="Times New Roman" w:hAnsi="Times New Roman" w:eastAsia="Times New Roman" w:cs="Times New Roman"/>
          <w:b w:val="0"/>
          <w:bCs w:val="0"/>
          <w:sz w:val="24"/>
        </w:rPr>
        <w:t xml:space="preserve">. Nonostante i profili di frizione analizzati, le tecnologie decentralizzate non devono essere lette esclusivamente come un fattore di minaccia per la riservatezza, potendo al contrario assurgere a efficaci strumenti di governance dei flussi informativi, idonei a perseguire gli scopi di fondo della normativa eurounitaria. L'architettura DLT può essere modellata per restituire all'interessato un controllo esclusivo e orizzontale sulle proprie informazioni, escludendo la necessità di ricorrere a intermediari centralizzati e garantendo una tracciabilità trasparente e automatizzata degli accessi mediante l'impiego di smart </w:t>
      </w:r>
      <w:r w:rsidRPr="794B3601" w:rsidR="77A04C67">
        <w:rPr>
          <w:rFonts w:ascii="Times New Roman" w:hAnsi="Times New Roman" w:eastAsia="Times New Roman" w:cs="Times New Roman"/>
          <w:b w:val="0"/>
          <w:bCs w:val="0"/>
          <w:sz w:val="24"/>
        </w:rPr>
        <w:t>contract</w:t>
      </w:r>
      <w:r w:rsidRPr="794B3601" w:rsidR="77A04C67">
        <w:rPr>
          <w:rFonts w:ascii="Times New Roman" w:hAnsi="Times New Roman" w:eastAsia="Times New Roman" w:cs="Times New Roman"/>
          <w:b w:val="0"/>
          <w:bCs w:val="0"/>
          <w:sz w:val="24"/>
        </w:rPr>
        <w:t>. L'introduzione di meccanismi di incentivo cripto-economico potrebbe inoltre rimodulare l'economia della condivisione dei dati, valorizzando le prerogative individuali e potenziando il diritto di accesso ex art. 15 GDPR</w:t>
      </w:r>
      <w:r w:rsidRPr="794B3601">
        <w:rPr>
          <w:rStyle w:val="FootnoteReference"/>
          <w:rFonts w:ascii="Times New Roman" w:hAnsi="Times New Roman" w:eastAsia="Times New Roman" w:cs="Times New Roman"/>
          <w:b w:val="0"/>
          <w:bCs w:val="0"/>
          <w:sz w:val="24"/>
        </w:rPr>
        <w:footnoteReference w:id="26591"/>
      </w:r>
      <w:r w:rsidRPr="794B3601" w:rsidR="77A04C67">
        <w:rPr>
          <w:rFonts w:ascii="Times New Roman" w:hAnsi="Times New Roman" w:eastAsia="Times New Roman" w:cs="Times New Roman"/>
          <w:b w:val="0"/>
          <w:bCs w:val="0"/>
          <w:sz w:val="24"/>
        </w:rPr>
        <w:t xml:space="preserve">. I registri distribuiti si rivelano, inoltre, alleati strategici nella verifica del rispetto dei vincoli di finalità e nell'immediata individuazione di ipotesi di frode o violazioni della sicurezza (data </w:t>
      </w:r>
      <w:r w:rsidRPr="794B3601" w:rsidR="77A04C67">
        <w:rPr>
          <w:rFonts w:ascii="Times New Roman" w:hAnsi="Times New Roman" w:eastAsia="Times New Roman" w:cs="Times New Roman"/>
          <w:b w:val="0"/>
          <w:bCs w:val="0"/>
          <w:sz w:val="24"/>
        </w:rPr>
        <w:t>breach</w:t>
      </w:r>
      <w:r w:rsidRPr="794B3601" w:rsidR="77A04C67">
        <w:rPr>
          <w:rFonts w:ascii="Times New Roman" w:hAnsi="Times New Roman" w:eastAsia="Times New Roman" w:cs="Times New Roman"/>
          <w:b w:val="0"/>
          <w:bCs w:val="0"/>
          <w:sz w:val="24"/>
        </w:rPr>
        <w:t xml:space="preserve">). </w:t>
      </w:r>
      <w:r w:rsidRPr="794B3601" w:rsidR="0341599E">
        <w:rPr>
          <w:rFonts w:ascii="Times New Roman" w:hAnsi="Times New Roman" w:eastAsia="Times New Roman" w:cs="Times New Roman"/>
          <w:b w:val="0"/>
          <w:bCs w:val="0"/>
          <w:sz w:val="24"/>
        </w:rPr>
        <w:t>L'impellente necessità di addivenire a una composizione armonica e a una costante mediazione tra i presìdi posti a salvaguardia della riservatezza e le spinte centrifughe imposte dall'innovazione tecnologica non si esaurisce in un mero conflitto di natura tecnica, ma trova un solido e invalicabile ancoraggio dogmatico nei medesimi princìpi di rango costituzionale che governano, a livello apicale, le politiche strategiche e le scelte macroeconomiche dell'Unione Europea. Il panorama giuridico sovranazionale si trova, infatti, ad affrontare un delicato bilanciamento assiologico, all'interno del quale i diversi valori in gioco devono essere coordinati secondo i canoni della proporzionalità e della reciproca integrazione, evitando che l'ipertrofia di un diritto possa determinare il totale sacrificio di un interesse concorrente altrettanto legittimo</w:t>
      </w:r>
      <w:r w:rsidRPr="794B3601">
        <w:rPr>
          <w:rStyle w:val="FootnoteReference"/>
          <w:rFonts w:ascii="Times New Roman" w:hAnsi="Times New Roman" w:eastAsia="Times New Roman" w:cs="Times New Roman"/>
          <w:b w:val="0"/>
          <w:bCs w:val="0"/>
          <w:sz w:val="24"/>
        </w:rPr>
        <w:footnoteReference w:id="10172"/>
      </w:r>
      <w:r w:rsidRPr="794B3601" w:rsidR="0341599E">
        <w:rPr>
          <w:rFonts w:ascii="Times New Roman" w:hAnsi="Times New Roman" w:eastAsia="Times New Roman" w:cs="Times New Roman"/>
          <w:b w:val="0"/>
          <w:bCs w:val="0"/>
          <w:sz w:val="24"/>
        </w:rPr>
        <w:t xml:space="preserve">. </w:t>
      </w:r>
      <w:r w:rsidRPr="794B3601" w:rsidR="638365A7">
        <w:rPr>
          <w:rFonts w:ascii="Times New Roman" w:hAnsi="Times New Roman" w:eastAsia="Times New Roman" w:cs="Times New Roman"/>
          <w:b w:val="0"/>
          <w:bCs w:val="0"/>
          <w:sz w:val="24"/>
        </w:rPr>
        <w:t>Sotto un primo profilo, l'architettura dei diritti fondamentali dell'ordinamento eurounitario configura la protezione delle informazioni afferenti alla sfera privata come una prerogativa inderogabile e indisponibile della persona umana. Tale diritto riceve una solenne e duplice consacrazione positiva: da un lato, sul piano delle libertà fondamentali, esso è presidiato dall'articolo 8 della Carta dei Diritti Fondamentali dell'Unione Europea (Carta di Nizza), che eleva lo statuto dei dati personali a rango di diritto autonomo e distinto rispetto alla tutela della vita privata in senso classico; dall'altro, sotto il profilo del funzionamento istituzionale e del mercato interno, trova un vincolo simmetrico nel precetto di cui all'articolo 16, paragrafo 1, del Trattato sul Funzionamento dell'Unione Europea (TFUE), il quale attribuisce a ogni individuo il potere di controllo sui flussi informativi che lo riguardano direttamente o indirettamente</w:t>
      </w:r>
      <w:r w:rsidRPr="794B3601">
        <w:rPr>
          <w:rStyle w:val="FootnoteReference"/>
          <w:rFonts w:ascii="Times New Roman" w:hAnsi="Times New Roman" w:eastAsia="Times New Roman" w:cs="Times New Roman"/>
          <w:b w:val="0"/>
          <w:bCs w:val="0"/>
          <w:sz w:val="24"/>
        </w:rPr>
        <w:footnoteReference w:id="29493"/>
      </w:r>
      <w:r w:rsidRPr="794B3601" w:rsidR="638365A7">
        <w:rPr>
          <w:rFonts w:ascii="Times New Roman" w:hAnsi="Times New Roman" w:eastAsia="Times New Roman" w:cs="Times New Roman"/>
          <w:b w:val="0"/>
          <w:bCs w:val="0"/>
          <w:sz w:val="24"/>
        </w:rPr>
        <w:t xml:space="preserve">. </w:t>
      </w:r>
      <w:r w:rsidRPr="794B3601" w:rsidR="0241A568">
        <w:rPr>
          <w:rFonts w:ascii="Times New Roman" w:hAnsi="Times New Roman" w:eastAsia="Times New Roman" w:cs="Times New Roman"/>
          <w:b w:val="0"/>
          <w:bCs w:val="0"/>
          <w:sz w:val="24"/>
        </w:rPr>
        <w:t>Specularmente, tuttavia, il medesimo ordinamento sovranazionale individua nello sviluppo scientifico, nell'avanzamento tecnologico e nella costante modernizzazione delle infrastrutture digitali un obiettivo cardine e irrinunciabile per preservare e incrementare la competitività del mercato unico europeo nel contesto geopolitico globale</w:t>
      </w:r>
      <w:r w:rsidRPr="794B3601">
        <w:rPr>
          <w:rStyle w:val="FootnoteReference"/>
          <w:rFonts w:ascii="Times New Roman" w:hAnsi="Times New Roman" w:eastAsia="Times New Roman" w:cs="Times New Roman"/>
          <w:b w:val="0"/>
          <w:bCs w:val="0"/>
          <w:sz w:val="24"/>
        </w:rPr>
        <w:footnoteReference w:id="18317"/>
      </w:r>
      <w:r w:rsidRPr="794B3601" w:rsidR="0241A568">
        <w:rPr>
          <w:rFonts w:ascii="Times New Roman" w:hAnsi="Times New Roman" w:eastAsia="Times New Roman" w:cs="Times New Roman"/>
          <w:b w:val="0"/>
          <w:bCs w:val="0"/>
          <w:sz w:val="24"/>
        </w:rPr>
        <w:t>. La ratio di tale orientamento strategico emerge con nitidezza dal dettato normativo dell'articolo 173 del TFUE, il quale declina un vero e proprio obbligo programmatico in capo all'Unione e agli Stati membri, vincolandoli a cooperare attivamente al fine di promuovere un ecosistema industriale favorevole all'iniziativa economica, all'innovazione e allo sfruttamento ottimale del potenziale industriale delle politiche di ricerca</w:t>
      </w:r>
      <w:r w:rsidRPr="794B3601">
        <w:rPr>
          <w:rStyle w:val="FootnoteReference"/>
          <w:rFonts w:ascii="Times New Roman" w:hAnsi="Times New Roman" w:eastAsia="Times New Roman" w:cs="Times New Roman"/>
          <w:b w:val="0"/>
          <w:bCs w:val="0"/>
          <w:sz w:val="24"/>
        </w:rPr>
        <w:footnoteReference w:id="23214"/>
      </w:r>
      <w:r w:rsidRPr="794B3601" w:rsidR="0241A568">
        <w:rPr>
          <w:rFonts w:ascii="Times New Roman" w:hAnsi="Times New Roman" w:eastAsia="Times New Roman" w:cs="Times New Roman"/>
          <w:b w:val="0"/>
          <w:bCs w:val="0"/>
          <w:sz w:val="24"/>
        </w:rPr>
        <w:t xml:space="preserve">. </w:t>
      </w:r>
      <w:r w:rsidRPr="794B3601" w:rsidR="3AACF894">
        <w:rPr>
          <w:rFonts w:ascii="Times New Roman" w:hAnsi="Times New Roman" w:eastAsia="Times New Roman" w:cs="Times New Roman"/>
          <w:b w:val="0"/>
          <w:bCs w:val="0"/>
          <w:sz w:val="24"/>
        </w:rPr>
        <w:t>La sfida contemporanea che investe il giurista e il legislatore europeo impone, pertanto, l'abbandono di rigide posture manichee a favore di un'opera di bilanciamento proporzionato e ragionevole tra queste opposte istanze di matrice costituzionale. In quest'ottica interpretativa, i registri distribuiti e gli strumenti crittografici non devono essere aprioristicamente demonizzati come intrinseci fattori di minaccia per le tutele della personalità. Al contrario, se opportunamente governate e modellate secondo i precetti della neutralità tecnologica, le soluzioni decentralizzate si dimostrano capaci di colmare quel deficit fiduciario e quella vulnerabilità strutturale che storicamente affliggono le reti centralizzate</w:t>
      </w:r>
      <w:r w:rsidRPr="794B3601">
        <w:rPr>
          <w:rStyle w:val="FootnoteReference"/>
          <w:rFonts w:ascii="Times New Roman" w:hAnsi="Times New Roman" w:eastAsia="Times New Roman" w:cs="Times New Roman"/>
          <w:b w:val="0"/>
          <w:bCs w:val="0"/>
          <w:sz w:val="24"/>
        </w:rPr>
        <w:footnoteReference w:id="5833"/>
      </w:r>
      <w:r w:rsidRPr="794B3601" w:rsidR="3AACF894">
        <w:rPr>
          <w:rFonts w:ascii="Times New Roman" w:hAnsi="Times New Roman" w:eastAsia="Times New Roman" w:cs="Times New Roman"/>
          <w:b w:val="0"/>
          <w:bCs w:val="0"/>
          <w:sz w:val="24"/>
        </w:rPr>
        <w:t xml:space="preserve">. Attraverso l'implementazione di paradigmi avanzati di autenticazione protetta, di asseverazione matematica del dato e di architetture orientate al privacy by design, l'innovazione tecnologica può trasformarsi da elemento di frizione a presidio materiale delle stesse tutele sostanziali, realizzando una convergenza virtuosa che non rinnega, ma anzi valorizza ed </w:t>
      </w:r>
      <w:r w:rsidRPr="794B3601" w:rsidR="3AACF894">
        <w:rPr>
          <w:rFonts w:ascii="Times New Roman" w:hAnsi="Times New Roman" w:eastAsia="Times New Roman" w:cs="Times New Roman"/>
          <w:b w:val="0"/>
          <w:bCs w:val="0"/>
          <w:sz w:val="24"/>
        </w:rPr>
        <w:t>effettivizza</w:t>
      </w:r>
      <w:r w:rsidRPr="794B3601" w:rsidR="3AACF894">
        <w:rPr>
          <w:rFonts w:ascii="Times New Roman" w:hAnsi="Times New Roman" w:eastAsia="Times New Roman" w:cs="Times New Roman"/>
          <w:b w:val="0"/>
          <w:bCs w:val="0"/>
          <w:sz w:val="24"/>
        </w:rPr>
        <w:t>, i precetti e le garanzie dettate dal diritto positivo</w:t>
      </w:r>
      <w:r w:rsidRPr="794B3601">
        <w:rPr>
          <w:rStyle w:val="FootnoteReference"/>
          <w:rFonts w:ascii="Times New Roman" w:hAnsi="Times New Roman" w:eastAsia="Times New Roman" w:cs="Times New Roman"/>
          <w:b w:val="0"/>
          <w:bCs w:val="0"/>
          <w:sz w:val="24"/>
        </w:rPr>
        <w:footnoteReference w:id="14185"/>
      </w:r>
      <w:r w:rsidRPr="794B3601" w:rsidR="3AACF894">
        <w:rPr>
          <w:rFonts w:ascii="Times New Roman" w:hAnsi="Times New Roman" w:eastAsia="Times New Roman" w:cs="Times New Roman"/>
          <w:b w:val="0"/>
          <w:bCs w:val="0"/>
          <w:sz w:val="24"/>
        </w:rPr>
        <w:t>.</w:t>
      </w:r>
    </w:p>
    <w:p w:rsidR="44224BB2" w:rsidP="24DEF490" w:rsidRDefault="44224BB2" w14:paraId="3405AD2F" w14:textId="30C67BC2">
      <w:pPr>
        <w:pStyle w:val="Normal"/>
        <w:spacing w:before="0" w:beforeAutospacing="off" w:line="360" w:lineRule="auto"/>
        <w:ind w:firstLine="0"/>
      </w:pPr>
      <w:r w:rsidRPr="794B3601" w:rsidR="3968B5EB">
        <w:rPr>
          <w:rFonts w:ascii="Times New Roman" w:hAnsi="Times New Roman" w:eastAsia="Times New Roman" w:cs="Times New Roman"/>
          <w:b w:val="1"/>
          <w:bCs w:val="1"/>
        </w:rPr>
        <w:t xml:space="preserve"> </w:t>
      </w:r>
    </w:p>
    <w:p w:rsidR="794B3601" w:rsidP="794B3601" w:rsidRDefault="794B3601" w14:paraId="699624A3" w14:textId="364BEBAA">
      <w:pPr>
        <w:pStyle w:val="Normal"/>
        <w:spacing w:before="0" w:beforeAutospacing="off" w:line="360" w:lineRule="auto"/>
        <w:ind w:firstLine="0"/>
        <w:rPr>
          <w:rFonts w:ascii="Times New Roman" w:hAnsi="Times New Roman" w:eastAsia="Times New Roman" w:cs="Times New Roman"/>
          <w:b w:val="1"/>
          <w:bCs w:val="1"/>
        </w:rPr>
      </w:pPr>
    </w:p>
    <w:p w:rsidR="44224BB2" w:rsidP="24DEF490" w:rsidRDefault="44224BB2" w14:paraId="249EC638" w14:textId="6CB190D2">
      <w:pPr>
        <w:pStyle w:val="Normal"/>
        <w:spacing w:before="0" w:beforeAutospacing="off" w:line="360" w:lineRule="auto"/>
        <w:ind w:firstLine="0"/>
        <w:jc w:val="left"/>
      </w:pPr>
      <w:r w:rsidRPr="46C9EF11" w:rsidR="3968B5EB">
        <w:rPr>
          <w:rFonts w:ascii="Times New Roman" w:hAnsi="Times New Roman" w:eastAsia="Times New Roman" w:cs="Times New Roman"/>
          <w:b/>
          <w:bCs w:val="1"/>
          <w:sz w:val="24"/>
          <w:szCs w:val="24"/>
        </w:rPr>
        <w:t xml:space="preserve">5.2 Il Trilemma della Blockchain </w:t>
      </w:r>
    </w:p>
    <w:p w:rsidR="46C9EF11" w:rsidP="46C9EF11" w:rsidRDefault="46C9EF11" w14:paraId="01855289" w14:textId="5BFE900B">
      <w:pPr>
        <w:pStyle w:val="Normal"/>
        <w:spacing w:before="0" w:beforeAutospacing="off" w:line="360" w:lineRule="auto"/>
        <w:ind w:firstLine="0"/>
        <w:jc w:val="left"/>
        <w:rPr>
          <w:rFonts w:ascii="Times New Roman" w:hAnsi="Times New Roman" w:eastAsia="Times New Roman" w:cs="Times New Roman"/>
          <w:b w:val="1"/>
          <w:bCs w:val="1"/>
          <w:sz w:val="24"/>
          <w:szCs w:val="24"/>
        </w:rPr>
      </w:pPr>
    </w:p>
    <w:p w:rsidR="794B3601" w:rsidP="794B3601" w:rsidRDefault="794B3601" w14:paraId="54AB831D" w14:textId="76812D80">
      <w:pPr>
        <w:pStyle w:val="Normal"/>
        <w:spacing w:before="0" w:beforeAutospacing="off" w:line="360" w:lineRule="auto"/>
        <w:ind w:firstLine="567"/>
        <w:jc w:val="both"/>
      </w:pPr>
      <w:r w:rsidRPr="46C9EF11" w:rsidR="594B376D">
        <w:rPr>
          <w:rFonts w:ascii="Times New Roman" w:hAnsi="Times New Roman" w:eastAsia="Times New Roman" w:cs="Times New Roman"/>
          <w:b w:val="0"/>
          <w:bCs w:val="0"/>
          <w:sz w:val="24"/>
        </w:rPr>
        <w:t xml:space="preserve">Purtroppo, la tecnologia blockchain non rappresenta la panacea di tutti i mali ed essendo una tecnologia molto giovane presenta delle intrinseche </w:t>
      </w:r>
      <w:r w:rsidRPr="46C9EF11" w:rsidR="13CC2FB2">
        <w:rPr>
          <w:rFonts w:ascii="Times New Roman" w:hAnsi="Times New Roman" w:eastAsia="Times New Roman" w:cs="Times New Roman"/>
          <w:b w:val="0"/>
          <w:bCs w:val="0"/>
          <w:sz w:val="24"/>
        </w:rPr>
        <w:t xml:space="preserve">e originarie problematiche come il noto problema del “Trilemma della </w:t>
      </w:r>
      <w:r w:rsidRPr="46C9EF11" w:rsidR="13CC2FB2">
        <w:rPr>
          <w:rFonts w:ascii="Times New Roman" w:hAnsi="Times New Roman" w:eastAsia="Times New Roman" w:cs="Times New Roman"/>
          <w:b w:val="0"/>
          <w:bCs w:val="0"/>
          <w:sz w:val="24"/>
        </w:rPr>
        <w:t>Blochchain</w:t>
      </w:r>
      <w:r w:rsidRPr="46C9EF11" w:rsidR="13CC2FB2">
        <w:rPr>
          <w:rFonts w:ascii="Times New Roman" w:hAnsi="Times New Roman" w:eastAsia="Times New Roman" w:cs="Times New Roman"/>
          <w:b w:val="0"/>
          <w:bCs w:val="0"/>
          <w:sz w:val="24"/>
        </w:rPr>
        <w:t>”.</w:t>
      </w:r>
      <w:r w:rsidRPr="46C9EF11" w:rsidR="14AC42B7">
        <w:rPr>
          <w:rFonts w:ascii="Times New Roman" w:hAnsi="Times New Roman" w:eastAsia="Times New Roman" w:cs="Times New Roman"/>
          <w:b w:val="0"/>
          <w:bCs w:val="0"/>
          <w:sz w:val="24"/>
        </w:rPr>
        <w:t xml:space="preserve"> Il panorama evolutivo delle architetture decentralizzate trova un cruciale snodo teorico nella formulazione del c.d. trilemma della blockchain, formalizzato da Vitalik Buterin. Tale paradigma descrive l'intrinseca asimmetria e le frizioni sistemiche che emergono nel momento in cui si tenti di ottimizzare simultaneamente i tre vettori fondamentali di un registro distribuito: la decentralizzazione, la sicurezza e la scalabilità</w:t>
      </w:r>
      <w:r w:rsidRPr="46C9EF11">
        <w:rPr>
          <w:rStyle w:val="FootnoteReference"/>
          <w:rFonts w:ascii="Times New Roman" w:hAnsi="Times New Roman" w:eastAsia="Times New Roman" w:cs="Times New Roman"/>
          <w:b w:val="0"/>
          <w:bCs w:val="0"/>
          <w:sz w:val="24"/>
        </w:rPr>
        <w:footnoteReference w:id="25110"/>
      </w:r>
      <w:r w:rsidRPr="46C9EF11" w:rsidR="14AC42B7">
        <w:rPr>
          <w:rFonts w:ascii="Times New Roman" w:hAnsi="Times New Roman" w:eastAsia="Times New Roman" w:cs="Times New Roman"/>
          <w:b w:val="0"/>
          <w:bCs w:val="0"/>
          <w:sz w:val="24"/>
        </w:rPr>
        <w:t>. Ciascuna di queste proprietà riveste un ruolo dogmatico indefettibile per la stabilità del network, eppure la governance algoritmica impone una costante e parziale rinuncia a uno di tali fattori per consentire la piena estrinsecazione degli altri due, delineando una complessa geometria delle scelte tecnologiche.</w:t>
      </w:r>
    </w:p>
    <w:p w:rsidR="46C9EF11" w:rsidP="46C9EF11" w:rsidRDefault="46C9EF11" w14:paraId="20BC46D6" w14:textId="4669FADC">
      <w:pPr>
        <w:pStyle w:val="Normal"/>
        <w:spacing w:before="0" w:beforeAutospacing="off" w:line="360" w:lineRule="auto"/>
        <w:ind w:firstLine="0"/>
        <w:rPr>
          <w:rFonts w:ascii="Times New Roman" w:hAnsi="Times New Roman" w:eastAsia="Times New Roman" w:cs="Times New Roman"/>
          <w:b w:val="0"/>
          <w:bCs w:val="0"/>
        </w:rPr>
      </w:pPr>
    </w:p>
    <w:p w:rsidR="14AC42B7" w:rsidP="46C9EF11" w:rsidRDefault="14AC42B7" w14:paraId="1FCFFDED" w14:textId="40370468">
      <w:pPr>
        <w:pStyle w:val="Normal"/>
        <w:spacing w:before="0" w:beforeAutospacing="off" w:line="240" w:lineRule="auto"/>
        <w:ind w:firstLine="0"/>
        <w:jc w:val="center"/>
        <w:rPr>
          <w:rFonts w:ascii="Times New Roman" w:hAnsi="Times New Roman" w:eastAsia="Times New Roman" w:cs="Times New Roman"/>
          <w:b w:val="0"/>
          <w:bCs w:val="0"/>
        </w:rPr>
      </w:pPr>
      <w:r w:rsidR="14AC42B7">
        <w:rPr>
          <w:rFonts w:ascii="Times New Roman" w:hAnsi="Times New Roman"/>
        </w:rPr>
        <w:drawing>
          <wp:inline wp14:editId="78F5B79E" wp14:anchorId="23892455">
            <wp:extent cx="4276005" cy="2038350"/>
            <wp:effectExtent l="0" t="0" r="0" b="0"/>
            <wp:docPr id="985358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610585" name="Picture 1087610585"/>
                    <pic:cNvPicPr/>
                  </pic:nvPicPr>
                  <pic:blipFill>
                    <a:blip xmlns:r="http://schemas.openxmlformats.org/officeDocument/2006/relationships" r:embed="rId1137389646">
                      <a:extLst>
                        <a:ext uri="{28A0092B-C50C-407E-A947-70E740481C1C}">
                          <a14:useLocalDpi xmlns:a14="http://schemas.microsoft.com/office/drawing/2010/main"/>
                        </a:ext>
                      </a:extLst>
                    </a:blip>
                    <a:stretch>
                      <a:fillRect/>
                    </a:stretch>
                  </pic:blipFill>
                  <pic:spPr>
                    <a:xfrm rot="0">
                      <a:off x="0" y="0"/>
                      <a:ext cx="4276005" cy="2038350"/>
                    </a:xfrm>
                    <a:prstGeom prst="rect">
                      <a:avLst/>
                    </a:prstGeom>
                  </pic:spPr>
                </pic:pic>
              </a:graphicData>
            </a:graphic>
          </wp:inline>
        </w:drawing>
      </w:r>
    </w:p>
    <w:p w:rsidR="44224BB2" w:rsidP="24DEF490" w:rsidRDefault="44224BB2" w14:paraId="52F0786F" w14:textId="25635428">
      <w:pPr>
        <w:pStyle w:val="Normal"/>
        <w:spacing w:before="0" w:beforeAutospacing="off" w:line="276" w:lineRule="auto"/>
        <w:ind w:firstLine="0"/>
        <w:jc w:val="center"/>
        <w:rPr>
          <w:rFonts w:ascii="Times New Roman" w:hAnsi="Times New Roman" w:eastAsia="Times New Roman" w:cs="Times New Roman"/>
          <w:b w:val="1"/>
          <w:bCs w:val="1"/>
        </w:rPr>
      </w:pPr>
      <w:r w:rsidRPr="46C9EF11" w:rsidR="3968B5EB">
        <w:rPr>
          <w:rFonts w:ascii="Times New Roman" w:hAnsi="Times New Roman" w:eastAsia="Times New Roman" w:cs="Times New Roman"/>
          <w:b/>
          <w:bCs w:val="1"/>
          <w:sz w:val="22"/>
        </w:rPr>
        <w:t xml:space="preserve"> </w:t>
      </w:r>
      <w:r w:rsidRPr="46C9EF11" w:rsidR="2C514676">
        <w:rPr>
          <w:rFonts w:ascii="Times New Roman" w:hAnsi="Times New Roman" w:eastAsia="Times New Roman" w:cs="Times New Roman"/>
          <w:b/>
          <w:bCs w:val="1"/>
          <w:sz w:val="22"/>
        </w:rPr>
        <w:t xml:space="preserve">Fig. 1 </w:t>
      </w:r>
      <w:r w:rsidRPr="46C9EF11" w:rsidR="118975D6">
        <w:rPr>
          <w:rFonts w:ascii="Times New Roman" w:hAnsi="Times New Roman" w:eastAsia="Times New Roman" w:cs="Times New Roman"/>
          <w:b/>
          <w:bCs w:val="1"/>
          <w:sz w:val="22"/>
        </w:rPr>
        <w:t>Rappresentazione del “</w:t>
      </w:r>
      <w:r w:rsidRPr="46C9EF11" w:rsidR="2C514676">
        <w:rPr>
          <w:rFonts w:ascii="Times New Roman" w:hAnsi="Times New Roman" w:eastAsia="Times New Roman" w:cs="Times New Roman"/>
          <w:b/>
          <w:bCs w:val="1"/>
          <w:sz w:val="22"/>
        </w:rPr>
        <w:t xml:space="preserve">Trilemma della </w:t>
      </w:r>
      <w:r w:rsidRPr="46C9EF11" w:rsidR="2C514676">
        <w:rPr>
          <w:rFonts w:ascii="Times New Roman" w:hAnsi="Times New Roman" w:eastAsia="Times New Roman" w:cs="Times New Roman"/>
          <w:b/>
          <w:bCs w:val="1"/>
          <w:sz w:val="22"/>
        </w:rPr>
        <w:t>blockchai</w:t>
      </w:r>
      <w:r w:rsidRPr="46C9EF11" w:rsidR="20A9AC71">
        <w:rPr>
          <w:rFonts w:ascii="Times New Roman" w:hAnsi="Times New Roman" w:eastAsia="Times New Roman" w:cs="Times New Roman"/>
          <w:b/>
          <w:bCs w:val="1"/>
          <w:sz w:val="22"/>
        </w:rPr>
        <w:t>n”</w:t>
      </w:r>
    </w:p>
    <w:p w:rsidR="46C9EF11" w:rsidP="46C9EF11" w:rsidRDefault="46C9EF11" w14:paraId="16E6B8AC" w14:textId="458AD85E">
      <w:pPr>
        <w:pStyle w:val="Normal"/>
        <w:spacing w:before="0" w:beforeAutospacing="off" w:line="360" w:lineRule="auto"/>
        <w:ind w:firstLine="0"/>
        <w:rPr>
          <w:rFonts w:ascii="Times New Roman" w:hAnsi="Times New Roman" w:eastAsia="Times New Roman" w:cs="Times New Roman"/>
          <w:b w:val="1"/>
          <w:bCs w:val="1"/>
        </w:rPr>
      </w:pPr>
    </w:p>
    <w:p w:rsidR="64D43B58" w:rsidP="46C9EF11" w:rsidRDefault="64D43B58" w14:paraId="47A9A840" w14:textId="15B9A7C7">
      <w:pPr>
        <w:pStyle w:val="Normal"/>
        <w:spacing w:before="0" w:beforeAutospacing="off" w:line="360" w:lineRule="auto"/>
        <w:ind w:firstLine="567"/>
        <w:jc w:val="both"/>
        <w:rPr>
          <w:rFonts w:ascii="Times New Roman" w:hAnsi="Times New Roman" w:eastAsia="Times New Roman" w:cs="Times New Roman"/>
          <w:b w:val="0"/>
          <w:bCs w:val="0"/>
        </w:rPr>
      </w:pPr>
      <w:r w:rsidRPr="46C9EF11" w:rsidR="64D43B58">
        <w:rPr>
          <w:rFonts w:ascii="Times New Roman" w:hAnsi="Times New Roman" w:eastAsia="Times New Roman" w:cs="Times New Roman"/>
          <w:b w:val="0"/>
          <w:bCs w:val="0"/>
          <w:sz w:val="24"/>
        </w:rPr>
        <w:t>I Pilastri Concettuali del Trilemma sono</w:t>
      </w:r>
      <w:r w:rsidRPr="46C9EF11" w:rsidR="302C7137">
        <w:rPr>
          <w:rFonts w:ascii="Times New Roman" w:hAnsi="Times New Roman" w:eastAsia="Times New Roman" w:cs="Times New Roman"/>
          <w:b w:val="0"/>
          <w:bCs w:val="0"/>
          <w:sz w:val="24"/>
        </w:rPr>
        <w:t xml:space="preserve">: </w:t>
      </w:r>
    </w:p>
    <w:p w:rsidR="64D43B58" w:rsidP="46C9EF11" w:rsidRDefault="64D43B58" w14:paraId="1F54172E" w14:textId="7060E17B">
      <w:pPr>
        <w:pStyle w:val="Normal"/>
        <w:spacing w:before="0" w:beforeAutospacing="off" w:line="360" w:lineRule="auto"/>
        <w:ind w:firstLine="567"/>
        <w:jc w:val="both"/>
      </w:pPr>
      <w:r w:rsidRPr="46C9EF11" w:rsidR="64D43B58">
        <w:rPr>
          <w:rFonts w:ascii="Times New Roman" w:hAnsi="Times New Roman" w:eastAsia="Times New Roman" w:cs="Times New Roman"/>
          <w:b w:val="0"/>
          <w:bCs w:val="0"/>
          <w:sz w:val="24"/>
        </w:rPr>
        <w:t xml:space="preserve"> </w:t>
      </w:r>
      <w:r w:rsidRPr="46C9EF11" w:rsidR="03D08929">
        <w:rPr>
          <w:rFonts w:ascii="Times New Roman" w:hAnsi="Times New Roman" w:eastAsia="Times New Roman" w:cs="Times New Roman"/>
          <w:b w:val="0"/>
          <w:bCs w:val="0"/>
          <w:sz w:val="24"/>
        </w:rPr>
        <w:t xml:space="preserve">  </w:t>
      </w:r>
      <w:r w:rsidRPr="46C9EF11" w:rsidR="129CF32C">
        <w:rPr>
          <w:rFonts w:ascii="Times New Roman" w:hAnsi="Times New Roman" w:eastAsia="Times New Roman" w:cs="Times New Roman"/>
          <w:b w:val="0"/>
          <w:bCs w:val="0"/>
          <w:sz w:val="24"/>
        </w:rPr>
        <w:t>-</w:t>
      </w:r>
      <w:r w:rsidRPr="46C9EF11" w:rsidR="64D43B58">
        <w:rPr>
          <w:rFonts w:ascii="Times New Roman" w:hAnsi="Times New Roman" w:eastAsia="Times New Roman" w:cs="Times New Roman"/>
          <w:b w:val="0"/>
          <w:bCs w:val="0"/>
          <w:sz w:val="24"/>
        </w:rPr>
        <w:t xml:space="preserve"> </w:t>
      </w:r>
      <w:r w:rsidRPr="46C9EF11" w:rsidR="6B66F154">
        <w:rPr>
          <w:rFonts w:ascii="Times New Roman" w:hAnsi="Times New Roman" w:eastAsia="Times New Roman" w:cs="Times New Roman"/>
          <w:b w:val="0"/>
          <w:bCs w:val="0"/>
          <w:sz w:val="24"/>
        </w:rPr>
        <w:t xml:space="preserve"> </w:t>
      </w:r>
      <w:r w:rsidRPr="46C9EF11" w:rsidR="64D43B58">
        <w:rPr>
          <w:rFonts w:ascii="Times New Roman" w:hAnsi="Times New Roman" w:eastAsia="Times New Roman" w:cs="Times New Roman"/>
          <w:b w:val="0"/>
          <w:bCs w:val="0"/>
          <w:sz w:val="24"/>
        </w:rPr>
        <w:t>Decentralizzazione: Questa prerogativa si pone come il fulcro ontologico della tecnologia in esame, traducendosi nella paritaria ripartizione del potere computazionale e di controllo tra una pluralità diffusa di nodi, escludendo l'esistenza di centri di imputazione monopolistica o autoritativa. Se tale configurazione accresce la resilienza del sistema rispetto a tentativi di alterazione o attacchi esogeni, l'eccessiva capillarità della rete appesantisce inevitabilmente i flussi comunicativi propedeutici al raggiungimento del consenso, comprimendo in modo sensibile la rapidità di elaborazione e, di riflesso, la capacità di estensione del network.</w:t>
      </w:r>
    </w:p>
    <w:p w:rsidR="48A57EE5" w:rsidP="46C9EF11" w:rsidRDefault="48A57EE5" w14:paraId="1BDC9D2B" w14:textId="264107D4">
      <w:pPr>
        <w:pStyle w:val="Normal"/>
        <w:spacing w:before="0" w:beforeAutospacing="off" w:line="360" w:lineRule="auto"/>
        <w:ind w:firstLine="567"/>
        <w:jc w:val="both"/>
        <w:rPr>
          <w:rFonts w:ascii="Times New Roman" w:hAnsi="Times New Roman" w:eastAsia="Times New Roman" w:cs="Times New Roman"/>
          <w:b w:val="0"/>
          <w:bCs w:val="0"/>
        </w:rPr>
      </w:pPr>
      <w:r w:rsidRPr="46C9EF11" w:rsidR="48A57EE5">
        <w:rPr>
          <w:rFonts w:ascii="Times New Roman" w:hAnsi="Times New Roman" w:eastAsia="Times New Roman" w:cs="Times New Roman"/>
          <w:b w:val="0"/>
          <w:bCs w:val="0"/>
          <w:sz w:val="24"/>
        </w:rPr>
        <w:t xml:space="preserve">  - </w:t>
      </w:r>
      <w:r w:rsidRPr="46C9EF11" w:rsidR="64D43B58">
        <w:rPr>
          <w:rFonts w:ascii="Times New Roman" w:hAnsi="Times New Roman" w:eastAsia="Times New Roman" w:cs="Times New Roman"/>
          <w:b w:val="0"/>
          <w:bCs w:val="0"/>
          <w:sz w:val="24"/>
        </w:rPr>
        <w:t>Sicurezza: Il presidio dell'integrità dei dati e la protezione dalle patologie transazionali si realizzano mediante l'interazione sinergica di protocolli di consenso e rigorosi schemi crittografici, preposti al vaglio continuo di ogni record immesso. Una piattaforma strutturata per resistere alle frodi e alle incursioni informatiche postula, tuttavia, una massiccia ridondanza informativa e un imponente dispendio di risorse hardware; requisiti, questi, che finiscono frequentemente col saturare i canali operativi della catena, limitandone la velocità complessiva o favorendo il consolidamento di conglomerati di validazione (mining pools) che ne minano l'orizzontalità.</w:t>
      </w:r>
    </w:p>
    <w:p w:rsidR="64D43B58" w:rsidP="46C9EF11" w:rsidRDefault="64D43B58" w14:paraId="3DD36092" w14:textId="35FBEA4A">
      <w:pPr>
        <w:pStyle w:val="Normal"/>
        <w:spacing w:before="0" w:beforeAutospacing="off" w:line="360" w:lineRule="auto"/>
        <w:ind w:firstLine="567"/>
        <w:jc w:val="both"/>
      </w:pPr>
      <w:r w:rsidRPr="46C9EF11" w:rsidR="64D43B58">
        <w:rPr>
          <w:rFonts w:ascii="Times New Roman" w:hAnsi="Times New Roman" w:eastAsia="Times New Roman" w:cs="Times New Roman"/>
          <w:b w:val="0"/>
          <w:bCs w:val="0"/>
          <w:sz w:val="24"/>
        </w:rPr>
        <w:t xml:space="preserve"> </w:t>
      </w:r>
      <w:r w:rsidRPr="46C9EF11" w:rsidR="66FEB0CF">
        <w:rPr>
          <w:rFonts w:ascii="Times New Roman" w:hAnsi="Times New Roman" w:eastAsia="Times New Roman" w:cs="Times New Roman"/>
          <w:b w:val="0"/>
          <w:bCs w:val="0"/>
          <w:sz w:val="24"/>
        </w:rPr>
        <w:t xml:space="preserve">  - </w:t>
      </w:r>
      <w:r w:rsidRPr="46C9EF11" w:rsidR="64D43B58">
        <w:rPr>
          <w:rFonts w:ascii="Times New Roman" w:hAnsi="Times New Roman" w:eastAsia="Times New Roman" w:cs="Times New Roman"/>
          <w:b w:val="0"/>
          <w:bCs w:val="0"/>
          <w:sz w:val="24"/>
        </w:rPr>
        <w:t>Scalabilità: Con tale locuzione si identifica l'attitudine computazionale del registro a processare flussi incrementali di transazioni in tempi ridotti e con costi marginali contenuti. Al fine di competere efficacemente con i circuiti di regolamento finanziario centralizzati, i protocolli decentralizzati devono esprimere un rendimento quantificabile in migliaia di operazioni al secondo. L'ottimizzazione di questo vettore esige, di norma, l'adozione di correttivi strutturali volti ad accentrare le procedure di verifica in un ristretto novero di terminali ad alta efficienza, realizzando un guadagno di velocità al prezzo di una sensibile attenuazione del livello di decentralizzazione genetica.</w:t>
      </w:r>
    </w:p>
    <w:p w:rsidR="4AF53D4C" w:rsidP="46C9EF11" w:rsidRDefault="4AF53D4C" w14:paraId="0EAAD1E8" w14:textId="442BD7FB">
      <w:pPr>
        <w:pStyle w:val="Normal"/>
        <w:spacing w:before="0" w:beforeAutospacing="off" w:line="360" w:lineRule="auto"/>
        <w:ind w:firstLine="567"/>
        <w:jc w:val="both"/>
      </w:pPr>
      <w:r w:rsidRPr="46C9EF11" w:rsidR="4AF53D4C">
        <w:rPr>
          <w:rFonts w:ascii="Times New Roman" w:hAnsi="Times New Roman" w:eastAsia="Times New Roman" w:cs="Times New Roman"/>
          <w:b w:val="0"/>
          <w:bCs w:val="0"/>
          <w:sz w:val="24"/>
        </w:rPr>
        <w:t>La complessa interazione tra tali elementi viene figurativamente rappresentata attraverso uno schema triangolare, ai cui vertici si collocano le tre menzionate proprietà, evidenziando graficamente l'impossibilità di una loro simultanea e assoluta massimizzazione</w:t>
      </w:r>
      <w:r w:rsidRPr="46C9EF11">
        <w:rPr>
          <w:rStyle w:val="FootnoteReference"/>
          <w:rFonts w:ascii="Times New Roman" w:hAnsi="Times New Roman" w:eastAsia="Times New Roman" w:cs="Times New Roman"/>
          <w:b w:val="0"/>
          <w:bCs w:val="0"/>
          <w:sz w:val="24"/>
        </w:rPr>
        <w:footnoteReference w:id="32277"/>
      </w:r>
      <w:r w:rsidRPr="46C9EF11" w:rsidR="4AF53D4C">
        <w:rPr>
          <w:rFonts w:ascii="Times New Roman" w:hAnsi="Times New Roman" w:eastAsia="Times New Roman" w:cs="Times New Roman"/>
          <w:b w:val="0"/>
          <w:bCs w:val="0"/>
          <w:sz w:val="24"/>
        </w:rPr>
        <w:t xml:space="preserve">. Sotto il profilo applicativo, le diverse piattaforme presenti sul mercato si distinguono proprio in ragione della postura assunta dinanzi a tale paradosso. </w:t>
      </w:r>
      <w:r w:rsidRPr="46C9EF11" w:rsidR="5C1BEC8B">
        <w:rPr>
          <w:rFonts w:ascii="Times New Roman" w:hAnsi="Times New Roman" w:eastAsia="Times New Roman" w:cs="Times New Roman"/>
          <w:b w:val="0"/>
          <w:bCs w:val="0"/>
          <w:sz w:val="24"/>
        </w:rPr>
        <w:t xml:space="preserve">L'orientamento programmatico impresso ai protocolli originari e storicamente pionieristici, di cui Bitcoin ed </w:t>
      </w:r>
      <w:r w:rsidRPr="46C9EF11" w:rsidR="5C1BEC8B">
        <w:rPr>
          <w:rFonts w:ascii="Times New Roman" w:hAnsi="Times New Roman" w:eastAsia="Times New Roman" w:cs="Times New Roman"/>
          <w:b w:val="0"/>
          <w:bCs w:val="0"/>
          <w:sz w:val="24"/>
        </w:rPr>
        <w:t>Ethereum</w:t>
      </w:r>
      <w:r w:rsidRPr="46C9EF11" w:rsidR="5C1BEC8B">
        <w:rPr>
          <w:rFonts w:ascii="Times New Roman" w:hAnsi="Times New Roman" w:eastAsia="Times New Roman" w:cs="Times New Roman"/>
          <w:b w:val="0"/>
          <w:bCs w:val="0"/>
          <w:sz w:val="24"/>
        </w:rPr>
        <w:t xml:space="preserve"> rappresentano gli archetipi fondamentali, risponde a una precisa priorità di matrice ideologica e crittografica: l'edificazione di un ecosistema digitale intrinsecamente sicuro, immutabile e impermeabile a tentativi di censura o attacchi coordinati da parte di autorità centralizzate o attori malevoli. Al fine di consolidare tale livello di resilienza e preservare la natura orizzontale della governance, i progettisti di prima generazione hanno deliberatamente massimizzato i presìdi di sicurezza e la capillarità del network. Sul piano tecnico, questa impostazione postula che ogni singolo nodo partecipante debba duplicare l'intero archivio storico delle transazioni e concorrere validamente alla verifica di ogni nuovo record inserito, secondo le logiche simmetriche dei primi meccanismi di consenso di tipo </w:t>
      </w:r>
      <w:r w:rsidRPr="46C9EF11" w:rsidR="5C1BEC8B">
        <w:rPr>
          <w:rFonts w:ascii="Times New Roman" w:hAnsi="Times New Roman" w:eastAsia="Times New Roman" w:cs="Times New Roman"/>
          <w:b w:val="0"/>
          <w:bCs w:val="0"/>
          <w:sz w:val="24"/>
        </w:rPr>
        <w:t>Proof</w:t>
      </w:r>
      <w:r w:rsidRPr="46C9EF11" w:rsidR="5C1BEC8B">
        <w:rPr>
          <w:rFonts w:ascii="Times New Roman" w:hAnsi="Times New Roman" w:eastAsia="Times New Roman" w:cs="Times New Roman"/>
          <w:b w:val="0"/>
          <w:bCs w:val="0"/>
          <w:sz w:val="24"/>
        </w:rPr>
        <w:t xml:space="preserve"> of Work. Se una simile configurazione garantisce un'assoluta stabilità gnoseologica e una resistenza granitica ai tentativi di corruzione del registro (esigendo la cooperazione di una quota di potere computazionale matematicamente quasi inarrivabile, come nel caso dell'attacco al 51%), essa sconta tuttavia come inevitabile corollario una pronunciata e strutturale rigidità sul versante della velocità e della capacità transazionale</w:t>
      </w:r>
      <w:r w:rsidRPr="46C9EF11">
        <w:rPr>
          <w:rStyle w:val="FootnoteReference"/>
          <w:rFonts w:ascii="Times New Roman" w:hAnsi="Times New Roman" w:eastAsia="Times New Roman" w:cs="Times New Roman"/>
          <w:b w:val="0"/>
          <w:bCs w:val="0"/>
          <w:sz w:val="24"/>
        </w:rPr>
        <w:footnoteReference w:id="10049"/>
      </w:r>
      <w:r w:rsidRPr="46C9EF11" w:rsidR="5C1BEC8B">
        <w:rPr>
          <w:rFonts w:ascii="Times New Roman" w:hAnsi="Times New Roman" w:eastAsia="Times New Roman" w:cs="Times New Roman"/>
          <w:b w:val="0"/>
          <w:bCs w:val="0"/>
          <w:sz w:val="24"/>
        </w:rPr>
        <w:t xml:space="preserve">. </w:t>
      </w:r>
      <w:r w:rsidRPr="46C9EF11" w:rsidR="0D0A7D2D">
        <w:rPr>
          <w:rFonts w:ascii="Times New Roman" w:hAnsi="Times New Roman" w:eastAsia="Times New Roman" w:cs="Times New Roman"/>
          <w:b w:val="0"/>
          <w:bCs w:val="0"/>
          <w:sz w:val="24"/>
        </w:rPr>
        <w:t xml:space="preserve">La necessità che l'informazione si propaghi capillarmente e in maniera sincrona attraverso una rete composta da decine di migliaia di terminali distribuiti su scala globale impone, infatti, un rallentamento forzato dei flussi informativi. Il tempo necessario al raggiungimento del consenso globale e le limitazioni volumetriche imposte alla dimensione dei blocchi operano come un vero e proprio imbuto computazionale, determinando tassi di elaborazione estremamente contenuti (quantificabili, a livello nativo, in circa 7 operazioni al secondo per Bitcoin e circa 15 per </w:t>
      </w:r>
      <w:r w:rsidRPr="46C9EF11" w:rsidR="0D0A7D2D">
        <w:rPr>
          <w:rFonts w:ascii="Times New Roman" w:hAnsi="Times New Roman" w:eastAsia="Times New Roman" w:cs="Times New Roman"/>
          <w:b w:val="0"/>
          <w:bCs w:val="0"/>
          <w:sz w:val="24"/>
        </w:rPr>
        <w:t>Ethereum</w:t>
      </w:r>
      <w:r w:rsidRPr="46C9EF11" w:rsidR="0D0A7D2D">
        <w:rPr>
          <w:rFonts w:ascii="Times New Roman" w:hAnsi="Times New Roman" w:eastAsia="Times New Roman" w:cs="Times New Roman"/>
          <w:b w:val="0"/>
          <w:bCs w:val="0"/>
          <w:sz w:val="24"/>
        </w:rPr>
        <w:t>). Questa intrinseca lentezza operativa testimonia come la stabilità e l'affidabilità di un registro decentralizzato di prima generazione siano state comprate a prezzo della sua scalabilità, costringendo la successiva ricerca ingegneristica e giuridica a elaborare soluzioni esogene o stratificate per consentire l'adozione di massa di tali tecnologie senza rinnegarne i presupposti assiologici di partenza.</w:t>
      </w:r>
      <w:r w:rsidRPr="46C9EF11" w:rsidR="4AF53D4C">
        <w:rPr>
          <w:rFonts w:ascii="Times New Roman" w:hAnsi="Times New Roman" w:eastAsia="Times New Roman" w:cs="Times New Roman"/>
          <w:b w:val="0"/>
          <w:bCs w:val="0"/>
          <w:sz w:val="24"/>
        </w:rPr>
        <w:t xml:space="preserve"> </w:t>
      </w:r>
      <w:r w:rsidRPr="46C9EF11" w:rsidR="1E7722AA">
        <w:rPr>
          <w:rFonts w:ascii="Times New Roman" w:hAnsi="Times New Roman" w:eastAsia="Times New Roman" w:cs="Times New Roman"/>
          <w:b w:val="0"/>
          <w:bCs w:val="0"/>
          <w:sz w:val="24"/>
        </w:rPr>
        <w:t>In netta contrapposizione rispetto all'approccio conservativo e orientato alla massima resilienza tipico dei network di prima generazione, l'infrastruttura di Solana ha programmaticamente invertito l'ordine delle priorità assiologiche imposte dal trilemma algoritmico, indirizzando il proprio design strutturale verso il primato assoluto della scalabilità e del rendimento computazionale. L'obiettivo ingegneristico alla base di tale protocollo risiede nella volontà di abbattere i tempi di latenza e massimizzare il volume delle transazioni elaborate al secondo, al fine di offrire un'architettura digitale idonea a supportare i mercati ad alta frequenza, come la finanza decentralizzata (</w:t>
      </w:r>
      <w:r w:rsidRPr="46C9EF11" w:rsidR="1E7722AA">
        <w:rPr>
          <w:rFonts w:ascii="Times New Roman" w:hAnsi="Times New Roman" w:eastAsia="Times New Roman" w:cs="Times New Roman"/>
          <w:b w:val="0"/>
          <w:bCs w:val="0"/>
          <w:sz w:val="24"/>
        </w:rPr>
        <w:t>DeFi</w:t>
      </w:r>
      <w:r w:rsidRPr="46C9EF11" w:rsidR="1E7722AA">
        <w:rPr>
          <w:rFonts w:ascii="Times New Roman" w:hAnsi="Times New Roman" w:eastAsia="Times New Roman" w:cs="Times New Roman"/>
          <w:b w:val="0"/>
          <w:bCs w:val="0"/>
          <w:sz w:val="24"/>
        </w:rPr>
        <w:t>) e gli ecosistemi di tokenizzazione su larga scala, replicando le performance dei circuiti transazionali centralizzati</w:t>
      </w:r>
      <w:r w:rsidRPr="46C9EF11">
        <w:rPr>
          <w:rStyle w:val="FootnoteReference"/>
          <w:rFonts w:ascii="Times New Roman" w:hAnsi="Times New Roman" w:eastAsia="Times New Roman" w:cs="Times New Roman"/>
          <w:b w:val="0"/>
          <w:bCs w:val="0"/>
          <w:sz w:val="24"/>
        </w:rPr>
        <w:footnoteReference w:id="29439"/>
      </w:r>
      <w:r w:rsidRPr="46C9EF11" w:rsidR="1E7722AA">
        <w:rPr>
          <w:rFonts w:ascii="Times New Roman" w:hAnsi="Times New Roman" w:eastAsia="Times New Roman" w:cs="Times New Roman"/>
          <w:b w:val="0"/>
          <w:bCs w:val="0"/>
          <w:sz w:val="24"/>
        </w:rPr>
        <w:t xml:space="preserve">. </w:t>
      </w:r>
      <w:r w:rsidRPr="46C9EF11" w:rsidR="15ECC244">
        <w:rPr>
          <w:rFonts w:ascii="Times New Roman" w:hAnsi="Times New Roman" w:eastAsia="Times New Roman" w:cs="Times New Roman"/>
          <w:b w:val="0"/>
          <w:bCs w:val="0"/>
          <w:sz w:val="24"/>
        </w:rPr>
        <w:t xml:space="preserve">Per conseguire questa elevatissima capacità di calcolo orizzontale, Solana ha introdotto nel panorama delle DLT una serie di innovazioni tecnologiche dirompenti, prima fra tutte la </w:t>
      </w:r>
      <w:r w:rsidRPr="46C9EF11" w:rsidR="15ECC244">
        <w:rPr>
          <w:rFonts w:ascii="Times New Roman" w:hAnsi="Times New Roman" w:eastAsia="Times New Roman" w:cs="Times New Roman"/>
          <w:b w:val="0"/>
          <w:bCs w:val="0"/>
          <w:sz w:val="24"/>
        </w:rPr>
        <w:t>Proof</w:t>
      </w:r>
      <w:r w:rsidRPr="46C9EF11" w:rsidR="15ECC244">
        <w:rPr>
          <w:rFonts w:ascii="Times New Roman" w:hAnsi="Times New Roman" w:eastAsia="Times New Roman" w:cs="Times New Roman"/>
          <w:b w:val="0"/>
          <w:bCs w:val="0"/>
          <w:sz w:val="24"/>
        </w:rPr>
        <w:t xml:space="preserve"> of History (</w:t>
      </w:r>
      <w:r w:rsidRPr="46C9EF11" w:rsidR="15ECC244">
        <w:rPr>
          <w:rFonts w:ascii="Times New Roman" w:hAnsi="Times New Roman" w:eastAsia="Times New Roman" w:cs="Times New Roman"/>
          <w:b w:val="0"/>
          <w:bCs w:val="0"/>
          <w:sz w:val="24"/>
        </w:rPr>
        <w:t>PoH</w:t>
      </w:r>
      <w:r w:rsidRPr="46C9EF11" w:rsidR="15ECC244">
        <w:rPr>
          <w:rFonts w:ascii="Times New Roman" w:hAnsi="Times New Roman" w:eastAsia="Times New Roman" w:cs="Times New Roman"/>
          <w:b w:val="0"/>
          <w:bCs w:val="0"/>
          <w:sz w:val="24"/>
        </w:rPr>
        <w:t>). Questo meccanismo agisce come un orologio crittografico centralizzato nella funzione ma decentralizzato nella verifica, integrando una funzione di ritardo verificabile (</w:t>
      </w:r>
      <w:r w:rsidRPr="46C9EF11" w:rsidR="15ECC244">
        <w:rPr>
          <w:rFonts w:ascii="Times New Roman" w:hAnsi="Times New Roman" w:eastAsia="Times New Roman" w:cs="Times New Roman"/>
          <w:b w:val="0"/>
          <w:bCs w:val="0"/>
          <w:sz w:val="24"/>
        </w:rPr>
        <w:t>Verifiable</w:t>
      </w:r>
      <w:r w:rsidRPr="46C9EF11" w:rsidR="15ECC244">
        <w:rPr>
          <w:rFonts w:ascii="Times New Roman" w:hAnsi="Times New Roman" w:eastAsia="Times New Roman" w:cs="Times New Roman"/>
          <w:b w:val="0"/>
          <w:bCs w:val="0"/>
          <w:sz w:val="24"/>
        </w:rPr>
        <w:t xml:space="preserve"> Delay </w:t>
      </w:r>
      <w:r w:rsidRPr="46C9EF11" w:rsidR="15ECC244">
        <w:rPr>
          <w:rFonts w:ascii="Times New Roman" w:hAnsi="Times New Roman" w:eastAsia="Times New Roman" w:cs="Times New Roman"/>
          <w:b w:val="0"/>
          <w:bCs w:val="0"/>
          <w:sz w:val="24"/>
        </w:rPr>
        <w:t>Function</w:t>
      </w:r>
      <w:r w:rsidRPr="46C9EF11" w:rsidR="15ECC244">
        <w:rPr>
          <w:rFonts w:ascii="Times New Roman" w:hAnsi="Times New Roman" w:eastAsia="Times New Roman" w:cs="Times New Roman"/>
          <w:b w:val="0"/>
          <w:bCs w:val="0"/>
          <w:sz w:val="24"/>
        </w:rPr>
        <w:t xml:space="preserve"> - VDF) che ordina temporalmente gli eventi ancor prima che intervenga il consenso sulla validità delle transazioni. Attraverso la creazione di una sequenza cronologica immodificabile di </w:t>
      </w:r>
      <w:r w:rsidRPr="46C9EF11" w:rsidR="15ECC244">
        <w:rPr>
          <w:rFonts w:ascii="Times New Roman" w:hAnsi="Times New Roman" w:eastAsia="Times New Roman" w:cs="Times New Roman"/>
          <w:b w:val="0"/>
          <w:bCs w:val="0"/>
          <w:sz w:val="24"/>
        </w:rPr>
        <w:t>timestamp</w:t>
      </w:r>
      <w:r w:rsidRPr="46C9EF11" w:rsidR="15ECC244">
        <w:rPr>
          <w:rFonts w:ascii="Times New Roman" w:hAnsi="Times New Roman" w:eastAsia="Times New Roman" w:cs="Times New Roman"/>
          <w:b w:val="0"/>
          <w:bCs w:val="0"/>
          <w:sz w:val="24"/>
        </w:rPr>
        <w:t>, il protocollo solleva i singoli nodi dall'onere di comunicare massivamente tra loro per stabilire l'esatta successione dei blocchi, consentendo alla rete di processare i flussi informativi in modalità parallela. Il risultato di tale ottimizzazione strutturale è un rendimento transazionale di eccezionale portata, quantificabile in un throughput medio che supera agevolmente le migliaia di operazioni al secondo (TPS) con costi commissionali infinitesimali</w:t>
      </w:r>
      <w:r w:rsidRPr="46C9EF11" w:rsidR="21B85A98">
        <w:rPr>
          <w:rFonts w:ascii="Times New Roman" w:hAnsi="Times New Roman" w:eastAsia="Times New Roman" w:cs="Times New Roman"/>
          <w:b w:val="0"/>
          <w:bCs w:val="0"/>
          <w:sz w:val="24"/>
        </w:rPr>
        <w:t xml:space="preserve"> </w:t>
      </w:r>
      <w:r w:rsidRPr="46C9EF11">
        <w:rPr>
          <w:rStyle w:val="FootnoteReference"/>
          <w:rFonts w:ascii="Times New Roman" w:hAnsi="Times New Roman" w:eastAsia="Times New Roman" w:cs="Times New Roman"/>
          <w:b w:val="0"/>
          <w:bCs w:val="0"/>
          <w:sz w:val="24"/>
        </w:rPr>
        <w:footnoteReference w:id="8653"/>
      </w:r>
      <w:r w:rsidRPr="46C9EF11" w:rsidR="15ECC244">
        <w:rPr>
          <w:rFonts w:ascii="Times New Roman" w:hAnsi="Times New Roman" w:eastAsia="Times New Roman" w:cs="Times New Roman"/>
          <w:b w:val="0"/>
          <w:bCs w:val="0"/>
          <w:sz w:val="24"/>
        </w:rPr>
        <w:t xml:space="preserve">. Tuttavia, l'esasperazione del vettore prestazionale ha generato profonde e persistenti riserve all'interno della comunità scientifica e dottrinale, le quali si appuntano essenzialmente sul reale grado di decentralizzazione del network e sulla sua complessiva stabilità sistemica. Sotto il profilo della capillarità e dell'orizzontalità della rete, la scelta di delegare l'elaborazione dei blocchi a sequenziatori ad altissima velocità postula requisiti hardware e di connettività estremamente onerosi e costosi. Tale asimmetria strutturale produce un'inevitabile barriera all'ingresso di natura economica e tecnologica, la quale restringe il novero dei validatori effettivi a una cerchia ristretta di operatori dotati di infrastrutture industriali, innescando evidenti derive oligopolistiche e sollevando dubbi circa l'effettiva resistenza del sistema a fenomeni di censura o a pressioni autoritative esogene. </w:t>
      </w:r>
      <w:r w:rsidRPr="46C9EF11" w:rsidR="464A8F88">
        <w:rPr>
          <w:rFonts w:ascii="Times New Roman" w:hAnsi="Times New Roman" w:eastAsia="Times New Roman" w:cs="Times New Roman"/>
          <w:b w:val="0"/>
          <w:bCs w:val="0"/>
          <w:sz w:val="24"/>
        </w:rPr>
        <w:t>Parallelamente, il secondo fronte critico investe la resilienza e l'affidabilità di lungo periodo dell'ecosistema</w:t>
      </w:r>
      <w:r w:rsidRPr="46C9EF11">
        <w:rPr>
          <w:rStyle w:val="FootnoteReference"/>
          <w:rFonts w:ascii="Times New Roman" w:hAnsi="Times New Roman" w:eastAsia="Times New Roman" w:cs="Times New Roman"/>
          <w:b w:val="0"/>
          <w:bCs w:val="0"/>
          <w:sz w:val="24"/>
        </w:rPr>
        <w:footnoteReference w:id="25424"/>
      </w:r>
      <w:r w:rsidRPr="46C9EF11" w:rsidR="464A8F88">
        <w:rPr>
          <w:rFonts w:ascii="Times New Roman" w:hAnsi="Times New Roman" w:eastAsia="Times New Roman" w:cs="Times New Roman"/>
          <w:b w:val="0"/>
          <w:bCs w:val="0"/>
          <w:sz w:val="24"/>
        </w:rPr>
        <w:t xml:space="preserve">. La storia operativa di Solana è stata infatti contrassegnata da ciclici e macroscopici blocchi sistemici (network </w:t>
      </w:r>
      <w:r w:rsidRPr="46C9EF11" w:rsidR="464A8F88">
        <w:rPr>
          <w:rFonts w:ascii="Times New Roman" w:hAnsi="Times New Roman" w:eastAsia="Times New Roman" w:cs="Times New Roman"/>
          <w:b w:val="0"/>
          <w:bCs w:val="0"/>
          <w:sz w:val="24"/>
        </w:rPr>
        <w:t>outages</w:t>
      </w:r>
      <w:r w:rsidRPr="46C9EF11" w:rsidR="464A8F88">
        <w:rPr>
          <w:rFonts w:ascii="Times New Roman" w:hAnsi="Times New Roman" w:eastAsia="Times New Roman" w:cs="Times New Roman"/>
          <w:b w:val="0"/>
          <w:bCs w:val="0"/>
          <w:sz w:val="24"/>
        </w:rPr>
        <w:t>) e malfunzionamenti legati a fenomeni di sovraccarico del traffico transazionale. Queste patologie strutturali dimostrano come l'architettura, nel tentativo di saturare la capacità di calcolo orizzontale, tenda a manifestare una marcata vulnerabilità a tensioni impreviste del network, inficiando quel principio di continuità e certezza del registro distribuito che rappresenta il fulcro dogmatico del diritto delle tecnologie digitali</w:t>
      </w:r>
      <w:r w:rsidRPr="46C9EF11">
        <w:rPr>
          <w:rStyle w:val="FootnoteReference"/>
          <w:rFonts w:ascii="Times New Roman" w:hAnsi="Times New Roman" w:eastAsia="Times New Roman" w:cs="Times New Roman"/>
          <w:b w:val="0"/>
          <w:bCs w:val="0"/>
          <w:sz w:val="24"/>
        </w:rPr>
        <w:footnoteReference w:id="11351"/>
      </w:r>
      <w:r w:rsidRPr="46C9EF11" w:rsidR="464A8F88">
        <w:rPr>
          <w:rFonts w:ascii="Times New Roman" w:hAnsi="Times New Roman" w:eastAsia="Times New Roman" w:cs="Times New Roman"/>
          <w:b w:val="0"/>
          <w:bCs w:val="0"/>
          <w:sz w:val="24"/>
        </w:rPr>
        <w:t xml:space="preserve">. Ne consegue che, nell'analisi comparativa dei modelli di governance algoritmica, l'esperienza di Solana si configuri come un audace esperimento di efficientamento tecnologico, il cui successo di mercato rimane tuttavia vincolato alla risoluzione di un delicato quesito giuridico-informatico: se sia legittimo sacrificare la stabilità strutturale e la democraticità distributiva sull'altare della pura velocità esecutiva. </w:t>
      </w:r>
      <w:r w:rsidRPr="46C9EF11" w:rsidR="4AF53D4C">
        <w:rPr>
          <w:rFonts w:ascii="Times New Roman" w:hAnsi="Times New Roman" w:eastAsia="Times New Roman" w:cs="Times New Roman"/>
          <w:b w:val="0"/>
          <w:bCs w:val="0"/>
          <w:sz w:val="24"/>
        </w:rPr>
        <w:t xml:space="preserve"> </w:t>
      </w:r>
      <w:r w:rsidRPr="46C9EF11" w:rsidR="600CB1F8">
        <w:rPr>
          <w:rFonts w:ascii="Times New Roman" w:hAnsi="Times New Roman" w:eastAsia="Times New Roman" w:cs="Times New Roman"/>
          <w:b w:val="0"/>
          <w:bCs w:val="0"/>
          <w:sz w:val="24"/>
        </w:rPr>
        <w:t xml:space="preserve">Nel panorama dei meccanismi di consenso orientati al superamento del trilemma della blockchain, il protocollo di </w:t>
      </w:r>
      <w:r w:rsidRPr="46C9EF11" w:rsidR="600CB1F8">
        <w:rPr>
          <w:rFonts w:ascii="Times New Roman" w:hAnsi="Times New Roman" w:eastAsia="Times New Roman" w:cs="Times New Roman"/>
          <w:b w:val="0"/>
          <w:bCs w:val="0"/>
          <w:sz w:val="24"/>
        </w:rPr>
        <w:t>Algorand</w:t>
      </w:r>
      <w:r w:rsidRPr="46C9EF11" w:rsidR="600CB1F8">
        <w:rPr>
          <w:rFonts w:ascii="Times New Roman" w:hAnsi="Times New Roman" w:eastAsia="Times New Roman" w:cs="Times New Roman"/>
          <w:b w:val="0"/>
          <w:bCs w:val="0"/>
          <w:sz w:val="24"/>
        </w:rPr>
        <w:t xml:space="preserve">, ideato dal crittografo Silvio Micali, si distingue per l'implementazione del paradigma del Pure </w:t>
      </w:r>
      <w:r w:rsidRPr="46C9EF11" w:rsidR="600CB1F8">
        <w:rPr>
          <w:rFonts w:ascii="Times New Roman" w:hAnsi="Times New Roman" w:eastAsia="Times New Roman" w:cs="Times New Roman"/>
          <w:b w:val="0"/>
          <w:bCs w:val="0"/>
          <w:sz w:val="24"/>
        </w:rPr>
        <w:t>Proof</w:t>
      </w:r>
      <w:r w:rsidRPr="46C9EF11" w:rsidR="600CB1F8">
        <w:rPr>
          <w:rFonts w:ascii="Times New Roman" w:hAnsi="Times New Roman" w:eastAsia="Times New Roman" w:cs="Times New Roman"/>
          <w:b w:val="0"/>
          <w:bCs w:val="0"/>
          <w:sz w:val="24"/>
        </w:rPr>
        <w:t xml:space="preserve"> of Stake (</w:t>
      </w:r>
      <w:r w:rsidRPr="46C9EF11" w:rsidR="600CB1F8">
        <w:rPr>
          <w:rFonts w:ascii="Times New Roman" w:hAnsi="Times New Roman" w:eastAsia="Times New Roman" w:cs="Times New Roman"/>
          <w:b w:val="0"/>
          <w:bCs w:val="0"/>
          <w:sz w:val="24"/>
        </w:rPr>
        <w:t>PPoS</w:t>
      </w:r>
      <w:r w:rsidRPr="46C9EF11" w:rsidR="600CB1F8">
        <w:rPr>
          <w:rFonts w:ascii="Times New Roman" w:hAnsi="Times New Roman" w:eastAsia="Times New Roman" w:cs="Times New Roman"/>
          <w:b w:val="0"/>
          <w:bCs w:val="0"/>
          <w:sz w:val="24"/>
        </w:rPr>
        <w:t xml:space="preserve">). A differenza delle architetture di </w:t>
      </w:r>
      <w:r w:rsidRPr="46C9EF11" w:rsidR="600CB1F8">
        <w:rPr>
          <w:rFonts w:ascii="Times New Roman" w:hAnsi="Times New Roman" w:eastAsia="Times New Roman" w:cs="Times New Roman"/>
          <w:b w:val="0"/>
          <w:bCs w:val="0"/>
          <w:sz w:val="24"/>
        </w:rPr>
        <w:t>Proof</w:t>
      </w:r>
      <w:r w:rsidRPr="46C9EF11" w:rsidR="600CB1F8">
        <w:rPr>
          <w:rFonts w:ascii="Times New Roman" w:hAnsi="Times New Roman" w:eastAsia="Times New Roman" w:cs="Times New Roman"/>
          <w:b w:val="0"/>
          <w:bCs w:val="0"/>
          <w:sz w:val="24"/>
        </w:rPr>
        <w:t xml:space="preserve"> of Stake tradizionali, che tendono a favorire una concentrazione plutocratica del potere decisionale vincolando la validazione al possesso di ingenti capitali, il sistema </w:t>
      </w:r>
      <w:r w:rsidRPr="46C9EF11" w:rsidR="600CB1F8">
        <w:rPr>
          <w:rFonts w:ascii="Times New Roman" w:hAnsi="Times New Roman" w:eastAsia="Times New Roman" w:cs="Times New Roman"/>
          <w:b w:val="0"/>
          <w:bCs w:val="0"/>
          <w:sz w:val="24"/>
        </w:rPr>
        <w:t>PPoS</w:t>
      </w:r>
      <w:r w:rsidRPr="46C9EF11" w:rsidR="600CB1F8">
        <w:rPr>
          <w:rFonts w:ascii="Times New Roman" w:hAnsi="Times New Roman" w:eastAsia="Times New Roman" w:cs="Times New Roman"/>
          <w:b w:val="0"/>
          <w:bCs w:val="0"/>
          <w:sz w:val="24"/>
        </w:rPr>
        <w:t xml:space="preserve"> azzera le barriere d'ingresso economiche, consentendo potenzialmente a chiunque detenga anche una sola frazione del token nativo (</w:t>
      </w:r>
      <w:r w:rsidRPr="46C9EF11" w:rsidR="600CB1F8">
        <w:rPr>
          <w:rFonts w:ascii="Times New Roman" w:hAnsi="Times New Roman" w:eastAsia="Times New Roman" w:cs="Times New Roman"/>
          <w:b w:val="0"/>
          <w:bCs w:val="0"/>
          <w:sz w:val="24"/>
        </w:rPr>
        <w:t>Algo</w:t>
      </w:r>
      <w:r w:rsidRPr="46C9EF11" w:rsidR="600CB1F8">
        <w:rPr>
          <w:rFonts w:ascii="Times New Roman" w:hAnsi="Times New Roman" w:eastAsia="Times New Roman" w:cs="Times New Roman"/>
          <w:b w:val="0"/>
          <w:bCs w:val="0"/>
          <w:sz w:val="24"/>
        </w:rPr>
        <w:t>) di partecipare attivamente alla governance algoritmica della rete</w:t>
      </w:r>
      <w:r w:rsidRPr="46C9EF11">
        <w:rPr>
          <w:rStyle w:val="FootnoteReference"/>
          <w:rFonts w:ascii="Times New Roman" w:hAnsi="Times New Roman" w:eastAsia="Times New Roman" w:cs="Times New Roman"/>
          <w:b w:val="0"/>
          <w:bCs w:val="0"/>
          <w:sz w:val="24"/>
        </w:rPr>
        <w:footnoteReference w:id="13496"/>
      </w:r>
      <w:r w:rsidRPr="46C9EF11" w:rsidR="4AF53D4C">
        <w:rPr>
          <w:rFonts w:ascii="Times New Roman" w:hAnsi="Times New Roman" w:eastAsia="Times New Roman" w:cs="Times New Roman"/>
          <w:b w:val="0"/>
          <w:bCs w:val="0"/>
          <w:sz w:val="24"/>
        </w:rPr>
        <w:t>.</w:t>
      </w:r>
      <w:r w:rsidRPr="46C9EF11" w:rsidR="24CD4F38">
        <w:rPr>
          <w:rFonts w:ascii="Times New Roman" w:hAnsi="Times New Roman" w:eastAsia="Times New Roman" w:cs="Times New Roman"/>
          <w:b w:val="0"/>
          <w:bCs w:val="0"/>
          <w:sz w:val="24"/>
        </w:rPr>
        <w:t xml:space="preserve"> Il fulcro operativo del protocollo risiede in un sofisticato processo di selezione casuale e segreta dei nodi validatori, governato da un algoritmo di sorteggio crittografico noto come </w:t>
      </w:r>
      <w:r w:rsidRPr="46C9EF11" w:rsidR="24CD4F38">
        <w:rPr>
          <w:rFonts w:ascii="Times New Roman" w:hAnsi="Times New Roman" w:eastAsia="Times New Roman" w:cs="Times New Roman"/>
          <w:b w:val="0"/>
          <w:bCs w:val="0"/>
          <w:sz w:val="24"/>
        </w:rPr>
        <w:t>Cryptographic</w:t>
      </w:r>
      <w:r w:rsidRPr="46C9EF11" w:rsidR="24CD4F38">
        <w:rPr>
          <w:rFonts w:ascii="Times New Roman" w:hAnsi="Times New Roman" w:eastAsia="Times New Roman" w:cs="Times New Roman"/>
          <w:b w:val="0"/>
          <w:bCs w:val="0"/>
          <w:sz w:val="24"/>
        </w:rPr>
        <w:t xml:space="preserve"> </w:t>
      </w:r>
      <w:r w:rsidRPr="46C9EF11" w:rsidR="24CD4F38">
        <w:rPr>
          <w:rFonts w:ascii="Times New Roman" w:hAnsi="Times New Roman" w:eastAsia="Times New Roman" w:cs="Times New Roman"/>
          <w:b w:val="0"/>
          <w:bCs w:val="0"/>
          <w:sz w:val="24"/>
        </w:rPr>
        <w:t>Sortition</w:t>
      </w:r>
      <w:r w:rsidRPr="46C9EF11" w:rsidR="24CD4F38">
        <w:rPr>
          <w:rFonts w:ascii="Times New Roman" w:hAnsi="Times New Roman" w:eastAsia="Times New Roman" w:cs="Times New Roman"/>
          <w:b w:val="0"/>
          <w:bCs w:val="0"/>
          <w:sz w:val="24"/>
        </w:rPr>
        <w:t xml:space="preserve"> e supportato dalle Funzioni Casuali Verificabili (</w:t>
      </w:r>
      <w:r w:rsidRPr="46C9EF11" w:rsidR="24CD4F38">
        <w:rPr>
          <w:rFonts w:ascii="Times New Roman" w:hAnsi="Times New Roman" w:eastAsia="Times New Roman" w:cs="Times New Roman"/>
          <w:b w:val="0"/>
          <w:bCs w:val="0"/>
          <w:sz w:val="24"/>
        </w:rPr>
        <w:t>Verifiable</w:t>
      </w:r>
      <w:r w:rsidRPr="46C9EF11" w:rsidR="24CD4F38">
        <w:rPr>
          <w:rFonts w:ascii="Times New Roman" w:hAnsi="Times New Roman" w:eastAsia="Times New Roman" w:cs="Times New Roman"/>
          <w:b w:val="0"/>
          <w:bCs w:val="0"/>
          <w:sz w:val="24"/>
        </w:rPr>
        <w:t xml:space="preserve"> Random </w:t>
      </w:r>
      <w:r w:rsidRPr="46C9EF11" w:rsidR="24CD4F38">
        <w:rPr>
          <w:rFonts w:ascii="Times New Roman" w:hAnsi="Times New Roman" w:eastAsia="Times New Roman" w:cs="Times New Roman"/>
          <w:b w:val="0"/>
          <w:bCs w:val="0"/>
          <w:sz w:val="24"/>
        </w:rPr>
        <w:t>Functions</w:t>
      </w:r>
      <w:r w:rsidRPr="46C9EF11" w:rsidR="24CD4F38">
        <w:rPr>
          <w:rFonts w:ascii="Times New Roman" w:hAnsi="Times New Roman" w:eastAsia="Times New Roman" w:cs="Times New Roman"/>
          <w:b w:val="0"/>
          <w:bCs w:val="0"/>
          <w:sz w:val="24"/>
        </w:rPr>
        <w:t xml:space="preserve"> - VRF). Attraverso questo modulo matematico, ogni nodo è in grado di verificare autonomamente e privatamente se sia stato selezionato per proporre un nuovo blocco o per partecipare al successivo comitato di voto, senza che tale informazione possa essere intercettata o manipolata da attori malevoli prima della sua effettiva estrinsecazione sul network. Questa asimmetria informativa protegge la rete da attacchi mirati di tipo </w:t>
      </w:r>
      <w:r w:rsidRPr="46C9EF11" w:rsidR="24CD4F38">
        <w:rPr>
          <w:rFonts w:ascii="Times New Roman" w:hAnsi="Times New Roman" w:eastAsia="Times New Roman" w:cs="Times New Roman"/>
          <w:b w:val="0"/>
          <w:bCs w:val="0"/>
          <w:sz w:val="24"/>
        </w:rPr>
        <w:t>Denial</w:t>
      </w:r>
      <w:r w:rsidRPr="46C9EF11" w:rsidR="24CD4F38">
        <w:rPr>
          <w:rFonts w:ascii="Times New Roman" w:hAnsi="Times New Roman" w:eastAsia="Times New Roman" w:cs="Times New Roman"/>
          <w:b w:val="0"/>
          <w:bCs w:val="0"/>
          <w:sz w:val="24"/>
        </w:rPr>
        <w:t xml:space="preserve"> of Service (</w:t>
      </w:r>
      <w:r w:rsidRPr="46C9EF11" w:rsidR="24CD4F38">
        <w:rPr>
          <w:rFonts w:ascii="Times New Roman" w:hAnsi="Times New Roman" w:eastAsia="Times New Roman" w:cs="Times New Roman"/>
          <w:b w:val="0"/>
          <w:bCs w:val="0"/>
          <w:sz w:val="24"/>
        </w:rPr>
        <w:t>DoS</w:t>
      </w:r>
      <w:r w:rsidRPr="46C9EF11" w:rsidR="24CD4F38">
        <w:rPr>
          <w:rFonts w:ascii="Times New Roman" w:hAnsi="Times New Roman" w:eastAsia="Times New Roman" w:cs="Times New Roman"/>
          <w:b w:val="0"/>
          <w:bCs w:val="0"/>
          <w:sz w:val="24"/>
        </w:rPr>
        <w:t>), poiché l'identità dei validatori si manifesta soltanto nel momento esatto in cui il blocco viene propagato</w:t>
      </w:r>
      <w:r w:rsidRPr="46C9EF11">
        <w:rPr>
          <w:rStyle w:val="FootnoteReference"/>
          <w:rFonts w:ascii="Times New Roman" w:hAnsi="Times New Roman" w:eastAsia="Times New Roman" w:cs="Times New Roman"/>
          <w:b w:val="0"/>
          <w:bCs w:val="0"/>
          <w:sz w:val="24"/>
        </w:rPr>
        <w:footnoteReference w:id="20696"/>
      </w:r>
      <w:r w:rsidRPr="46C9EF11" w:rsidR="24CD4F38">
        <w:rPr>
          <w:rFonts w:ascii="Times New Roman" w:hAnsi="Times New Roman" w:eastAsia="Times New Roman" w:cs="Times New Roman"/>
          <w:b w:val="0"/>
          <w:bCs w:val="0"/>
          <w:sz w:val="24"/>
        </w:rPr>
        <w:t>.</w:t>
      </w:r>
      <w:r w:rsidRPr="46C9EF11" w:rsidR="58B0686A">
        <w:rPr>
          <w:rFonts w:ascii="Times New Roman" w:hAnsi="Times New Roman" w:eastAsia="Times New Roman" w:cs="Times New Roman"/>
          <w:b w:val="0"/>
          <w:bCs w:val="0"/>
          <w:sz w:val="24"/>
        </w:rPr>
        <w:t xml:space="preserve"> </w:t>
      </w:r>
      <w:r w:rsidRPr="46C9EF11" w:rsidR="4BC48CB6">
        <w:rPr>
          <w:rFonts w:ascii="Times New Roman" w:hAnsi="Times New Roman" w:eastAsia="Times New Roman" w:cs="Times New Roman"/>
          <w:b w:val="0"/>
          <w:bCs w:val="0"/>
          <w:sz w:val="24"/>
        </w:rPr>
        <w:t xml:space="preserve"> </w:t>
      </w:r>
      <w:r w:rsidRPr="46C9EF11" w:rsidR="44F65C8B">
        <w:rPr>
          <w:rFonts w:ascii="Times New Roman" w:hAnsi="Times New Roman" w:eastAsia="Times New Roman" w:cs="Times New Roman"/>
          <w:b w:val="0"/>
          <w:bCs w:val="0"/>
          <w:sz w:val="24"/>
        </w:rPr>
        <w:t xml:space="preserve"> </w:t>
      </w:r>
      <w:r w:rsidRPr="46C9EF11" w:rsidR="28586AE2">
        <w:rPr>
          <w:rFonts w:ascii="Times New Roman" w:hAnsi="Times New Roman" w:eastAsia="Times New Roman" w:cs="Times New Roman"/>
          <w:b w:val="0"/>
          <w:bCs w:val="0"/>
          <w:sz w:val="24"/>
        </w:rPr>
        <w:t xml:space="preserve">Un ulteriore tratto distintivo e dogmatico di </w:t>
      </w:r>
      <w:r w:rsidRPr="46C9EF11" w:rsidR="28586AE2">
        <w:rPr>
          <w:rFonts w:ascii="Times New Roman" w:hAnsi="Times New Roman" w:eastAsia="Times New Roman" w:cs="Times New Roman"/>
          <w:b w:val="0"/>
          <w:bCs w:val="0"/>
          <w:sz w:val="24"/>
        </w:rPr>
        <w:t>Algorand</w:t>
      </w:r>
      <w:r w:rsidRPr="46C9EF11" w:rsidR="28586AE2">
        <w:rPr>
          <w:rFonts w:ascii="Times New Roman" w:hAnsi="Times New Roman" w:eastAsia="Times New Roman" w:cs="Times New Roman"/>
          <w:b w:val="0"/>
          <w:bCs w:val="0"/>
          <w:sz w:val="24"/>
        </w:rPr>
        <w:t xml:space="preserve"> è rappresentato dal principio della finalità immediata delle transazioni (instant </w:t>
      </w:r>
      <w:r w:rsidRPr="46C9EF11" w:rsidR="28586AE2">
        <w:rPr>
          <w:rFonts w:ascii="Times New Roman" w:hAnsi="Times New Roman" w:eastAsia="Times New Roman" w:cs="Times New Roman"/>
          <w:b w:val="0"/>
          <w:bCs w:val="0"/>
          <w:sz w:val="24"/>
        </w:rPr>
        <w:t>finality</w:t>
      </w:r>
      <w:r w:rsidRPr="46C9EF11" w:rsidR="28586AE2">
        <w:rPr>
          <w:rFonts w:ascii="Times New Roman" w:hAnsi="Times New Roman" w:eastAsia="Times New Roman" w:cs="Times New Roman"/>
          <w:b w:val="0"/>
          <w:bCs w:val="0"/>
          <w:sz w:val="24"/>
        </w:rPr>
        <w:t xml:space="preserve">). Grazie a un protocollo di consenso bizantino estremamente rapido ed efficiente, la catena di blocchi esclude strutturalmente il rischio di biforcazioni non pianificate (hard </w:t>
      </w:r>
      <w:r w:rsidRPr="46C9EF11" w:rsidR="28586AE2">
        <w:rPr>
          <w:rFonts w:ascii="Times New Roman" w:hAnsi="Times New Roman" w:eastAsia="Times New Roman" w:cs="Times New Roman"/>
          <w:b w:val="0"/>
          <w:bCs w:val="0"/>
          <w:sz w:val="24"/>
        </w:rPr>
        <w:t>forks</w:t>
      </w:r>
      <w:r w:rsidRPr="46C9EF11" w:rsidR="28586AE2">
        <w:rPr>
          <w:rFonts w:ascii="Times New Roman" w:hAnsi="Times New Roman" w:eastAsia="Times New Roman" w:cs="Times New Roman"/>
          <w:b w:val="0"/>
          <w:bCs w:val="0"/>
          <w:sz w:val="24"/>
        </w:rPr>
        <w:t>): una volta che un blocco ha superato il vaglio del comitato, esso viene irrevocabilmente cristallizzato nel registro distribuito con tempi di latenza inferiori ai tre secondi</w:t>
      </w:r>
      <w:r w:rsidRPr="46C9EF11">
        <w:rPr>
          <w:rStyle w:val="FootnoteReference"/>
          <w:rFonts w:ascii="Times New Roman" w:hAnsi="Times New Roman" w:eastAsia="Times New Roman" w:cs="Times New Roman"/>
          <w:b w:val="0"/>
          <w:bCs w:val="0"/>
          <w:sz w:val="24"/>
        </w:rPr>
        <w:footnoteReference w:id="19836"/>
      </w:r>
      <w:r w:rsidRPr="46C9EF11" w:rsidR="28586AE2">
        <w:rPr>
          <w:rFonts w:ascii="Times New Roman" w:hAnsi="Times New Roman" w:eastAsia="Times New Roman" w:cs="Times New Roman"/>
          <w:b w:val="0"/>
          <w:bCs w:val="0"/>
          <w:sz w:val="24"/>
        </w:rPr>
        <w:t xml:space="preserve">. Sebbene l'intera impalcatura poggi sulla solidità delle assunzioni crittografiche delle VRF — esponendosi, secondo parte della critica, a vulnerabilità teoriche ancora non esplorate nel lungo periodo —, l'architettura di </w:t>
      </w:r>
      <w:r w:rsidRPr="46C9EF11" w:rsidR="28586AE2">
        <w:rPr>
          <w:rFonts w:ascii="Times New Roman" w:hAnsi="Times New Roman" w:eastAsia="Times New Roman" w:cs="Times New Roman"/>
          <w:b w:val="0"/>
          <w:bCs w:val="0"/>
          <w:sz w:val="24"/>
        </w:rPr>
        <w:t>Algorand</w:t>
      </w:r>
      <w:r w:rsidRPr="46C9EF11" w:rsidR="28586AE2">
        <w:rPr>
          <w:rFonts w:ascii="Times New Roman" w:hAnsi="Times New Roman" w:eastAsia="Times New Roman" w:cs="Times New Roman"/>
          <w:b w:val="0"/>
          <w:bCs w:val="0"/>
          <w:sz w:val="24"/>
        </w:rPr>
        <w:t xml:space="preserve"> dimostra sul piano pratico come sia possibile coniugare un throughput superiore alle mille transazioni al secondo con elevatissimi standard di decentralizzazione e sicurezza, offrendo un solido modello di riferimento per la digitalizzazione dei diritti e l'automazione dei mercati complessi</w:t>
      </w:r>
      <w:r w:rsidRPr="46C9EF11">
        <w:rPr>
          <w:rStyle w:val="FootnoteReference"/>
          <w:rFonts w:ascii="Times New Roman" w:hAnsi="Times New Roman" w:eastAsia="Times New Roman" w:cs="Times New Roman"/>
          <w:b w:val="0"/>
          <w:bCs w:val="0"/>
          <w:sz w:val="24"/>
        </w:rPr>
        <w:footnoteReference w:id="10690"/>
      </w:r>
      <w:r w:rsidRPr="46C9EF11" w:rsidR="28586AE2">
        <w:rPr>
          <w:rFonts w:ascii="Times New Roman" w:hAnsi="Times New Roman" w:eastAsia="Times New Roman" w:cs="Times New Roman"/>
          <w:b w:val="0"/>
          <w:bCs w:val="0"/>
          <w:sz w:val="24"/>
        </w:rPr>
        <w:t>.</w:t>
      </w:r>
    </w:p>
    <w:p w:rsidR="46C9EF11" w:rsidP="46C9EF11" w:rsidRDefault="46C9EF11" w14:paraId="75EC1B89" w14:textId="0B26CE91">
      <w:pPr>
        <w:pStyle w:val="Normal"/>
        <w:spacing w:before="0" w:beforeAutospacing="off" w:line="360" w:lineRule="auto"/>
        <w:ind w:firstLine="0"/>
        <w:rPr>
          <w:rFonts w:ascii="Times New Roman" w:hAnsi="Times New Roman" w:eastAsia="Times New Roman" w:cs="Times New Roman"/>
          <w:b w:val="0"/>
          <w:bCs w:val="0"/>
        </w:rPr>
      </w:pPr>
    </w:p>
    <w:p w:rsidR="44224BB2" w:rsidP="24DEF490" w:rsidRDefault="44224BB2" w14:paraId="76847C6E" w14:textId="19C24E65">
      <w:pPr>
        <w:pStyle w:val="Normal"/>
        <w:spacing w:before="0" w:beforeAutospacing="off" w:line="360" w:lineRule="auto"/>
        <w:ind w:firstLine="0"/>
        <w:jc w:val="left"/>
      </w:pPr>
      <w:r w:rsidRPr="25A44C1F" w:rsidR="3968B5EB">
        <w:rPr>
          <w:rFonts w:ascii="Times New Roman" w:hAnsi="Times New Roman" w:eastAsia="Times New Roman" w:cs="Times New Roman"/>
          <w:b/>
          <w:bCs w:val="1"/>
          <w:sz w:val="24"/>
          <w:szCs w:val="24"/>
        </w:rPr>
        <w:t>5.3 Necessario Intervento Normativo</w:t>
      </w:r>
      <w:r w:rsidRPr="25A44C1F" w:rsidR="40983F4C">
        <w:rPr>
          <w:rFonts w:ascii="Times New Roman" w:hAnsi="Times New Roman" w:eastAsia="Times New Roman" w:cs="Times New Roman"/>
          <w:b/>
          <w:bCs w:val="1"/>
          <w:sz w:val="24"/>
          <w:szCs w:val="24"/>
        </w:rPr>
        <w:t xml:space="preserve"> </w:t>
      </w:r>
    </w:p>
    <w:p w:rsidR="1022AC98" w:rsidP="25A44C1F" w:rsidRDefault="1022AC98" w14:paraId="6874C71B" w14:textId="777E9E64">
      <w:pPr>
        <w:pStyle w:val="Normal"/>
        <w:spacing w:before="0" w:beforeAutospacing="off" w:line="360" w:lineRule="auto"/>
        <w:ind w:firstLine="567"/>
        <w:jc w:val="both"/>
      </w:pPr>
      <w:r w:rsidRPr="25A44C1F" w:rsidR="1022AC98">
        <w:rPr>
          <w:rFonts w:ascii="Times New Roman" w:hAnsi="Times New Roman" w:eastAsia="Times New Roman" w:cs="Times New Roman"/>
          <w:b w:val="0"/>
          <w:bCs w:val="0"/>
          <w:sz w:val="24"/>
          <w:szCs w:val="24"/>
        </w:rPr>
        <w:t xml:space="preserve">L'odierno assetto del diritto processuale penale italiano manifesta una vistosa e non più tollerabile lacuna regolamentare in ordine alle procedure ablative aventi a oggetto i dispositivi di archiviazione ed elaborazione elettronica, con particolare riferimento agli strumenti di comunicazione mobile quali smartphone, tablet e personal computer. Lungi dal configurarsi come una mera iperbole dialettica, tale assunto fotografa fedelmente una realtà fenomenica in cui gli istituti di ricerca della prova previsti dal codice di rito si rivelano radicalmente asimmetrici rispetto alla pervasività e alla centralità che i </w:t>
      </w:r>
      <w:r w:rsidRPr="25A44C1F" w:rsidR="1022AC98">
        <w:rPr>
          <w:rFonts w:ascii="Times New Roman" w:hAnsi="Times New Roman" w:eastAsia="Times New Roman" w:cs="Times New Roman"/>
          <w:b w:val="0"/>
          <w:bCs w:val="0"/>
          <w:sz w:val="24"/>
          <w:szCs w:val="24"/>
        </w:rPr>
        <w:t>summenzionati</w:t>
      </w:r>
      <w:r w:rsidRPr="25A44C1F" w:rsidR="1022AC98">
        <w:rPr>
          <w:rFonts w:ascii="Times New Roman" w:hAnsi="Times New Roman" w:eastAsia="Times New Roman" w:cs="Times New Roman"/>
          <w:b w:val="0"/>
          <w:bCs w:val="0"/>
          <w:sz w:val="24"/>
          <w:szCs w:val="24"/>
        </w:rPr>
        <w:t xml:space="preserve"> supporti rivestono nell'esistenza quotidiana del consorzio sociale. Ne deriva una costante e sproporzionata compressione della sfera relazionale e della riservatezza individuale, la quale si consuma frequentemente al di fuori di ogni coordinata di legittima proporzionalità </w:t>
      </w:r>
      <w:r w:rsidRPr="25A44C1F" w:rsidR="1022AC98">
        <w:rPr>
          <w:rFonts w:ascii="Times New Roman" w:hAnsi="Times New Roman" w:eastAsia="Times New Roman" w:cs="Times New Roman"/>
          <w:b w:val="0"/>
          <w:bCs w:val="0"/>
          <w:sz w:val="24"/>
          <w:szCs w:val="24"/>
        </w:rPr>
        <w:t>edeguatezza</w:t>
      </w:r>
      <w:r w:rsidRPr="25A44C1F" w:rsidR="1022AC98">
        <w:rPr>
          <w:rFonts w:ascii="Times New Roman" w:hAnsi="Times New Roman" w:eastAsia="Times New Roman" w:cs="Times New Roman"/>
          <w:b w:val="0"/>
          <w:bCs w:val="0"/>
          <w:sz w:val="24"/>
          <w:szCs w:val="24"/>
        </w:rPr>
        <w:t xml:space="preserve">. </w:t>
      </w:r>
      <w:r w:rsidRPr="25A44C1F" w:rsidR="45F82162">
        <w:rPr>
          <w:rFonts w:ascii="Times New Roman" w:hAnsi="Times New Roman" w:eastAsia="Times New Roman" w:cs="Times New Roman"/>
          <w:b w:val="0"/>
          <w:bCs w:val="0"/>
          <w:sz w:val="24"/>
          <w:szCs w:val="24"/>
        </w:rPr>
        <w:t>I recenti approdi interpretativi della Corte di Giustizia dell’Unione Europea e, sul piano interno, del Giudice delle Leggi hanno corroborato la necessità di una tutela effettiva e stringente del diritto alla riservatezza e alla segretezza delle comunicazioni</w:t>
      </w:r>
      <w:r w:rsidRPr="25A44C1F">
        <w:rPr>
          <w:rStyle w:val="FootnoteReference"/>
          <w:rFonts w:ascii="Times New Roman" w:hAnsi="Times New Roman" w:eastAsia="Times New Roman" w:cs="Times New Roman"/>
          <w:b w:val="0"/>
          <w:bCs w:val="0"/>
          <w:sz w:val="24"/>
          <w:szCs w:val="24"/>
        </w:rPr>
        <w:footnoteReference w:id="22591"/>
      </w:r>
      <w:r w:rsidRPr="25A44C1F" w:rsidR="45F82162">
        <w:rPr>
          <w:rFonts w:ascii="Times New Roman" w:hAnsi="Times New Roman" w:eastAsia="Times New Roman" w:cs="Times New Roman"/>
          <w:b w:val="0"/>
          <w:bCs w:val="0"/>
          <w:sz w:val="24"/>
          <w:szCs w:val="24"/>
        </w:rPr>
        <w:t xml:space="preserve">. In questa cornice ordinamentale, le odierne iniziative riformatrici intraprese dal legislatore nazionale per colmare tale vuoto normativo devono essere accolte con favore, auspicando tuttavia che il percorso parlamentare sia guidato da un rigoroso rigore metodologico, idoneo a scongiurare l'introduzione di assetti precettivi strutturalmente inadeguati rispetto alle finalità garantiste dichiarate. </w:t>
      </w:r>
      <w:r w:rsidRPr="25A44C1F" w:rsidR="291C85AB">
        <w:rPr>
          <w:rFonts w:ascii="Times New Roman" w:hAnsi="Times New Roman" w:eastAsia="Times New Roman" w:cs="Times New Roman"/>
          <w:b w:val="0"/>
          <w:bCs w:val="0"/>
          <w:sz w:val="24"/>
          <w:szCs w:val="24"/>
        </w:rPr>
        <w:t>A tal proposito, la Commissione Giustizia del Senato ha avviato l’esame congiunto dei disegni di legge n. S 690 e n. S 806, entrambi finalizzati all'introduzione nel tessuto codicistico di una disposizione ad hoc, l’articolo 254-ter c.p.p., specificamente deputata a disciplinare il sequestro di dispositivi informatici, sistemi telematici, smartphone e memorie digitali</w:t>
      </w:r>
      <w:r w:rsidRPr="25A44C1F">
        <w:rPr>
          <w:rStyle w:val="FootnoteReference"/>
          <w:rFonts w:ascii="Times New Roman" w:hAnsi="Times New Roman" w:eastAsia="Times New Roman" w:cs="Times New Roman"/>
          <w:b w:val="0"/>
          <w:bCs w:val="0"/>
          <w:sz w:val="24"/>
          <w:szCs w:val="24"/>
        </w:rPr>
        <w:footnoteReference w:id="14532"/>
      </w:r>
      <w:r w:rsidRPr="25A44C1F" w:rsidR="291C85AB">
        <w:rPr>
          <w:rFonts w:ascii="Times New Roman" w:hAnsi="Times New Roman" w:eastAsia="Times New Roman" w:cs="Times New Roman"/>
          <w:b w:val="0"/>
          <w:bCs w:val="0"/>
          <w:sz w:val="24"/>
          <w:szCs w:val="24"/>
        </w:rPr>
        <w:t xml:space="preserve">. L'esame parallelo di tali proposte legislative costituisce un dato indubbiamente positivo: una disamina prognostica dei testi evidenzia infatti come nessuna delle due iniziative sia in grado, singolarmente considerata, di risolvere il complesso catalogo di criticità che la prassi forense manifesta. Risulta pertanto auspicabile che il dibattito parlamentare conduca a una sintesi sinergica, capace di mutuare i profili virtuosi di ciascun testo al fine di delineare un equo punto di equilibrio tra le esigenze di accertamento repressivo dello Stato e le imprescindibili prerogative di tutela della privacy. </w:t>
      </w:r>
      <w:r w:rsidRPr="25A44C1F" w:rsidR="10EAFB92">
        <w:rPr>
          <w:rFonts w:ascii="Times New Roman" w:hAnsi="Times New Roman" w:eastAsia="Times New Roman" w:cs="Times New Roman"/>
          <w:b w:val="0"/>
          <w:bCs w:val="0"/>
          <w:sz w:val="24"/>
          <w:szCs w:val="24"/>
        </w:rPr>
        <w:t xml:space="preserve">L'orizzonte concettuale entro cui il futuro intervento normativo è chiamato a operare è stato radicalmente ridefinito da un fondamentale e dirompente intervento della </w:t>
      </w:r>
      <w:r w:rsidRPr="25A44C1F" w:rsidR="10EAFB92">
        <w:rPr>
          <w:rFonts w:ascii="Times New Roman" w:hAnsi="Times New Roman" w:eastAsia="Times New Roman" w:cs="Times New Roman"/>
          <w:b w:val="0"/>
          <w:bCs w:val="0"/>
          <w:sz w:val="24"/>
          <w:szCs w:val="24"/>
        </w:rPr>
        <w:t>Corte Costituzionale</w:t>
      </w:r>
      <w:r w:rsidRPr="25A44C1F" w:rsidR="10EAFB92">
        <w:rPr>
          <w:rFonts w:ascii="Times New Roman" w:hAnsi="Times New Roman" w:eastAsia="Times New Roman" w:cs="Times New Roman"/>
          <w:b w:val="0"/>
          <w:bCs w:val="0"/>
          <w:sz w:val="24"/>
          <w:szCs w:val="24"/>
        </w:rPr>
        <w:t>. Con la sentenza n. 170 del 27 luglio 2023, il Giudice delle Leggi ha scardinato lo status quo interpretativo, chiarendo che i messaggi di posta elettronica e i flussi di messaggistica istantanea non possono essere degradati a meri documenti statici, bensì integrano la nozione giuridica di "corrispondenza", anche laddove siano già stati ricevuti e letti dal destinatario. Tali flussi comunicativi risultano, pertanto, pienamente coperti dall'art. 15 Cost. Più nello specifico, la Consulta ha statuito che la tutela della corrispondenza – inclusa quella elettronica – si estende anche oltre il momento della ricezione, mantenendo intatto il proprio nucleo di riservatezza sino a quando il decorso del tempo non ne abbia eliso ogni carattere di attualità relazionale, mutandola in un mero reperto storico. Sebbene tale pronuncia abbia risolto un annoso contrasto dogmatico, essa ha contestualmente disvelato nuove aporie di sistema. Nel riconoscere la legittimità del sequestro del dispositivo finalizzato all'apprensione dei messaggi in esso custoditi, la Corte ha delineato una tutela parcellizzata e sui generis che si rivela incompleta rispetto alla portata dell'art. 15 Cost. e del diritto sovranazionale, confermando l'assoluta e indifferibile necessità di un intervento legislativo di rango primario</w:t>
      </w:r>
      <w:r w:rsidRPr="25A44C1F">
        <w:rPr>
          <w:rStyle w:val="FootnoteReference"/>
          <w:rFonts w:ascii="Times New Roman" w:hAnsi="Times New Roman" w:eastAsia="Times New Roman" w:cs="Times New Roman"/>
          <w:b w:val="0"/>
          <w:bCs w:val="0"/>
          <w:sz w:val="24"/>
          <w:szCs w:val="24"/>
        </w:rPr>
        <w:footnoteReference w:id="20472"/>
      </w:r>
      <w:r w:rsidRPr="25A44C1F" w:rsidR="10EAFB92">
        <w:rPr>
          <w:rFonts w:ascii="Times New Roman" w:hAnsi="Times New Roman" w:eastAsia="Times New Roman" w:cs="Times New Roman"/>
          <w:b w:val="0"/>
          <w:bCs w:val="0"/>
          <w:sz w:val="24"/>
          <w:szCs w:val="24"/>
        </w:rPr>
        <w:t xml:space="preserve">. Sotto tale profilo, l'assimilazione delle chat e delle e-mail lette all'alveo della corrispondenza evoca l'operatività della doppia riserva, di legge e di giurisdizione, sancita dall'articolo 15 della </w:t>
      </w:r>
      <w:r w:rsidRPr="25A44C1F" w:rsidR="10EAFB92">
        <w:rPr>
          <w:rFonts w:ascii="Times New Roman" w:hAnsi="Times New Roman" w:eastAsia="Times New Roman" w:cs="Times New Roman"/>
          <w:b w:val="0"/>
          <w:bCs w:val="0"/>
          <w:sz w:val="24"/>
          <w:szCs w:val="24"/>
        </w:rPr>
        <w:t>Carta Costituzionale</w:t>
      </w:r>
      <w:r w:rsidRPr="25A44C1F" w:rsidR="10EAFB92">
        <w:rPr>
          <w:rFonts w:ascii="Times New Roman" w:hAnsi="Times New Roman" w:eastAsia="Times New Roman" w:cs="Times New Roman"/>
          <w:b w:val="0"/>
          <w:bCs w:val="0"/>
          <w:sz w:val="24"/>
          <w:szCs w:val="24"/>
        </w:rPr>
        <w:t>. Se la riserva di giurisdizione ha trovato sino ad oggi un formale, ancorché discutibile, presidio nel decreto di sequestro emanato dal Pubblico Ministero, la riserva assoluta di legge esige che qualsiasi limitazione della libertà e della segretezza delle comunicazioni avvenga esclusivamente secondo "le garanzie stabilite dalla legge". Come autorevolmente rilevato dalla dottrina, il concetto di "garanzie" non può risolversi nella mera indicazione dei casi e dei modi dell'intervento ablativo, ma impone la predisposizione di protocolli tecnici e giuridici idonei a circoscrivere l'intrusione statuale e a salvaguardare la sfera giuridica dei soggetti coinvolti</w:t>
      </w:r>
      <w:r w:rsidRPr="25A44C1F">
        <w:rPr>
          <w:rStyle w:val="FootnoteReference"/>
          <w:rFonts w:ascii="Times New Roman" w:hAnsi="Times New Roman" w:eastAsia="Times New Roman" w:cs="Times New Roman"/>
          <w:b w:val="0"/>
          <w:bCs w:val="0"/>
          <w:sz w:val="24"/>
          <w:szCs w:val="24"/>
        </w:rPr>
        <w:footnoteReference w:id="24105"/>
      </w:r>
      <w:r w:rsidRPr="25A44C1F" w:rsidR="10EAFB92">
        <w:rPr>
          <w:rFonts w:ascii="Times New Roman" w:hAnsi="Times New Roman" w:eastAsia="Times New Roman" w:cs="Times New Roman"/>
          <w:b w:val="0"/>
          <w:bCs w:val="0"/>
          <w:sz w:val="24"/>
          <w:szCs w:val="24"/>
        </w:rPr>
        <w:t xml:space="preserve">. Attualmente, l'ordinamento italiano è del tutto sprovvisto di una siffatta disciplina primaria. </w:t>
      </w:r>
      <w:r w:rsidRPr="25A44C1F" w:rsidR="0F9697F3">
        <w:rPr>
          <w:rFonts w:ascii="Times New Roman" w:hAnsi="Times New Roman" w:eastAsia="Times New Roman" w:cs="Times New Roman"/>
          <w:b w:val="0"/>
          <w:bCs w:val="0"/>
          <w:sz w:val="24"/>
          <w:szCs w:val="24"/>
        </w:rPr>
        <w:t>Non può infatti ritenersi satisfattivo il generico richiamo all'istituto del sequestro probatorio di cui all'art. 253 c.p.p. Nel prisma dell'acquisizione informatica, il vero oggetto del vincolo reale non è la res fisica – ossia il dispositivo elettronico in quanto mero contenitore – bensì il patrimonio informativo in esso stratificato (il contenuto), nella sola misura in cui risulti strettamente pertinente all'accertamento penale. Manca, nell'attuale architettura codicistica, una consapevole e mirata modulazione dell'atto invasivo che solo il legislatore è legittimato a compiere, atteso che lo smartphone non si configura come un semplice oggetto di proprietà o possesso, ma rappresenta il custode e il veicolo della libertà di comunicazione dell'individuo</w:t>
      </w:r>
      <w:r w:rsidRPr="25A44C1F">
        <w:rPr>
          <w:rStyle w:val="FootnoteReference"/>
          <w:rFonts w:ascii="Times New Roman" w:hAnsi="Times New Roman" w:eastAsia="Times New Roman" w:cs="Times New Roman"/>
          <w:b w:val="0"/>
          <w:bCs w:val="0"/>
          <w:sz w:val="24"/>
          <w:szCs w:val="24"/>
        </w:rPr>
        <w:footnoteReference w:id="30459"/>
      </w:r>
      <w:r w:rsidRPr="25A44C1F" w:rsidR="0F9697F3">
        <w:rPr>
          <w:rFonts w:ascii="Times New Roman" w:hAnsi="Times New Roman" w:eastAsia="Times New Roman" w:cs="Times New Roman"/>
          <w:b w:val="0"/>
          <w:bCs w:val="0"/>
          <w:sz w:val="24"/>
          <w:szCs w:val="24"/>
        </w:rPr>
        <w:t xml:space="preserve">. Nel descritto scenario di riferimento, emergono quattro specifiche macro-problematiche che l'intervento riformatore non può esimersi dal codificare: </w:t>
      </w:r>
    </w:p>
    <w:p w:rsidR="0F9697F3" w:rsidP="25A44C1F" w:rsidRDefault="0F9697F3" w14:paraId="534E3241" w14:textId="2E320140">
      <w:pPr>
        <w:pStyle w:val="ListParagraph"/>
        <w:numPr>
          <w:ilvl w:val="0"/>
          <w:numId w:val="2"/>
        </w:numPr>
        <w:spacing w:before="0" w:beforeAutospacing="off" w:line="360" w:lineRule="auto"/>
        <w:ind w:firstLine="567"/>
        <w:jc w:val="both"/>
        <w:rPr>
          <w:rFonts w:ascii="Times New Roman" w:hAnsi="Times New Roman" w:eastAsia="Times New Roman" w:cs="Times New Roman"/>
          <w:b w:val="0"/>
          <w:bCs w:val="0"/>
          <w:sz w:val="24"/>
          <w:szCs w:val="24"/>
        </w:rPr>
      </w:pPr>
      <w:r w:rsidRPr="25A44C1F" w:rsidR="0F9697F3">
        <w:rPr>
          <w:rFonts w:ascii="Times New Roman" w:hAnsi="Times New Roman" w:eastAsia="Times New Roman" w:cs="Times New Roman"/>
          <w:b w:val="0"/>
          <w:bCs w:val="0"/>
          <w:sz w:val="24"/>
          <w:szCs w:val="24"/>
        </w:rPr>
        <w:t>La prima questione attiene alla tenuta costituzionale ed eurocomunitaria di un provvedimento limitativo ex art. 15 Cost. adottato in via esclusiva dalla parte inquirente. Sulla scorta dei vincoli imposti dalla Corte di Giustizia dell'Unione Europea, il legislatore nazionale è già stato costretto a rimodulare i meccanismi di accesso ai dati esterni del traffico telefonico e telematico. Il D.L. 30 settembre 2021, n. 132 (convertito con modifiche dalla L. 23 novembre 2021, n. 178) ha novellato l'art. 132 del D.Lgs. 196/2003, subordinando l'acquisizione dei tabulati e dei dati di ubicazione a una preventiva autorizzazione rilasciata dal giudice con decreto motivato. Al cospetto di tale evoluzione normativa, appare evidente l'irragionevolezza sistematica – anche in relazione al principio di uguaglianza di cui all'art. 3 Cost. – di un modello che richiede il vaglio del giudice per la conoscenza dei soli dati esterni e macroscopici della comunicazione, lasciando invece nella provvisoria disponibilità del Pubblico Ministero l'apprensione intrusiva del contenuto intrinseco delle comunicazioni medesime.</w:t>
      </w:r>
    </w:p>
    <w:p w:rsidR="0F9697F3" w:rsidP="25A44C1F" w:rsidRDefault="0F9697F3" w14:paraId="18B21FE8" w14:textId="772C6E2D">
      <w:pPr>
        <w:pStyle w:val="ListParagraph"/>
        <w:numPr>
          <w:ilvl w:val="0"/>
          <w:numId w:val="2"/>
        </w:numPr>
        <w:spacing w:before="0" w:beforeAutospacing="off" w:line="360" w:lineRule="auto"/>
        <w:ind w:firstLine="567"/>
        <w:jc w:val="both"/>
        <w:rPr>
          <w:rFonts w:ascii="Times New Roman" w:hAnsi="Times New Roman" w:eastAsia="Times New Roman" w:cs="Times New Roman"/>
          <w:b w:val="0"/>
          <w:bCs w:val="0"/>
          <w:sz w:val="24"/>
          <w:szCs w:val="24"/>
        </w:rPr>
      </w:pPr>
      <w:r w:rsidRPr="25A44C1F" w:rsidR="0F9697F3">
        <w:rPr>
          <w:rFonts w:ascii="Times New Roman" w:hAnsi="Times New Roman" w:eastAsia="Times New Roman" w:cs="Times New Roman"/>
          <w:b w:val="0"/>
          <w:bCs w:val="0"/>
          <w:sz w:val="24"/>
          <w:szCs w:val="24"/>
        </w:rPr>
        <w:t xml:space="preserve">La seconda criticità investe lo spettro finalistico dell'atto investigativo e i presupposti di gravità delittuosa legittimanti l'intrusione. L'ordinamento, in materia di tabulati, àncora la facoltà di accesso a rigorosi indici di gravità edittale (reati puniti con l'ergastolo o con la reclusione non inferiore nel massimo a tre anni, oltre ai delitti di minaccia o molestia grave). Per contro, l'acquisizione dello smartphone e della corrispondenza in esso conservata non sconta alcuna selezione quantitativa o qualitativa dei titoli di reato, consentendo accessi indiscriminati anche per fattispecie di modesta entità penale, in palese spregio del principio di proporzionalità. </w:t>
      </w:r>
    </w:p>
    <w:p w:rsidR="0F9697F3" w:rsidP="25A44C1F" w:rsidRDefault="0F9697F3" w14:paraId="69E33501" w14:textId="7DEB49F2">
      <w:pPr>
        <w:pStyle w:val="ListParagraph"/>
        <w:numPr>
          <w:ilvl w:val="0"/>
          <w:numId w:val="2"/>
        </w:numPr>
        <w:spacing w:before="0" w:beforeAutospacing="off" w:line="360" w:lineRule="auto"/>
        <w:ind w:firstLine="567"/>
        <w:jc w:val="both"/>
        <w:rPr>
          <w:rFonts w:ascii="Times New Roman" w:hAnsi="Times New Roman" w:eastAsia="Times New Roman" w:cs="Times New Roman"/>
          <w:b w:val="0"/>
          <w:bCs w:val="0"/>
          <w:sz w:val="24"/>
          <w:szCs w:val="24"/>
        </w:rPr>
      </w:pPr>
      <w:r w:rsidRPr="25A44C1F" w:rsidR="0F9697F3">
        <w:rPr>
          <w:rFonts w:ascii="Times New Roman" w:hAnsi="Times New Roman" w:eastAsia="Times New Roman" w:cs="Times New Roman"/>
          <w:b w:val="0"/>
          <w:bCs w:val="0"/>
          <w:sz w:val="24"/>
          <w:szCs w:val="24"/>
        </w:rPr>
        <w:t xml:space="preserve">La terza problematica concerne i protocolli di conservazione dei dati estratti. Mentre la disciplina delle intercettazioni telematiche e telefoniche ha beneficiato dell'introduzione dell'archivio riservato a presidio della riservatezza dei flussi captati, il materiale informativo e la corrispondenza tratti dal sequestro di un dispositivo riversano indiscriminatamente le proprie risultanze nel fascicolo processuale, rimanendo esposti a indebite diffusioni e a utilizzi estranei alle originarie esigenze investigative. </w:t>
      </w:r>
    </w:p>
    <w:p w:rsidR="0F9697F3" w:rsidP="25A44C1F" w:rsidRDefault="0F9697F3" w14:paraId="2A791930" w14:textId="685684C1">
      <w:pPr>
        <w:pStyle w:val="ListParagraph"/>
        <w:numPr>
          <w:ilvl w:val="0"/>
          <w:numId w:val="2"/>
        </w:numPr>
        <w:spacing w:before="0" w:beforeAutospacing="off" w:line="360" w:lineRule="auto"/>
        <w:ind w:firstLine="567"/>
        <w:jc w:val="both"/>
        <w:rPr>
          <w:rFonts w:ascii="Times New Roman" w:hAnsi="Times New Roman" w:eastAsia="Times New Roman" w:cs="Times New Roman"/>
          <w:b w:val="0"/>
          <w:bCs w:val="0"/>
          <w:sz w:val="24"/>
          <w:szCs w:val="24"/>
        </w:rPr>
      </w:pPr>
      <w:r w:rsidRPr="25A44C1F" w:rsidR="0F9697F3">
        <w:rPr>
          <w:rFonts w:ascii="Times New Roman" w:hAnsi="Times New Roman" w:eastAsia="Times New Roman" w:cs="Times New Roman"/>
          <w:b w:val="0"/>
          <w:bCs w:val="0"/>
          <w:sz w:val="24"/>
          <w:szCs w:val="24"/>
        </w:rPr>
        <w:t xml:space="preserve">La quarta e ultima aporia si sostanzia nel binomio inscindibile tra la cernita del materiale utile e la restituzione della res all’avente diritto. Nel contesto socio-tecnologico contemporaneo, i dispositivi mobili rappresentano una vera e proprio estensione della personalità dell'individuo, nonché il punto di accesso esclusivo al proprio domicilio informatico e agli strumenti di estrinsecazione dei diritti civili ed economici (si pensi ai sistemi di autenticazione bancaria o di identità digitale). Privare un soggetto del proprio dispositivo per periodi di tempo irragionevoli costituisce una sanzione impropria e sproporzionata. Risulta pertanto imprescindibile la positivizzazione di stringenti termini temporali per l'esecuzione della copia forense integrale del supporto, cui deve seguire l'immediato rilascio del dispositivo fisico, spostando la successiva fase di selezione e di distruzione del dato non rilevante esclusivamente sulla copia informatica così generata. </w:t>
      </w:r>
    </w:p>
    <w:p w:rsidR="722BB982" w:rsidP="25A44C1F" w:rsidRDefault="722BB982" w14:paraId="48D09EB9" w14:textId="4248AC23">
      <w:pPr>
        <w:pStyle w:val="Normal"/>
        <w:spacing w:before="0" w:beforeAutospacing="off" w:line="360" w:lineRule="auto"/>
        <w:ind w:left="0" w:firstLine="567"/>
        <w:jc w:val="both"/>
      </w:pPr>
      <w:r w:rsidRPr="25A44C1F" w:rsidR="722BB982">
        <w:rPr>
          <w:rFonts w:ascii="Times New Roman" w:hAnsi="Times New Roman" w:eastAsia="Times New Roman" w:cs="Times New Roman"/>
          <w:b w:val="0"/>
          <w:bCs w:val="0"/>
          <w:sz w:val="24"/>
          <w:szCs w:val="24"/>
        </w:rPr>
        <w:t xml:space="preserve">L'impianto precettivo strutturato all'interno del disegno di legge n. S 806 si prefigge l'obiettivo di innestare nel codice di rito il futuribile articolo 254-ter </w:t>
      </w:r>
      <w:r w:rsidRPr="25A44C1F" w:rsidR="722BB982">
        <w:rPr>
          <w:rFonts w:ascii="Times New Roman" w:hAnsi="Times New Roman" w:eastAsia="Times New Roman" w:cs="Times New Roman"/>
          <w:b w:val="0"/>
          <w:bCs w:val="0"/>
          <w:sz w:val="24"/>
          <w:szCs w:val="24"/>
        </w:rPr>
        <w:t>c.p.p..</w:t>
      </w:r>
      <w:r w:rsidRPr="25A44C1F" w:rsidR="722BB982">
        <w:rPr>
          <w:rFonts w:ascii="Times New Roman" w:hAnsi="Times New Roman" w:eastAsia="Times New Roman" w:cs="Times New Roman"/>
          <w:b w:val="0"/>
          <w:bCs w:val="0"/>
          <w:sz w:val="24"/>
          <w:szCs w:val="24"/>
        </w:rPr>
        <w:t xml:space="preserve"> Già dalla sua articolata formulazione letterale («Sequestro di dispositivi e sistemi informatici, smartphone e memorie digitali») si evince l'intento del legislatore di assoggettare a una disciplina rigorosa una vasta e multiforme categoria di supporti</w:t>
      </w:r>
      <w:r w:rsidRPr="25A44C1F">
        <w:rPr>
          <w:rStyle w:val="FootnoteReference"/>
          <w:rFonts w:ascii="Times New Roman" w:hAnsi="Times New Roman" w:eastAsia="Times New Roman" w:cs="Times New Roman"/>
          <w:b w:val="0"/>
          <w:bCs w:val="0"/>
          <w:sz w:val="24"/>
          <w:szCs w:val="24"/>
        </w:rPr>
        <w:footnoteReference w:id="5400"/>
      </w:r>
      <w:r w:rsidRPr="25A44C1F" w:rsidR="722BB982">
        <w:rPr>
          <w:rFonts w:ascii="Times New Roman" w:hAnsi="Times New Roman" w:eastAsia="Times New Roman" w:cs="Times New Roman"/>
          <w:b w:val="0"/>
          <w:bCs w:val="0"/>
          <w:sz w:val="24"/>
          <w:szCs w:val="24"/>
        </w:rPr>
        <w:t>. L'intervento non si esaurisce nella mera regolamentazione dei dispositivi di telefonia mobile, ma si estende a qualunque tipologia di "contenitore" logico e fisico atto a custodire stringhe di dati informatici, comprese le memorie digitali esterne. Sotto il profilo procedurale, la struttura del nuovo istituto ricalca l'alveo dei tradizionali provvedimenti ablatori reali, introducendo tuttavia rilevanti correttivi imposti dalla peculiare natura del compendio informativo digitale. Il testo prevede che l’autorità giudiziaria – e, segnatamente, il pubblico ministero nel corso delle indagini preliminari – possa disporre il vincolo reale su tali apparati esclusivamente per il tramite di un decreto motivato. Tale provvedimento deve recare l'esplicita e analitica indicazione delle ragioni che fondano il nesso di pertinenza tra il bene appreso e l’oggetto delle indagini, nonché la dettagliata descrizione delle operazioni tecniche da compiere sul supporto e i criteri metodologici deputati a governare la cernita dei dati. In buona sostanza, la norma impone un onere di motivazione rafforzata, volto a subordinare la legittimità del sequestro ai canoni di assoluta utilità investigativa e di stretta proporzionalità</w:t>
      </w:r>
      <w:r w:rsidRPr="25A44C1F" w:rsidR="055C9474">
        <w:rPr>
          <w:rFonts w:ascii="Times New Roman" w:hAnsi="Times New Roman" w:eastAsia="Times New Roman" w:cs="Times New Roman"/>
          <w:b w:val="0"/>
          <w:bCs w:val="0"/>
          <w:sz w:val="24"/>
          <w:szCs w:val="24"/>
        </w:rPr>
        <w:t xml:space="preserve"> </w:t>
      </w:r>
      <w:r w:rsidRPr="25A44C1F">
        <w:rPr>
          <w:rStyle w:val="FootnoteReference"/>
          <w:rFonts w:ascii="Times New Roman" w:hAnsi="Times New Roman" w:eastAsia="Times New Roman" w:cs="Times New Roman"/>
          <w:b w:val="0"/>
          <w:bCs w:val="0"/>
          <w:sz w:val="24"/>
          <w:szCs w:val="24"/>
        </w:rPr>
        <w:footnoteReference w:id="31229"/>
      </w:r>
      <w:r w:rsidRPr="25A44C1F" w:rsidR="722BB982">
        <w:rPr>
          <w:rFonts w:ascii="Times New Roman" w:hAnsi="Times New Roman" w:eastAsia="Times New Roman" w:cs="Times New Roman"/>
          <w:b w:val="0"/>
          <w:bCs w:val="0"/>
          <w:sz w:val="24"/>
          <w:szCs w:val="24"/>
        </w:rPr>
        <w:t xml:space="preserve">. L'architettura del disegno di legge n. S 806 delinea uno scenario composito, procedendo al contempo a un'articolata interpolazione dell'art. 354 c.p.p. per disciplinare gli interventi d'iniziativa della polizia giudiziaria. Ferma restando la facoltà degli operanti di procedere, nei casi di indifferibilità o pericolo di alterazione, all'immediata duplicazione dei programmi e dei sistemi informatici su supporti idonei a garantirne l'immodificabilità, il legislatore introduce un severo sbarramento temporale. La copia forense così generata deve essere trasmessa senza indugio al pubblico ministero. Quest'ultimo è gravato dall'onere di attivare, entro il termine perentorio di 48 ore, i protocolli di selezione dei dati di eventuale interesse investigativo regolati dai commi successivi, procedendo in caso contrario all'immediata restituzione del duplicato informatico all'avente diritto. </w:t>
      </w:r>
      <w:r w:rsidRPr="25A44C1F" w:rsidR="38B118A2">
        <w:rPr>
          <w:rFonts w:ascii="Times New Roman" w:hAnsi="Times New Roman" w:eastAsia="Times New Roman" w:cs="Times New Roman"/>
          <w:b w:val="0"/>
          <w:bCs w:val="0"/>
          <w:sz w:val="24"/>
          <w:szCs w:val="24"/>
        </w:rPr>
        <w:t>Più che configurarsi come una fattispecie autonoma di vincolo reale, la novella si sostanzia in un dettagliato codice di condotta esecutiva, volto a scandire i tempi della duplicazione, i criteri di filtraggio del contenuto e la restituzione del contenitore fisico. Qualora sussista il concreto pericolo di cancellazione o alterazione del patrimonio informativo, l'autorità giudiziaria adotta le misure tecniche e impartisce le prescrizioni necessarie ad assicurarne la conservazione e a impedirne a chiunque l’analisi e l’esame fino al momento della cernita in contraddittorio, disponendo, se del caso, la duplicazione integrale dei suddetti dispositivi su adeguati supporti informatici. Il modulo partecipativo si articola, poi, nell'obbligo per il pubblico ministero di notificare alle parti, ai rispettivi difensori e alla persona offesa, entro cinque giorni dal sequestro, l'avviso di fissazione del giorno, dell'ora e del luogo per il conferimento dell'incarico tecnico, da espletarsi secondo le forme dell'accertamento irripetibile. I difensori e i consulenti tecnici di parte godono del diritto di assistere al conferimento dell'incarico e di partecipare alle operazioni di selezione ed estrazione dei dati, da effettuare eventualmente mediante l'utilizzo di parole chiave, formulando eccezioni o riserve sui criteri metodologici utilizzati. Uno dei profili di maggiore originalità del nuovo art. 254-ter c.p.p. risiede nella facoltà concessa alle parti di sollevare immediate questioni concernenti il rispetto dei princìpi di necessità e proporzione nella selezione e nell’apprensione dei dati, ovvero l’indebita acquisizione di dati sensibili</w:t>
      </w:r>
      <w:r w:rsidRPr="25A44C1F">
        <w:rPr>
          <w:rStyle w:val="FootnoteReference"/>
          <w:rFonts w:ascii="Times New Roman" w:hAnsi="Times New Roman" w:eastAsia="Times New Roman" w:cs="Times New Roman"/>
          <w:b w:val="0"/>
          <w:bCs w:val="0"/>
          <w:sz w:val="24"/>
          <w:szCs w:val="24"/>
        </w:rPr>
        <w:footnoteReference w:id="8207"/>
      </w:r>
      <w:r w:rsidRPr="25A44C1F" w:rsidR="38B118A2">
        <w:rPr>
          <w:rFonts w:ascii="Times New Roman" w:hAnsi="Times New Roman" w:eastAsia="Times New Roman" w:cs="Times New Roman"/>
          <w:b w:val="0"/>
          <w:bCs w:val="0"/>
          <w:sz w:val="24"/>
          <w:szCs w:val="24"/>
        </w:rPr>
        <w:t xml:space="preserve">. Tali doglianze devono essere decise in prima istanza dal pubblico ministero entro 48 ore con decreto motivato. Il provvedimento adottato è successivamente sottoposto al vaglio di convalida del giudice per le indagini preliminari nelle 48 ore successive. Il GIP, con proprio decreto motivato, può confermare in tutto o in parte l'operato del pubblico ministero, circoscriverne gli effetti solo ad alcuni dei dati selezionati o, al contrario, disporre l'integrale restituzione del dispositivo informatico e dell’eventuale copia nel frattempo realizzata. </w:t>
      </w:r>
      <w:r w:rsidRPr="25A44C1F" w:rsidR="2137BF02">
        <w:rPr>
          <w:rFonts w:ascii="Times New Roman" w:hAnsi="Times New Roman" w:eastAsia="Times New Roman" w:cs="Times New Roman"/>
          <w:b w:val="0"/>
          <w:bCs w:val="0"/>
          <w:sz w:val="24"/>
          <w:szCs w:val="24"/>
        </w:rPr>
        <w:t>Il decreto di convalida emanato dal giudice è suscettibile di impugnazione dinanzi al Tribunale del Riesame ai sensi dell'art. 324 c.p.p., estendendo il sindacato anche al merito delle scelte investigative. L’impugnazione può essere proposta dalla persona sottoposta alle indagini, dal suo difensore, dalla persona alla quale le cose sono state sequestrate e da quella che avrebbe diritto alla loro restituzione, entro dieci giorni dalla notifica del decreto o dalla diversa data in cui si è avuta conoscenza del sequestro. Intervenuta la stabilità del titolo abilitativo, il pubblico ministero dispone che, in contraddittorio con i difensori e i consulenti nominati, si proceda alla duplicazione dei soli dati selezionati su un autonomo supporto idoneo a garantirne l'immodificabilità</w:t>
      </w:r>
      <w:r w:rsidRPr="25A44C1F">
        <w:rPr>
          <w:rStyle w:val="FootnoteReference"/>
          <w:rFonts w:ascii="Times New Roman" w:hAnsi="Times New Roman" w:eastAsia="Times New Roman" w:cs="Times New Roman"/>
          <w:b w:val="0"/>
          <w:bCs w:val="0"/>
          <w:sz w:val="24"/>
          <w:szCs w:val="24"/>
        </w:rPr>
        <w:footnoteReference w:id="13941"/>
      </w:r>
      <w:r w:rsidRPr="25A44C1F" w:rsidR="2137BF02">
        <w:rPr>
          <w:rFonts w:ascii="Times New Roman" w:hAnsi="Times New Roman" w:eastAsia="Times New Roman" w:cs="Times New Roman"/>
          <w:b w:val="0"/>
          <w:bCs w:val="0"/>
          <w:sz w:val="24"/>
          <w:szCs w:val="24"/>
        </w:rPr>
        <w:t xml:space="preserve">. A duplicazione eseguita, il dispositivo originale o l’eventuale copia integrale eseguita in condizioni di urgenza devono essere immediatamente restituiti all’avente diritto. Il sistema di garanzie viene infine blindato da un espresso divieto probatorio: i dati informatici appresi dal pubblico ministero senza il rispetto delle formalità e dei termini descritti sono colpiti da sanzione di inutilizzabilità patologica. Nonostante l'evidente sforzo profuso nel tentativo di normare il trattamento del dato telematico, l'articolato dell'ipotizzato articolo 254-ter c.p.p. reca in sé una vulnerabilità strutturale latente. La criticità si annida proprio nella gestione della "duplicazione integrale" eseguita in via d'urgenza dalla polizia giudiziaria o disposta dal pubblico ministero per scongiurare il perimento del dato. Una volta che l'intero patrimonio informativo dello smartphone è stato </w:t>
      </w:r>
      <w:r w:rsidRPr="25A44C1F" w:rsidR="2137BF02">
        <w:rPr>
          <w:rFonts w:ascii="Times New Roman" w:hAnsi="Times New Roman" w:eastAsia="Times New Roman" w:cs="Times New Roman"/>
          <w:b w:val="0"/>
          <w:bCs w:val="0"/>
          <w:sz w:val="24"/>
          <w:szCs w:val="24"/>
        </w:rPr>
        <w:t>cloned</w:t>
      </w:r>
      <w:r w:rsidRPr="25A44C1F" w:rsidR="2137BF02">
        <w:rPr>
          <w:rFonts w:ascii="Times New Roman" w:hAnsi="Times New Roman" w:eastAsia="Times New Roman" w:cs="Times New Roman"/>
          <w:b w:val="0"/>
          <w:bCs w:val="0"/>
          <w:sz w:val="24"/>
          <w:szCs w:val="24"/>
        </w:rPr>
        <w:t xml:space="preserve"> bit per bit nella copia forense mezzo, dove risiede la certezza scientifica e matematica che tale copia non venga esaminata, scandagliata o surrettiziamente analizzata dagli inquirenti prima che si attivi il filtro del contraddittorio e l'affidamento dell'incarico? </w:t>
      </w:r>
      <w:r w:rsidRPr="25A44C1F" w:rsidR="730ECE6C">
        <w:rPr>
          <w:rFonts w:ascii="Times New Roman" w:hAnsi="Times New Roman" w:eastAsia="Times New Roman" w:cs="Times New Roman"/>
          <w:b w:val="0"/>
          <w:bCs w:val="0"/>
          <w:sz w:val="24"/>
          <w:szCs w:val="24"/>
        </w:rPr>
        <w:t>Per risolvere questo cruciale interrogativo, il testo del disegno di legge si rifugia in un precetto puramente burocratico e formale: l'ordine impartito dall'autorità giudiziaria di adottare "misure tecniche" e di formulare "prescrizioni" volte a inibire l'analisi e l'esame dei dati a chiunque fino alle operazioni in comune. Ci si trova, palesemente, ancora all'interno del vetusto paradigma della fiducia istituzionale e della verbalizzazione analogica</w:t>
      </w:r>
      <w:r w:rsidRPr="25A44C1F">
        <w:rPr>
          <w:rStyle w:val="FootnoteReference"/>
          <w:rFonts w:ascii="Times New Roman" w:hAnsi="Times New Roman" w:eastAsia="Times New Roman" w:cs="Times New Roman"/>
          <w:b w:val="0"/>
          <w:bCs w:val="0"/>
          <w:sz w:val="24"/>
          <w:szCs w:val="24"/>
        </w:rPr>
        <w:footnoteReference w:id="13837"/>
      </w:r>
      <w:r w:rsidRPr="25A44C1F" w:rsidR="730ECE6C">
        <w:rPr>
          <w:rFonts w:ascii="Times New Roman" w:hAnsi="Times New Roman" w:eastAsia="Times New Roman" w:cs="Times New Roman"/>
          <w:b w:val="0"/>
          <w:bCs w:val="0"/>
          <w:sz w:val="24"/>
          <w:szCs w:val="24"/>
        </w:rPr>
        <w:t xml:space="preserve">. Nell'universo immateriale del flusso binario, l'accesso a un file o l'esecuzione di un algoritmo di ricerca su un duplicato informatico non lasciano tracce fenomeniche visibili né alterano la res fisica. La sanzione dell'inutilizzabilità, posta a chiusura della norma, rischia così di degradarsi a mero simulacro retorico. Come potrà la difesa eccepire l'avvenuta violazione delle formalità e l'indebita visione di dati estranei o non autorizzati se l'ordinamento non predispone uno strumento oggettivo e terzo per dimostrare l'avvenuto accesso al di fuori del contraddittorio? Il controllo successivo affidato alla convalida del GIP si palesa strutturalmente tardivo rispetto a un'ingerenza informatica che si è già interamente consumata nel segreto dei laboratori. Risulta pertanto evidente come l'architettura del DDL n. S 806, pur mossa da apprezzabili intenti garantisti, sconti l'assenza di un meccanismo di asseverazione tecnologica antecedente e coattivo. È in questo preciso solco ordinamentale che si radica la necessità di un intervento normativo ulteriore, capace di superare la fallibilità del verbale cartaceo tramite l'introduzione della tecnologia Blockchain e degli Smart </w:t>
      </w:r>
      <w:r w:rsidRPr="25A44C1F" w:rsidR="730ECE6C">
        <w:rPr>
          <w:rFonts w:ascii="Times New Roman" w:hAnsi="Times New Roman" w:eastAsia="Times New Roman" w:cs="Times New Roman"/>
          <w:b w:val="0"/>
          <w:bCs w:val="0"/>
          <w:sz w:val="24"/>
          <w:szCs w:val="24"/>
        </w:rPr>
        <w:t>Contract</w:t>
      </w:r>
      <w:r w:rsidRPr="25A44C1F" w:rsidR="730ECE6C">
        <w:rPr>
          <w:rFonts w:ascii="Times New Roman" w:hAnsi="Times New Roman" w:eastAsia="Times New Roman" w:cs="Times New Roman"/>
          <w:b w:val="0"/>
          <w:bCs w:val="0"/>
          <w:sz w:val="24"/>
          <w:szCs w:val="24"/>
        </w:rPr>
        <w:t>, elevando la tracciabilità crittografica a presupposto inderogabile di legalità e validità dell'atto processuale.</w:t>
      </w:r>
      <w:r w:rsidRPr="25A44C1F" w:rsidR="74BE3F2B">
        <w:rPr>
          <w:rFonts w:ascii="Times New Roman" w:hAnsi="Times New Roman" w:eastAsia="Times New Roman" w:cs="Times New Roman"/>
          <w:b w:val="0"/>
          <w:bCs w:val="0"/>
          <w:sz w:val="24"/>
          <w:szCs w:val="24"/>
        </w:rPr>
        <w:t xml:space="preserve"> Un'ulteriore spinta verso la necessaria ridefinizione del compendio probatorio digitale proviene dal recente quadro regolamentare eurounitario, segnato dall'approvazione del Regolamento europeo sull'Intelligenza Artificiale (</w:t>
      </w:r>
      <w:r w:rsidRPr="25A44C1F" w:rsidR="74BE3F2B">
        <w:rPr>
          <w:rFonts w:ascii="Times New Roman" w:hAnsi="Times New Roman" w:eastAsia="Times New Roman" w:cs="Times New Roman"/>
          <w:b w:val="0"/>
          <w:bCs w:val="0"/>
          <w:sz w:val="24"/>
          <w:szCs w:val="24"/>
        </w:rPr>
        <w:t>AI</w:t>
      </w:r>
      <w:r w:rsidRPr="25A44C1F" w:rsidR="74BE3F2B">
        <w:rPr>
          <w:rFonts w:ascii="Times New Roman" w:hAnsi="Times New Roman" w:eastAsia="Times New Roman" w:cs="Times New Roman"/>
          <w:b w:val="0"/>
          <w:bCs w:val="0"/>
          <w:sz w:val="24"/>
          <w:szCs w:val="24"/>
        </w:rPr>
        <w:t xml:space="preserve"> Act)</w:t>
      </w:r>
      <w:r w:rsidRPr="25A44C1F">
        <w:rPr>
          <w:rStyle w:val="FootnoteReference"/>
          <w:rFonts w:ascii="Times New Roman" w:hAnsi="Times New Roman" w:eastAsia="Times New Roman" w:cs="Times New Roman"/>
          <w:b w:val="0"/>
          <w:bCs w:val="0"/>
          <w:sz w:val="24"/>
          <w:szCs w:val="24"/>
        </w:rPr>
        <w:footnoteReference w:id="20585"/>
      </w:r>
      <w:r w:rsidRPr="25A44C1F" w:rsidR="74BE3F2B">
        <w:rPr>
          <w:rFonts w:ascii="Times New Roman" w:hAnsi="Times New Roman" w:eastAsia="Times New Roman" w:cs="Times New Roman"/>
          <w:b w:val="0"/>
          <w:bCs w:val="0"/>
          <w:sz w:val="24"/>
          <w:szCs w:val="24"/>
        </w:rPr>
        <w:t xml:space="preserve">. Tale plesso normativo, nel catalogare i sistemi di intelligenza artificiale e gli algoritmi predittivi o di analisi in base ai livelli di rischio, riserva una specifica attenzione alle tecnologie applicate nel settore del </w:t>
      </w:r>
      <w:r w:rsidRPr="25A44C1F" w:rsidR="74BE3F2B">
        <w:rPr>
          <w:rFonts w:ascii="Times New Roman" w:hAnsi="Times New Roman" w:eastAsia="Times New Roman" w:cs="Times New Roman"/>
          <w:b w:val="0"/>
          <w:bCs w:val="0"/>
          <w:sz w:val="24"/>
          <w:szCs w:val="24"/>
        </w:rPr>
        <w:t>law</w:t>
      </w:r>
      <w:r w:rsidRPr="25A44C1F" w:rsidR="74BE3F2B">
        <w:rPr>
          <w:rFonts w:ascii="Times New Roman" w:hAnsi="Times New Roman" w:eastAsia="Times New Roman" w:cs="Times New Roman"/>
          <w:b w:val="0"/>
          <w:bCs w:val="0"/>
          <w:sz w:val="24"/>
          <w:szCs w:val="24"/>
        </w:rPr>
        <w:t xml:space="preserve"> enforcement e della giustizia penale, ascrivendole sovente alla categoria dei sistemi ad "alto rischio". L'impianto europeo impone stringenti obblighi di trasparenza, tracciabilità, documentazione dei dati e, soprattutto, di conservazione automatica dei registri degli eventi (log). Questo mutamento di prospettiva si riflette inevitabilmente sulle procedure di </w:t>
      </w:r>
      <w:r w:rsidRPr="25A44C1F" w:rsidR="74BE3F2B">
        <w:rPr>
          <w:rFonts w:ascii="Times New Roman" w:hAnsi="Times New Roman" w:eastAsia="Times New Roman" w:cs="Times New Roman"/>
          <w:b w:val="0"/>
          <w:bCs w:val="0"/>
          <w:sz w:val="24"/>
          <w:szCs w:val="24"/>
        </w:rPr>
        <w:t>digital</w:t>
      </w:r>
      <w:r w:rsidRPr="25A44C1F" w:rsidR="74BE3F2B">
        <w:rPr>
          <w:rFonts w:ascii="Times New Roman" w:hAnsi="Times New Roman" w:eastAsia="Times New Roman" w:cs="Times New Roman"/>
          <w:b w:val="0"/>
          <w:bCs w:val="0"/>
          <w:sz w:val="24"/>
          <w:szCs w:val="24"/>
        </w:rPr>
        <w:t xml:space="preserve"> </w:t>
      </w:r>
      <w:r w:rsidRPr="25A44C1F" w:rsidR="74BE3F2B">
        <w:rPr>
          <w:rFonts w:ascii="Times New Roman" w:hAnsi="Times New Roman" w:eastAsia="Times New Roman" w:cs="Times New Roman"/>
          <w:b w:val="0"/>
          <w:bCs w:val="0"/>
          <w:sz w:val="24"/>
          <w:szCs w:val="24"/>
        </w:rPr>
        <w:t>forensics</w:t>
      </w:r>
      <w:r w:rsidRPr="25A44C1F" w:rsidR="74BE3F2B">
        <w:rPr>
          <w:rFonts w:ascii="Times New Roman" w:hAnsi="Times New Roman" w:eastAsia="Times New Roman" w:cs="Times New Roman"/>
          <w:b w:val="0"/>
          <w:bCs w:val="0"/>
          <w:sz w:val="24"/>
          <w:szCs w:val="24"/>
        </w:rPr>
        <w:t xml:space="preserve">, introducendo un inedito standard di accountability al quale l'attività investigativa non può più sottrarsi. Nelle investigazioni ad alta complessità tecnologica – si pensi ai noti casi giurisprudenziali legati alla decrittazione dei sistemi di messaggistica blindata quali Sky ECC o </w:t>
      </w:r>
      <w:r w:rsidRPr="25A44C1F" w:rsidR="74BE3F2B">
        <w:rPr>
          <w:rFonts w:ascii="Times New Roman" w:hAnsi="Times New Roman" w:eastAsia="Times New Roman" w:cs="Times New Roman"/>
          <w:b w:val="0"/>
          <w:bCs w:val="0"/>
          <w:sz w:val="24"/>
          <w:szCs w:val="24"/>
        </w:rPr>
        <w:t>EncroChat</w:t>
      </w:r>
      <w:r w:rsidRPr="25A44C1F" w:rsidR="74BE3F2B">
        <w:rPr>
          <w:rFonts w:ascii="Times New Roman" w:hAnsi="Times New Roman" w:eastAsia="Times New Roman" w:cs="Times New Roman"/>
          <w:b w:val="0"/>
          <w:bCs w:val="0"/>
          <w:sz w:val="24"/>
          <w:szCs w:val="24"/>
        </w:rPr>
        <w:t xml:space="preserve"> – le prerogative difensive si scontrano sistematicamente con l'opacità degli algoritmi estrattivi e dei software di decodifica utilizzati dagli organi inquirenti. Spesso protetti da segreto commerciale o da stringenti vincoli di cooperazione internazionale, tali strumenti si configurano nel processo come vere e proprie black box, precludendo alle parti private la facoltà di verificare la genuinità e la ripetibilità scientifica dell'operazione di decifrazione. L'orizzonte delineato dall'AI Act scardina siffatta asimmetria conoscitiva, elevando la trasparenza algoritmica a presupposto di affidabilità della prova tecnica. In questo preciso contesto, l'integrazione degli Smart </w:t>
      </w:r>
      <w:r w:rsidRPr="25A44C1F" w:rsidR="74BE3F2B">
        <w:rPr>
          <w:rFonts w:ascii="Times New Roman" w:hAnsi="Times New Roman" w:eastAsia="Times New Roman" w:cs="Times New Roman"/>
          <w:b w:val="0"/>
          <w:bCs w:val="0"/>
          <w:sz w:val="24"/>
          <w:szCs w:val="24"/>
        </w:rPr>
        <w:t>Contract</w:t>
      </w:r>
      <w:r w:rsidRPr="25A44C1F" w:rsidR="74BE3F2B">
        <w:rPr>
          <w:rFonts w:ascii="Times New Roman" w:hAnsi="Times New Roman" w:eastAsia="Times New Roman" w:cs="Times New Roman"/>
          <w:b w:val="0"/>
          <w:bCs w:val="0"/>
          <w:sz w:val="24"/>
          <w:szCs w:val="24"/>
        </w:rPr>
        <w:t xml:space="preserve"> si rivela la soluzione infrastrutturale idonea a soddisfare i rigidi requisiti europei di conformità e </w:t>
      </w:r>
      <w:r w:rsidRPr="25A44C1F" w:rsidR="74BE3F2B">
        <w:rPr>
          <w:rFonts w:ascii="Times New Roman" w:hAnsi="Times New Roman" w:eastAsia="Times New Roman" w:cs="Times New Roman"/>
          <w:b w:val="0"/>
          <w:bCs w:val="0"/>
          <w:sz w:val="24"/>
          <w:szCs w:val="24"/>
        </w:rPr>
        <w:t>auditabilità</w:t>
      </w:r>
      <w:r w:rsidRPr="25A44C1F" w:rsidR="74BE3F2B">
        <w:rPr>
          <w:rFonts w:ascii="Times New Roman" w:hAnsi="Times New Roman" w:eastAsia="Times New Roman" w:cs="Times New Roman"/>
          <w:b w:val="0"/>
          <w:bCs w:val="0"/>
          <w:sz w:val="24"/>
          <w:szCs w:val="24"/>
        </w:rPr>
        <w:t xml:space="preserve">. Lo Smart </w:t>
      </w:r>
      <w:r w:rsidRPr="25A44C1F" w:rsidR="74BE3F2B">
        <w:rPr>
          <w:rFonts w:ascii="Times New Roman" w:hAnsi="Times New Roman" w:eastAsia="Times New Roman" w:cs="Times New Roman"/>
          <w:b w:val="0"/>
          <w:bCs w:val="0"/>
          <w:sz w:val="24"/>
          <w:szCs w:val="24"/>
        </w:rPr>
        <w:t>Contract</w:t>
      </w:r>
      <w:r w:rsidRPr="25A44C1F" w:rsidR="74BE3F2B">
        <w:rPr>
          <w:rFonts w:ascii="Times New Roman" w:hAnsi="Times New Roman" w:eastAsia="Times New Roman" w:cs="Times New Roman"/>
          <w:b w:val="0"/>
          <w:bCs w:val="0"/>
          <w:sz w:val="24"/>
          <w:szCs w:val="24"/>
        </w:rPr>
        <w:t xml:space="preserve">, per sua natura oggettiva e automatizzata, trasforma il registro distribuito da mero archivio statico a piattaforma attiva di controllo. Esso è in grado di registrare in modo immutabile e cronologico l'attivazione di qualsiasi software forense o algoritmo applicato sul reperto informatico, memorizzando i metadati dell'azione, l'identità digitale dell'operatore e lo stato del file di log. La tracciabilità imposta dalle fonti sovranazionali trova così un'esecuzione tecnica coattiva, sottratta all'arbitrio o alla discrezionalità dell'organo investigativo, tramutando il principio teorico di trasparenza in un protocollo crittografico verificabile in sede di dibattimento. </w:t>
      </w:r>
      <w:r w:rsidRPr="25A44C1F" w:rsidR="1DD14D05">
        <w:rPr>
          <w:rFonts w:ascii="Times New Roman" w:hAnsi="Times New Roman" w:eastAsia="Times New Roman" w:cs="Times New Roman"/>
          <w:b w:val="0"/>
          <w:bCs w:val="0"/>
          <w:sz w:val="24"/>
          <w:szCs w:val="24"/>
        </w:rPr>
        <w:t xml:space="preserve">L'attuale criticità del sistema risiede nella profonda e insanabile frattura che separa l'atto propriamente tecnico dall'ordinaria gestione procedurale della catena di custodia (chain of </w:t>
      </w:r>
      <w:r w:rsidRPr="25A44C1F" w:rsidR="1DD14D05">
        <w:rPr>
          <w:rFonts w:ascii="Times New Roman" w:hAnsi="Times New Roman" w:eastAsia="Times New Roman" w:cs="Times New Roman"/>
          <w:b w:val="0"/>
          <w:bCs w:val="0"/>
          <w:sz w:val="24"/>
          <w:szCs w:val="24"/>
        </w:rPr>
        <w:t>custody</w:t>
      </w:r>
      <w:r w:rsidRPr="25A44C1F" w:rsidR="1DD14D05">
        <w:rPr>
          <w:rFonts w:ascii="Times New Roman" w:hAnsi="Times New Roman" w:eastAsia="Times New Roman" w:cs="Times New Roman"/>
          <w:b w:val="0"/>
          <w:bCs w:val="0"/>
          <w:sz w:val="24"/>
          <w:szCs w:val="24"/>
        </w:rPr>
        <w:t xml:space="preserve">). Il recepimento della Convenzione di Budapest tramite la Legge 18 marzo 2008, n. 48, unitamente all'adozione degli standard internazionali ISO/IEC 27037, ha indubbiamente cristallizzato le best practice relative all'acquisizione della prova digitale, individuando nell'algoritmo di </w:t>
      </w:r>
      <w:r w:rsidRPr="25A44C1F" w:rsidR="1DD14D05">
        <w:rPr>
          <w:rFonts w:ascii="Times New Roman" w:hAnsi="Times New Roman" w:eastAsia="Times New Roman" w:cs="Times New Roman"/>
          <w:b w:val="0"/>
          <w:bCs w:val="0"/>
          <w:sz w:val="24"/>
          <w:szCs w:val="24"/>
        </w:rPr>
        <w:t>hash</w:t>
      </w:r>
      <w:r w:rsidRPr="25A44C1F" w:rsidR="1DD14D05">
        <w:rPr>
          <w:rFonts w:ascii="Times New Roman" w:hAnsi="Times New Roman" w:eastAsia="Times New Roman" w:cs="Times New Roman"/>
          <w:b w:val="0"/>
          <w:bCs w:val="0"/>
          <w:sz w:val="24"/>
          <w:szCs w:val="24"/>
        </w:rPr>
        <w:t xml:space="preserve"> lo strumento d'elezione per garantire l'integrità del </w:t>
      </w:r>
      <w:r w:rsidRPr="25A44C1F" w:rsidR="1DD14D05">
        <w:rPr>
          <w:rFonts w:ascii="Times New Roman" w:hAnsi="Times New Roman" w:eastAsia="Times New Roman" w:cs="Times New Roman"/>
          <w:b w:val="0"/>
          <w:bCs w:val="0"/>
          <w:sz w:val="24"/>
          <w:szCs w:val="24"/>
        </w:rPr>
        <w:t>dato</w:t>
      </w:r>
      <w:r w:rsidRPr="25A44C1F" w:rsidR="14A2FB1B">
        <w:rPr>
          <w:rFonts w:ascii="Times New Roman" w:hAnsi="Times New Roman" w:eastAsia="Times New Roman" w:cs="Times New Roman"/>
          <w:b w:val="0"/>
          <w:bCs w:val="0"/>
          <w:sz w:val="24"/>
          <w:szCs w:val="24"/>
        </w:rPr>
        <w:t xml:space="preserve"> </w:t>
      </w:r>
      <w:r w:rsidRPr="25A44C1F">
        <w:rPr>
          <w:rStyle w:val="FootnoteReference"/>
          <w:rFonts w:ascii="Times New Roman" w:hAnsi="Times New Roman" w:eastAsia="Times New Roman" w:cs="Times New Roman"/>
          <w:b w:val="0"/>
          <w:bCs w:val="0"/>
          <w:sz w:val="24"/>
          <w:szCs w:val="24"/>
        </w:rPr>
        <w:footnoteReference w:id="2551"/>
      </w:r>
      <w:r w:rsidRPr="25A44C1F" w:rsidR="1DD14D05">
        <w:rPr>
          <w:rFonts w:ascii="Times New Roman" w:hAnsi="Times New Roman" w:eastAsia="Times New Roman" w:cs="Times New Roman"/>
          <w:b w:val="0"/>
          <w:bCs w:val="0"/>
          <w:sz w:val="24"/>
          <w:szCs w:val="24"/>
        </w:rPr>
        <w:t>.</w:t>
      </w:r>
      <w:r w:rsidRPr="25A44C1F" w:rsidR="1DD14D05">
        <w:rPr>
          <w:rFonts w:ascii="Times New Roman" w:hAnsi="Times New Roman" w:eastAsia="Times New Roman" w:cs="Times New Roman"/>
          <w:b w:val="0"/>
          <w:bCs w:val="0"/>
          <w:sz w:val="24"/>
          <w:szCs w:val="24"/>
        </w:rPr>
        <w:t xml:space="preserve"> Tuttavia, l'impronta informatica così generata sconta un limite strutturale di ordine temporale: essa attesta la perfetta conformità della copia forense rispetto all'originale esclusivamente nel preciso istante in cui l'algoritmo viene eseguito. Il deficit di legalità si manifesta nei passaggi successivi all'acquisizione. La circolazione del reperto, l'ostensione ai consulenti, il trasferimento tra i diversi uffici giudiziari e la conservazione nei depositi rimangono affidati a metodologie prettamente analogiche e burocratiche, quali la redazione di verbali cartacei e l'apposizione di sigilli fisici sui supporti. Questo iato normativo espone la catena di custodia a una costante vulnerabilità rispetto a errori materiali, omissioni descrittive o, nel caso peggiore, a manipolazioni dolose che l'estrazione statica </w:t>
      </w:r>
      <w:r w:rsidRPr="25A44C1F" w:rsidR="1DD14D05">
        <w:rPr>
          <w:rFonts w:ascii="Times New Roman" w:hAnsi="Times New Roman" w:eastAsia="Times New Roman" w:cs="Times New Roman"/>
          <w:b w:val="0"/>
          <w:bCs w:val="0"/>
          <w:sz w:val="24"/>
          <w:szCs w:val="24"/>
        </w:rPr>
        <w:t>dell'hash</w:t>
      </w:r>
      <w:r w:rsidRPr="25A44C1F" w:rsidR="1DD14D05">
        <w:rPr>
          <w:rFonts w:ascii="Times New Roman" w:hAnsi="Times New Roman" w:eastAsia="Times New Roman" w:cs="Times New Roman"/>
          <w:b w:val="0"/>
          <w:bCs w:val="0"/>
          <w:sz w:val="24"/>
          <w:szCs w:val="24"/>
        </w:rPr>
        <w:t xml:space="preserve"> non è in alcun modo capace di intercettare o documentare ex post. L'immutabilità della copia forense originaria viene così inficiata dall'assoluta incertezza che grava sulle concrete modalità di gestione e di conservazione del reperto nel corso del tempo. Al fine di superare il descritto anacronismo procedurale, si appalesa indifferibile un intervento normativo de iure condendo volto a positivizzare l'obbligo di </w:t>
      </w:r>
      <w:r w:rsidRPr="25A44C1F" w:rsidR="1DD14D05">
        <w:rPr>
          <w:rFonts w:ascii="Times New Roman" w:hAnsi="Times New Roman" w:eastAsia="Times New Roman" w:cs="Times New Roman"/>
          <w:b w:val="0"/>
          <w:bCs w:val="0"/>
          <w:sz w:val="24"/>
          <w:szCs w:val="24"/>
        </w:rPr>
        <w:t>notarizzazione</w:t>
      </w:r>
      <w:r w:rsidRPr="25A44C1F" w:rsidR="1DD14D05">
        <w:rPr>
          <w:rFonts w:ascii="Times New Roman" w:hAnsi="Times New Roman" w:eastAsia="Times New Roman" w:cs="Times New Roman"/>
          <w:b w:val="0"/>
          <w:bCs w:val="0"/>
          <w:sz w:val="24"/>
          <w:szCs w:val="24"/>
        </w:rPr>
        <w:t xml:space="preserve"> crittografica all'interno del codice di procedura penale. L'impiego dei registri distribuiti non deve più essere relegato a una mera opzione tecnica o a una prassi virtuosa rimessa alla sensibilità dei singoli uffici di Procura, bensì deve essere configurato dal legislatore quale vero e proprio requisito di validità dell'attività di ricerca della prova digitale. </w:t>
      </w:r>
      <w:r w:rsidRPr="25A44C1F" w:rsidR="5A633A2B">
        <w:rPr>
          <w:rFonts w:ascii="Times New Roman" w:hAnsi="Times New Roman" w:eastAsia="Times New Roman" w:cs="Times New Roman"/>
          <w:b w:val="0"/>
          <w:bCs w:val="0"/>
          <w:sz w:val="24"/>
          <w:szCs w:val="24"/>
        </w:rPr>
        <w:t>Dal punto di vista della tecnica legislativa, la riforma dovrebbe sancire una formale sanzione processuale di carattere interdittivo: la mancata, intempestiva o incompleta iscrizione dell'impronta informatica (</w:t>
      </w:r>
      <w:r w:rsidRPr="25A44C1F" w:rsidR="5A633A2B">
        <w:rPr>
          <w:rFonts w:ascii="Times New Roman" w:hAnsi="Times New Roman" w:eastAsia="Times New Roman" w:cs="Times New Roman"/>
          <w:b w:val="0"/>
          <w:bCs w:val="0"/>
          <w:sz w:val="24"/>
          <w:szCs w:val="24"/>
        </w:rPr>
        <w:t>hash</w:t>
      </w:r>
      <w:r w:rsidRPr="25A44C1F" w:rsidR="5A633A2B">
        <w:rPr>
          <w:rFonts w:ascii="Times New Roman" w:hAnsi="Times New Roman" w:eastAsia="Times New Roman" w:cs="Times New Roman"/>
          <w:b w:val="0"/>
          <w:bCs w:val="0"/>
          <w:sz w:val="24"/>
          <w:szCs w:val="24"/>
        </w:rPr>
        <w:t xml:space="preserve">) e della relativa catena di custodia sul registro distribuito governativo deve determinare l'inutilizzabilità patologica della prova ai sensi dell'articolo 191 </w:t>
      </w:r>
      <w:r w:rsidRPr="25A44C1F" w:rsidR="5A633A2B">
        <w:rPr>
          <w:rFonts w:ascii="Times New Roman" w:hAnsi="Times New Roman" w:eastAsia="Times New Roman" w:cs="Times New Roman"/>
          <w:b w:val="0"/>
          <w:bCs w:val="0"/>
          <w:sz w:val="24"/>
          <w:szCs w:val="24"/>
        </w:rPr>
        <w:t>c.p.p..</w:t>
      </w:r>
      <w:r w:rsidRPr="25A44C1F" w:rsidR="5A633A2B">
        <w:rPr>
          <w:rFonts w:ascii="Times New Roman" w:hAnsi="Times New Roman" w:eastAsia="Times New Roman" w:cs="Times New Roman"/>
          <w:b w:val="0"/>
          <w:bCs w:val="0"/>
          <w:sz w:val="24"/>
          <w:szCs w:val="24"/>
        </w:rPr>
        <w:t xml:space="preserve"> Sottraendo la validità del reperto all'alveo delle mere irregolarità sanabili, la sanzione dell'inutilizzabilità presidierebbe efficacemente l'integrità del dato. Soltanto elevando l'ascolto tecnologico della Blockchain a parametro di legalità del procedimento sarà possibile assicurare alle parti la certezza matematica della non alterazione del materiale probatorio, realizzando una piena transizione dall'obsoleto dogma della fiducia istituzionale all'oggettività della verifica crittografica.</w:t>
      </w:r>
    </w:p>
    <w:p w:rsidR="46C9EF11" w:rsidP="46C9EF11" w:rsidRDefault="46C9EF11" w14:paraId="27462116" w14:textId="5349B8AC">
      <w:pPr>
        <w:pStyle w:val="Normal"/>
        <w:spacing w:before="0" w:beforeAutospacing="off" w:line="360" w:lineRule="auto"/>
        <w:ind w:firstLine="0"/>
        <w:jc w:val="left"/>
        <w:rPr>
          <w:rFonts w:ascii="Times New Roman" w:hAnsi="Times New Roman" w:eastAsia="Times New Roman" w:cs="Times New Roman"/>
          <w:b w:val="1"/>
          <w:bCs w:val="1"/>
          <w:sz w:val="24"/>
          <w:szCs w:val="24"/>
        </w:rPr>
      </w:pPr>
    </w:p>
    <w:p w:rsidR="46C9EF11" w:rsidP="46C9EF11" w:rsidRDefault="46C9EF11" w14:paraId="7D639CDA" w14:textId="53B40BCB">
      <w:pPr>
        <w:pStyle w:val="Normal"/>
        <w:spacing w:before="0" w:beforeAutospacing="off" w:line="360" w:lineRule="auto"/>
        <w:ind w:firstLine="0"/>
        <w:jc w:val="left"/>
        <w:rPr>
          <w:rFonts w:ascii="Times New Roman" w:hAnsi="Times New Roman" w:eastAsia="Times New Roman" w:cs="Times New Roman"/>
          <w:b w:val="1"/>
          <w:bCs w:val="1"/>
          <w:sz w:val="24"/>
          <w:szCs w:val="24"/>
        </w:rPr>
      </w:pPr>
    </w:p>
    <w:sectPr>
      <w:pgSz w:w="11906" w:h="16838" w:orient="portrait"/>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w="http://schemas.openxmlformats.org/wordprocessingml/2006/main">
  <w:footnote w:type="separator" w:id="-1">
    <w:p w:rsidR="2ED41990" w:rsidRDefault="2ED41990" w14:paraId="536ED085" w14:textId="63016C37">
      <w:pPr>
        <w:spacing w:after="0" w:line="240" w:lineRule="auto"/>
      </w:pPr>
      <w:r>
        <w:separator/>
      </w:r>
    </w:p>
  </w:footnote>
  <w:footnote w:type="continuationSeparator" w:id="0">
    <w:p w:rsidR="2ED41990" w:rsidRDefault="2ED41990" w14:paraId="0111FD45" w14:textId="7A332A9B">
      <w:pPr>
        <w:spacing w:after="0" w:line="240" w:lineRule="auto"/>
      </w:pPr>
      <w:r>
        <w:continuationSeparator/>
      </w:r>
    </w:p>
  </w:footnote>
  <w:footnote w:id="16762">
    <w:p w:rsidR="2ED41990" w:rsidP="2ED41990" w:rsidRDefault="2ED41990" w14:paraId="261A34C8" w14:textId="32FFF6A4">
      <w:pPr>
        <w:pStyle w:val="FootnoteText"/>
        <w:bidi w:val="0"/>
      </w:pPr>
      <w:r w:rsidRPr="2ED41990">
        <w:rPr>
          <w:rStyle w:val="FootnoteReference"/>
        </w:rPr>
        <w:footnoteRef/>
      </w:r>
      <w:r w:rsidR="2ED41990">
        <w:rPr/>
        <w:t xml:space="preserve"> Salvatore Orlando Mario Mauro Diritto e nuove tecnologie. Rubrica di aggiornamento dell'OGID in Persona e Mercato 3/2025, pp. 1013-1067</w:t>
      </w:r>
    </w:p>
  </w:footnote>
  <w:footnote w:id="20016">
    <w:p w:rsidR="2ED41990" w:rsidP="2ED41990" w:rsidRDefault="2ED41990" w14:paraId="5E34696C" w14:textId="35DAC055">
      <w:pPr>
        <w:pStyle w:val="FootnoteText"/>
        <w:bidi w:val="0"/>
      </w:pPr>
      <w:r w:rsidRPr="2ED41990">
        <w:rPr>
          <w:rStyle w:val="FootnoteReference"/>
        </w:rPr>
        <w:footnoteRef/>
      </w:r>
      <w:r w:rsidR="2ED41990">
        <w:rPr/>
        <w:t xml:space="preserve"> Valentina Gastaldo La sfida della tecnologia "blockchain" al diritto: una nuova frontiera per il mercato delle opere di interesse artistico? in federalismi.it 6/2023, pp. 116-142</w:t>
      </w:r>
    </w:p>
  </w:footnote>
  <w:footnote w:id="7455">
    <w:p w:rsidR="2ED41990" w:rsidP="2ED41990" w:rsidRDefault="2ED41990" w14:paraId="1415C806" w14:textId="58836D9A">
      <w:pPr>
        <w:pStyle w:val="FootnoteText"/>
        <w:bidi w:val="0"/>
      </w:pPr>
      <w:r w:rsidRPr="2ED41990">
        <w:rPr>
          <w:rStyle w:val="FootnoteReference"/>
        </w:rPr>
        <w:footnoteRef/>
      </w:r>
      <w:r w:rsidR="2ED41990">
        <w:rPr/>
        <w:t xml:space="preserve"> Chiara Iorio Legal issues concerning the circulation and processing of data in the digital age in European Journal of Privacy Law &amp; Technologies 2/2022, pp. 153-168</w:t>
      </w:r>
    </w:p>
  </w:footnote>
  <w:footnote w:id="18091">
    <w:p w:rsidR="2ED41990" w:rsidP="2ED41990" w:rsidRDefault="2ED41990" w14:paraId="7F5853DD" w14:textId="438646D7">
      <w:pPr>
        <w:pStyle w:val="FootnoteText"/>
        <w:bidi w:val="0"/>
      </w:pPr>
      <w:r w:rsidRPr="2ED41990">
        <w:rPr>
          <w:rStyle w:val="FootnoteReference"/>
          <w:lang w:val="en-US"/>
        </w:rPr>
        <w:footnoteRef/>
      </w:r>
      <w:r w:rsidRPr="2ED41990" w:rsidR="2ED41990">
        <w:rPr>
          <w:lang w:val="en-US"/>
        </w:rPr>
        <w:t xml:space="preserve"> Piattaforme digitali e contratto in European Journal of Privacy Law &amp; Technologies 1/2022, pp. 73-81</w:t>
      </w:r>
    </w:p>
  </w:footnote>
  <w:footnote w:id="16078">
    <w:p w:rsidR="2ED41990" w:rsidP="2ED41990" w:rsidRDefault="2ED41990" w14:paraId="18F93D5A" w14:textId="23AA6B57">
      <w:pPr>
        <w:pStyle w:val="FootnoteText"/>
        <w:bidi w:val="0"/>
      </w:pPr>
      <w:r w:rsidRPr="2ED41990">
        <w:rPr>
          <w:rStyle w:val="FootnoteReference"/>
        </w:rPr>
        <w:footnoteRef/>
      </w:r>
      <w:r w:rsidR="2ED41990">
        <w:rPr/>
        <w:t xml:space="preserve"> Dimitri Martignago Una "governance" dei dati genetici per lo sviluppo della ricerca scientifica in Rivista italiana di informatica e diritto 1/2022, 2, pp. 229-239</w:t>
      </w:r>
    </w:p>
  </w:footnote>
  <w:footnote w:id="12321">
    <w:p w:rsidR="2ED41990" w:rsidP="2ED41990" w:rsidRDefault="2ED41990" w14:paraId="724147B5" w14:textId="0D5E80C6">
      <w:pPr>
        <w:pStyle w:val="FootnoteText"/>
        <w:bidi w:val="0"/>
      </w:pPr>
      <w:r w:rsidRPr="2ED41990">
        <w:rPr>
          <w:rStyle w:val="FootnoteReference"/>
        </w:rPr>
        <w:footnoteRef/>
      </w:r>
      <w:r w:rsidR="2ED41990">
        <w:rPr/>
        <w:t xml:space="preserve"> Giovanna Razzano Tecnologia "Blockchain" per la banca dati per le DAT? Osservazioni alla luce del diritto alla protezione (e controllo) dei dati personali e del principio del buon andamento in Consulta online 2/2021, pp. 423-438</w:t>
      </w:r>
    </w:p>
  </w:footnote>
  <w:footnote w:id="18673">
    <w:p w:rsidR="794B3601" w:rsidP="794B3601" w:rsidRDefault="794B3601" w14:paraId="6EC4B031" w14:textId="6BAFA839">
      <w:pPr>
        <w:pStyle w:val="FootnoteText"/>
        <w:bidi w:val="0"/>
      </w:pPr>
      <w:r w:rsidRPr="794B3601">
        <w:rPr>
          <w:rStyle w:val="FootnoteReference"/>
        </w:rPr>
        <w:footnoteRef/>
      </w:r>
      <w:r w:rsidR="794B3601">
        <w:rPr/>
        <w:t xml:space="preserve"> Salvatore Orlando Mario Mauro Diritto e nuove tecnologie. Rubrica di aggiornamento dell'OGID in Persona e Mercato 3/2025, pp. 1013-1067</w:t>
      </w:r>
    </w:p>
  </w:footnote>
  <w:footnote w:id="9111">
    <w:p w:rsidR="794B3601" w:rsidP="794B3601" w:rsidRDefault="794B3601" w14:paraId="4F34BE63" w14:textId="148627A7">
      <w:pPr>
        <w:pStyle w:val="FootnoteText"/>
        <w:bidi w:val="0"/>
      </w:pPr>
      <w:r w:rsidRPr="794B3601">
        <w:rPr>
          <w:rStyle w:val="FootnoteReference"/>
        </w:rPr>
        <w:footnoteRef/>
      </w:r>
      <w:r w:rsidR="794B3601">
        <w:rPr/>
        <w:t xml:space="preserve"> Maria Chiara Pollicino Gli effetti della “sommatoria” tra il GDPR e il nuovo Regolamento sulle intelligenze artificiali nell’ambito dell’attività amministrativa in Rivista italiana di informatica e diritto 1/2025, pp. 231-256</w:t>
      </w:r>
    </w:p>
  </w:footnote>
  <w:footnote w:id="10803">
    <w:p w:rsidR="794B3601" w:rsidP="794B3601" w:rsidRDefault="794B3601" w14:paraId="4C3C65D1" w14:textId="0B303588">
      <w:pPr>
        <w:pStyle w:val="FootnoteText"/>
        <w:bidi w:val="0"/>
      </w:pPr>
      <w:r w:rsidRPr="794B3601">
        <w:rPr>
          <w:rStyle w:val="FootnoteReference"/>
        </w:rPr>
        <w:footnoteRef/>
      </w:r>
      <w:r w:rsidR="794B3601">
        <w:rPr/>
        <w:t xml:space="preserve"> Danila Iacovelli Marco Fontana Nuove sfide della tecnologia e gestione dei rischi nella proposta di regolamento europeo sull'intelligenza artificiale: "set" di "training", algoritmi e qualificazione dei dati. Profili critici in Il diritto dell'economia 3/2022, pp. 107-138</w:t>
      </w:r>
    </w:p>
  </w:footnote>
  <w:footnote w:id="27110">
    <w:p w:rsidR="794B3601" w:rsidP="794B3601" w:rsidRDefault="794B3601" w14:paraId="4A86F740" w14:textId="11B7508C">
      <w:pPr>
        <w:pStyle w:val="FootnoteText"/>
        <w:bidi w:val="0"/>
      </w:pPr>
      <w:r w:rsidRPr="794B3601">
        <w:rPr>
          <w:rStyle w:val="FootnoteReference"/>
        </w:rPr>
        <w:footnoteRef/>
      </w:r>
      <w:r w:rsidR="794B3601">
        <w:rPr/>
        <w:t xml:space="preserve"> Andrea Simoncini Elia Cremona European private law integration through technology: the constitutional dimension in Persona e Mercato 2/2021, pp. 244-260</w:t>
      </w:r>
    </w:p>
  </w:footnote>
  <w:footnote w:id="8522">
    <w:p w:rsidR="794B3601" w:rsidP="794B3601" w:rsidRDefault="794B3601" w14:paraId="78D8EBE0" w14:textId="168FCD5D">
      <w:pPr>
        <w:pStyle w:val="FootnoteText"/>
        <w:bidi w:val="0"/>
      </w:pPr>
      <w:r w:rsidRPr="794B3601">
        <w:rPr>
          <w:rStyle w:val="FootnoteReference"/>
        </w:rPr>
        <w:footnoteRef/>
      </w:r>
      <w:r w:rsidR="794B3601">
        <w:rPr/>
        <w:t xml:space="preserve"> Filippo Lorè "Blockchain" e "privacy", un rapporto ancora da definire in dirittifondamentali.it 3/2020, pp. 51-63</w:t>
      </w:r>
    </w:p>
  </w:footnote>
  <w:footnote w:id="17349">
    <w:p w:rsidR="794B3601" w:rsidP="794B3601" w:rsidRDefault="794B3601" w14:paraId="076244A4" w14:textId="321DF6E5">
      <w:pPr>
        <w:pStyle w:val="FootnoteText"/>
        <w:bidi w:val="0"/>
      </w:pPr>
      <w:r w:rsidRPr="794B3601">
        <w:rPr>
          <w:rStyle w:val="FootnoteReference"/>
        </w:rPr>
        <w:footnoteRef/>
      </w:r>
      <w:r w:rsidR="794B3601">
        <w:rPr/>
        <w:t xml:space="preserve"> Francesco Misuraca Diritto e "blockchain". Modelli in Politica &amp; Società 1/2025, pp. 97-123</w:t>
      </w:r>
    </w:p>
  </w:footnote>
  <w:footnote w:id="31291">
    <w:p w:rsidR="794B3601" w:rsidP="794B3601" w:rsidRDefault="794B3601" w14:paraId="5A84287A" w14:textId="572207AF">
      <w:pPr>
        <w:pStyle w:val="FootnoteText"/>
        <w:bidi w:val="0"/>
      </w:pPr>
      <w:r w:rsidRPr="794B3601">
        <w:rPr>
          <w:rStyle w:val="FootnoteReference"/>
        </w:rPr>
        <w:footnoteRef/>
      </w:r>
      <w:r w:rsidR="794B3601">
        <w:rPr/>
        <w:t xml:space="preserve"> Daniele Canè Soggettività tributaria e "blockchain": dalla ricchezza "virtuale" ai contribuenti in Rassegna tributaria 1/2024, pp. 150-162</w:t>
      </w:r>
    </w:p>
  </w:footnote>
  <w:footnote w:id="3233">
    <w:p w:rsidR="794B3601" w:rsidP="794B3601" w:rsidRDefault="794B3601" w14:paraId="652A77D7" w14:textId="5A314ED4">
      <w:pPr>
        <w:pStyle w:val="FootnoteText"/>
        <w:bidi w:val="0"/>
      </w:pPr>
      <w:r w:rsidRPr="794B3601">
        <w:rPr>
          <w:rStyle w:val="FootnoteReference"/>
        </w:rPr>
        <w:footnoteRef/>
      </w:r>
      <w:r w:rsidR="794B3601">
        <w:rPr/>
        <w:t xml:space="preserve"> Stefano Pietropaoli Un’occasione (forse) mancata. Considerazioni sulla revisione dei reati informatici proposta con il DDL Cybersicurezza in Rivista italiana di informatica e diritto 1/2024, pp. 47-53</w:t>
      </w:r>
    </w:p>
  </w:footnote>
  <w:footnote w:id="17795">
    <w:p w:rsidR="794B3601" w:rsidP="794B3601" w:rsidRDefault="794B3601" w14:paraId="2A0A0669" w14:textId="13E802D6">
      <w:pPr>
        <w:pStyle w:val="FootnoteText"/>
        <w:bidi w:val="0"/>
      </w:pPr>
      <w:r w:rsidRPr="794B3601">
        <w:rPr>
          <w:rStyle w:val="FootnoteReference"/>
        </w:rPr>
        <w:footnoteRef/>
      </w:r>
      <w:r w:rsidR="794B3601">
        <w:rPr/>
        <w:t xml:space="preserve"> Michele Molè "</w:t>
      </w:r>
      <w:r w:rsidR="794B3601">
        <w:rPr/>
        <w:t>Surveiller</w:t>
      </w:r>
      <w:r w:rsidR="794B3601">
        <w:rPr/>
        <w:t xml:space="preserve"> et punir": Amazon Francia e la sanzione del Garante dei dati per la sorveglianza "intrusiva e pressante" dei suoi magazzinieri in Diritto delle relazioni industriali 2/2024, pp. 553-561</w:t>
      </w:r>
    </w:p>
  </w:footnote>
  <w:footnote w:id="26591">
    <w:p w:rsidR="794B3601" w:rsidP="794B3601" w:rsidRDefault="794B3601" w14:paraId="36A70D44" w14:textId="46F2B191">
      <w:pPr>
        <w:pStyle w:val="FootnoteText"/>
        <w:bidi w:val="0"/>
      </w:pPr>
      <w:r w:rsidRPr="794B3601">
        <w:rPr>
          <w:rStyle w:val="FootnoteReference"/>
        </w:rPr>
        <w:footnoteRef/>
      </w:r>
      <w:r w:rsidR="794B3601">
        <w:rPr/>
        <w:t xml:space="preserve"> Carla Di Martino "Data </w:t>
      </w:r>
      <w:r w:rsidR="794B3601">
        <w:rPr/>
        <w:t>protection</w:t>
      </w:r>
      <w:r w:rsidR="794B3601">
        <w:rPr/>
        <w:t>" e inchieste parlamentari: i nuovi spunti che provengono dalla giurisprudenza della Corte di Giustizia in federalismi.it 8/2026, pp. 72-113</w:t>
      </w:r>
    </w:p>
  </w:footnote>
  <w:footnote w:id="10172">
    <w:p w:rsidR="794B3601" w:rsidP="794B3601" w:rsidRDefault="794B3601" w14:paraId="794BF510" w14:textId="5C2B342B">
      <w:pPr>
        <w:pStyle w:val="FootnoteText"/>
        <w:bidi w:val="0"/>
      </w:pPr>
      <w:r w:rsidRPr="794B3601">
        <w:rPr>
          <w:rStyle w:val="FootnoteReference"/>
        </w:rPr>
        <w:footnoteRef/>
      </w:r>
      <w:r w:rsidR="794B3601">
        <w:rPr/>
        <w:t xml:space="preserve"> Barbara De Mozzi GDPR, contrattazione collettiva e trasferimento di dati all'estero in Giornale di diritto del lavoro e di relazioni industriali 187/2025, pp. 538-559</w:t>
      </w:r>
    </w:p>
  </w:footnote>
  <w:footnote w:id="29493">
    <w:p w:rsidR="794B3601" w:rsidP="794B3601" w:rsidRDefault="794B3601" w14:paraId="3F47380D" w14:textId="15424546">
      <w:pPr>
        <w:pStyle w:val="FootnoteText"/>
        <w:bidi w:val="0"/>
      </w:pPr>
      <w:r w:rsidRPr="794B3601">
        <w:rPr>
          <w:rStyle w:val="FootnoteReference"/>
        </w:rPr>
        <w:footnoteRef/>
      </w:r>
      <w:r w:rsidR="794B3601">
        <w:rPr/>
        <w:t xml:space="preserve"> Silvia Ciucciovino Circolazione vs protezione dei dati personali e autodeterminazione informativa tra GDPR, DGA e "AI Act" per una nuova stagione delle politiche attive del lavoro in federalismi.it 33/2025, pp. 344-369</w:t>
      </w:r>
    </w:p>
  </w:footnote>
  <w:footnote w:id="18317">
    <w:p w:rsidR="794B3601" w:rsidP="794B3601" w:rsidRDefault="794B3601" w14:paraId="38A74E24" w14:textId="3C100C8B">
      <w:pPr>
        <w:pStyle w:val="FootnoteText"/>
        <w:bidi w:val="0"/>
      </w:pPr>
      <w:r w:rsidRPr="794B3601">
        <w:rPr>
          <w:rStyle w:val="FootnoteReference"/>
        </w:rPr>
        <w:footnoteRef/>
      </w:r>
      <w:r w:rsidR="794B3601">
        <w:rPr/>
        <w:t xml:space="preserve"> Cristiana </w:t>
      </w:r>
      <w:r w:rsidR="794B3601">
        <w:rPr/>
        <w:t xml:space="preserve">Benetazzo </w:t>
      </w:r>
      <w:r w:rsidR="794B3601">
        <w:rPr/>
        <w:t>IA, giustizia e P.A.: la sfida etica ed antropologica in federalismi.it 8/2025, pp. 1-31</w:t>
      </w:r>
    </w:p>
  </w:footnote>
  <w:footnote w:id="23214">
    <w:p w:rsidR="794B3601" w:rsidP="794B3601" w:rsidRDefault="794B3601" w14:paraId="0B8DA5C4" w14:textId="33268D48">
      <w:pPr>
        <w:pStyle w:val="FootnoteText"/>
        <w:bidi w:val="0"/>
      </w:pPr>
      <w:r w:rsidRPr="794B3601">
        <w:rPr>
          <w:rStyle w:val="FootnoteReference"/>
        </w:rPr>
        <w:footnoteRef/>
      </w:r>
      <w:r w:rsidR="794B3601">
        <w:rPr/>
        <w:t xml:space="preserve"> Pietro Manzini La nuova anima costituzionale del diritto antitrust europeo in </w:t>
      </w:r>
      <w:r w:rsidR="794B3601">
        <w:rPr/>
        <w:t>Eurojus</w:t>
      </w:r>
      <w:r w:rsidR="794B3601">
        <w:rPr/>
        <w:t xml:space="preserve"> 4/2025, pp. 440-455</w:t>
      </w:r>
    </w:p>
  </w:footnote>
  <w:footnote w:id="5833">
    <w:p w:rsidR="794B3601" w:rsidP="794B3601" w:rsidRDefault="794B3601" w14:paraId="6A0DE574" w14:textId="36195B60">
      <w:pPr>
        <w:pStyle w:val="FootnoteText"/>
        <w:bidi w:val="0"/>
      </w:pPr>
      <w:r w:rsidRPr="794B3601">
        <w:rPr>
          <w:rStyle w:val="FootnoteReference"/>
        </w:rPr>
        <w:footnoteRef/>
      </w:r>
      <w:r w:rsidR="794B3601">
        <w:rPr/>
        <w:t xml:space="preserve"> Piergiuseppe Capriotti Un nuovo tassello nell'interpretazione dell'art 88 GDPR: lo spazio della contrattazione collettiva nella definizione delle "norme più specifiche" per il trattamento dei dati personali dei lavoratori in Diritto delle relazioni industriali 2/2025, pp. 597-606</w:t>
      </w:r>
    </w:p>
  </w:footnote>
  <w:footnote w:id="14185">
    <w:p w:rsidR="794B3601" w:rsidP="794B3601" w:rsidRDefault="794B3601" w14:paraId="53817FFB" w14:textId="324FEA6B">
      <w:pPr>
        <w:pStyle w:val="FootnoteText"/>
        <w:bidi w:val="0"/>
      </w:pPr>
      <w:r w:rsidRPr="794B3601">
        <w:rPr>
          <w:rStyle w:val="FootnoteReference"/>
        </w:rPr>
        <w:footnoteRef/>
      </w:r>
      <w:r w:rsidR="794B3601">
        <w:rPr/>
        <w:t xml:space="preserve"> Paola Pasqualone Impact Assessments and the Protection of Fundamental Rights in the Processing of Personal Data in The </w:t>
      </w:r>
      <w:r w:rsidR="794B3601">
        <w:rPr/>
        <w:t>Italian</w:t>
      </w:r>
      <w:r w:rsidR="794B3601">
        <w:rPr/>
        <w:t xml:space="preserve"> Law Journal 2/2025, pp. 441-458</w:t>
      </w:r>
    </w:p>
  </w:footnote>
  <w:footnote w:id="25110">
    <w:p w:rsidR="46C9EF11" w:rsidP="46C9EF11" w:rsidRDefault="46C9EF11" w14:paraId="46E45A80" w14:textId="33852D03">
      <w:pPr>
        <w:pStyle w:val="FootnoteText"/>
        <w:bidi w:val="0"/>
      </w:pPr>
      <w:r w:rsidRPr="46C9EF11">
        <w:rPr>
          <w:rStyle w:val="FootnoteReference"/>
        </w:rPr>
        <w:footnoteRef/>
      </w:r>
      <w:r w:rsidR="46C9EF11">
        <w:rPr/>
        <w:t xml:space="preserve"> Tamara Favaro Può la tecnologia regolare? «Blockchain» e «scambio tra pari» di energia </w:t>
      </w:r>
      <w:r w:rsidR="46C9EF11">
        <w:rPr/>
        <w:t>rinnovabile in</w:t>
      </w:r>
      <w:r w:rsidR="46C9EF11">
        <w:rPr/>
        <w:t xml:space="preserve"> Rivista della regolazione dei mercati 2/2019, pp. 294-318</w:t>
      </w:r>
    </w:p>
  </w:footnote>
  <w:footnote w:id="32277">
    <w:p w:rsidR="46C9EF11" w:rsidP="46C9EF11" w:rsidRDefault="46C9EF11" w14:paraId="5DA0FAD9" w14:textId="14DB54E7">
      <w:pPr>
        <w:pStyle w:val="FootnoteText"/>
        <w:bidi w:val="0"/>
      </w:pPr>
      <w:r w:rsidRPr="46C9EF11">
        <w:rPr>
          <w:rStyle w:val="FootnoteReference"/>
        </w:rPr>
        <w:footnoteRef/>
      </w:r>
      <w:r w:rsidR="46C9EF11">
        <w:rPr/>
        <w:t xml:space="preserve"> Sabatini, Giovanni Nuova infrastruttura digitale e </w:t>
      </w:r>
      <w:r w:rsidR="46C9EF11">
        <w:rPr/>
        <w:t>regole :</w:t>
      </w:r>
      <w:r w:rsidR="46C9EF11">
        <w:rPr/>
        <w:t xml:space="preserve"> Blockchain, Instant Payment, Psd2 e Open Banking in Bancaria 2/2019, pp. 8-17</w:t>
      </w:r>
    </w:p>
  </w:footnote>
  <w:footnote w:id="13496">
    <w:p w:rsidR="46C9EF11" w:rsidP="46C9EF11" w:rsidRDefault="46C9EF11" w14:paraId="7BCCB828" w14:textId="22E05891">
      <w:pPr>
        <w:pStyle w:val="FootnoteText"/>
        <w:bidi w:val="0"/>
      </w:pPr>
      <w:r w:rsidRPr="46C9EF11">
        <w:rPr>
          <w:rStyle w:val="FootnoteReference"/>
        </w:rPr>
        <w:footnoteRef/>
      </w:r>
      <w:r w:rsidR="46C9EF11">
        <w:rPr/>
        <w:t xml:space="preserve"> Pier Giorgio Chiara Una svolta nel dibattito sulla crittografia: la sentenza Podchasov c. Russia della Corte EDU. Verso "alcuni diritti" di cybersicurezza? in Diritto &amp; questioni pubbliche 1/2025, pp. 43-59</w:t>
      </w:r>
    </w:p>
  </w:footnote>
  <w:footnote w:id="20696">
    <w:p w:rsidR="46C9EF11" w:rsidP="46C9EF11" w:rsidRDefault="46C9EF11" w14:paraId="4AE6CFA9" w14:textId="3B29BEBE">
      <w:pPr>
        <w:pStyle w:val="FootnoteText"/>
        <w:bidi w:val="0"/>
      </w:pPr>
      <w:r w:rsidRPr="46C9EF11">
        <w:rPr>
          <w:rStyle w:val="FootnoteReference"/>
        </w:rPr>
        <w:footnoteRef/>
      </w:r>
      <w:r w:rsidR="46C9EF11">
        <w:rPr/>
        <w:t xml:space="preserve"> Bonavoglia, Paolo Crittografia militare </w:t>
      </w:r>
      <w:r w:rsidR="46C9EF11">
        <w:rPr/>
        <w:t>italiana :</w:t>
      </w:r>
      <w:r w:rsidR="46C9EF11">
        <w:rPr/>
        <w:t xml:space="preserve"> l'opera del generale Luigi Sacco in </w:t>
      </w:r>
      <w:r w:rsidR="46C9EF11">
        <w:rPr/>
        <w:t>Gnosis</w:t>
      </w:r>
      <w:r w:rsidR="46C9EF11">
        <w:rPr/>
        <w:t xml:space="preserve"> 2/2024, pp. 170-179</w:t>
      </w:r>
    </w:p>
  </w:footnote>
  <w:footnote w:id="19836">
    <w:p w:rsidR="46C9EF11" w:rsidP="46C9EF11" w:rsidRDefault="46C9EF11" w14:paraId="60CFA3E2" w14:textId="3712710E">
      <w:pPr>
        <w:pStyle w:val="FootnoteText"/>
        <w:bidi w:val="0"/>
      </w:pPr>
      <w:r w:rsidRPr="46C9EF11">
        <w:rPr>
          <w:rStyle w:val="FootnoteReference"/>
        </w:rPr>
        <w:footnoteRef/>
      </w:r>
      <w:r w:rsidR="46C9EF11">
        <w:rPr/>
        <w:t xml:space="preserve"> Palmieri, Francesco Le radici magiche della crittografia in </w:t>
      </w:r>
      <w:r w:rsidR="46C9EF11">
        <w:rPr/>
        <w:t>Gnosis</w:t>
      </w:r>
      <w:r w:rsidR="46C9EF11">
        <w:rPr/>
        <w:t xml:space="preserve"> 2/2024, pp. 188-195</w:t>
      </w:r>
    </w:p>
  </w:footnote>
  <w:footnote w:id="10049">
    <w:p w:rsidR="46C9EF11" w:rsidP="46C9EF11" w:rsidRDefault="46C9EF11" w14:paraId="4A135621" w14:textId="3BCF5885">
      <w:pPr>
        <w:pStyle w:val="FootnoteText"/>
        <w:bidi w:val="0"/>
      </w:pPr>
      <w:r w:rsidRPr="46C9EF11">
        <w:rPr>
          <w:rStyle w:val="FootnoteReference"/>
        </w:rPr>
        <w:footnoteRef/>
      </w:r>
      <w:r w:rsidR="46C9EF11">
        <w:rPr/>
        <w:t xml:space="preserve"> Piccioni, Manuel Bitcoin e oltre. Come l'anti-moneta sta riscrivendo la storia del denaro in Rassegna dell'Arma dei Carabinieri 3/2025, pp. 139-153</w:t>
      </w:r>
    </w:p>
  </w:footnote>
  <w:footnote w:id="29439">
    <w:p w:rsidR="46C9EF11" w:rsidP="46C9EF11" w:rsidRDefault="46C9EF11" w14:paraId="4F057216" w14:textId="23EAB5D4">
      <w:pPr>
        <w:pStyle w:val="FootnoteText"/>
        <w:bidi w:val="0"/>
      </w:pPr>
      <w:r w:rsidRPr="46C9EF11">
        <w:rPr>
          <w:rStyle w:val="FootnoteReference"/>
        </w:rPr>
        <w:footnoteRef/>
      </w:r>
      <w:r w:rsidR="46C9EF11">
        <w:rPr/>
        <w:t xml:space="preserve"> De Gioia, Valerio 'Criptovalute': ove le monete virtuali (quali i 'bitcoin') vengano utilizzate come strumenti di investimento finanziario, la negoziazione è soggetta al rispetto delle norme in materia di intermediazione finanziaria in Rivista penale 2/2025, pp. 119-120</w:t>
      </w:r>
    </w:p>
  </w:footnote>
  <w:footnote w:id="8653">
    <w:p w:rsidR="46C9EF11" w:rsidP="46C9EF11" w:rsidRDefault="46C9EF11" w14:paraId="500E271D" w14:textId="258662A8">
      <w:pPr>
        <w:pStyle w:val="FootnoteText"/>
        <w:bidi w:val="0"/>
      </w:pPr>
      <w:r w:rsidRPr="46C9EF11">
        <w:rPr>
          <w:rStyle w:val="FootnoteReference"/>
        </w:rPr>
        <w:footnoteRef/>
      </w:r>
      <w:r w:rsidR="46C9EF11">
        <w:rPr/>
        <w:t xml:space="preserve"> Daniele Foresta Le operazioni circolatorie di bitcoin. Criptovalute, </w:t>
      </w:r>
      <w:r w:rsidR="46C9EF11">
        <w:rPr/>
        <w:t>criptofinanza</w:t>
      </w:r>
      <w:r w:rsidR="46C9EF11">
        <w:rPr/>
        <w:t xml:space="preserve"> </w:t>
      </w:r>
      <w:r w:rsidR="46C9EF11">
        <w:rPr/>
        <w:t>o...</w:t>
      </w:r>
      <w:r w:rsidR="46C9EF11">
        <w:rPr/>
        <w:t xml:space="preserve"> </w:t>
      </w:r>
      <w:r w:rsidR="46C9EF11">
        <w:rPr/>
        <w:t>criptoscommessa</w:t>
      </w:r>
      <w:r w:rsidR="46C9EF11">
        <w:rPr/>
        <w:t>? in Osservatorio del diritto civile e commerciale 2/2024, pp. 431-466</w:t>
      </w:r>
    </w:p>
  </w:footnote>
  <w:footnote w:id="25424">
    <w:p w:rsidR="46C9EF11" w:rsidP="46C9EF11" w:rsidRDefault="46C9EF11" w14:paraId="0FBFC842" w14:textId="5EF73CC9">
      <w:pPr>
        <w:pStyle w:val="FootnoteText"/>
        <w:bidi w:val="0"/>
      </w:pPr>
      <w:r w:rsidRPr="46C9EF11">
        <w:rPr>
          <w:rStyle w:val="FootnoteReference"/>
        </w:rPr>
        <w:footnoteRef/>
      </w:r>
      <w:r w:rsidR="46C9EF11">
        <w:rPr/>
        <w:t xml:space="preserve"> Massimo Lembo La nuovissima normativa europea sugli strumenti finanziari digitali e sul mercato delle cryptovalute. Prime riflessioni in Diritto del commercio internazionale 4/2023, pp. 991-998</w:t>
      </w:r>
    </w:p>
  </w:footnote>
  <w:footnote w:id="11351">
    <w:p w:rsidR="46C9EF11" w:rsidP="46C9EF11" w:rsidRDefault="46C9EF11" w14:paraId="6E153A36" w14:textId="76A801F3">
      <w:pPr>
        <w:pStyle w:val="FootnoteText"/>
        <w:bidi w:val="0"/>
      </w:pPr>
      <w:r w:rsidRPr="46C9EF11">
        <w:rPr>
          <w:rStyle w:val="FootnoteReference"/>
        </w:rPr>
        <w:footnoteRef/>
      </w:r>
      <w:r w:rsidR="46C9EF11">
        <w:rPr/>
        <w:t xml:space="preserve"> Nicola Busto Bitcoin tra "disintermediazione" e "iper-intermediazione" in Ciberspazio e Diritto 3/2016, pp. 309-323</w:t>
      </w:r>
    </w:p>
  </w:footnote>
  <w:footnote w:id="10690">
    <w:p w:rsidR="46C9EF11" w:rsidP="46C9EF11" w:rsidRDefault="46C9EF11" w14:paraId="0DAB8ADF" w14:textId="15ABD438">
      <w:pPr>
        <w:pStyle w:val="FootnoteText"/>
        <w:bidi w:val="0"/>
      </w:pPr>
      <w:r w:rsidRPr="46C9EF11">
        <w:rPr>
          <w:rStyle w:val="FootnoteReference"/>
        </w:rPr>
        <w:footnoteRef/>
      </w:r>
      <w:r w:rsidR="46C9EF11">
        <w:rPr/>
        <w:t xml:space="preserve"> Novella Mancini "Bitcoin": rischi e difficoltà normative in Banca Impresa Società 1/2016, pp. 111-139</w:t>
      </w:r>
    </w:p>
  </w:footnote>
  <w:footnote w:id="22591">
    <w:p w:rsidR="25A44C1F" w:rsidP="25A44C1F" w:rsidRDefault="25A44C1F" w14:paraId="4526D77C" w14:textId="5496FE70">
      <w:pPr>
        <w:pStyle w:val="FootnoteText"/>
        <w:bidi w:val="0"/>
      </w:pPr>
      <w:r w:rsidRPr="25A44C1F">
        <w:rPr>
          <w:rStyle w:val="FootnoteReference"/>
        </w:rPr>
        <w:footnoteRef/>
      </w:r>
      <w:r w:rsidR="25A44C1F">
        <w:rPr/>
        <w:t xml:space="preserve"> Mena Minafra La l. 31 marzo 2025, n. 47 "Modifiche alla disciplina in materia di durata delle operazioni di intercettazione": tra esigenze investigative e tutela dei diritti individuali in Processo penale e Giustizia 6/2025, pp. 1468-1486</w:t>
      </w:r>
    </w:p>
  </w:footnote>
  <w:footnote w:id="14532">
    <w:p w:rsidR="25A44C1F" w:rsidP="25A44C1F" w:rsidRDefault="25A44C1F" w14:paraId="5DF38814" w14:textId="2EA500A3">
      <w:pPr>
        <w:pStyle w:val="FootnoteText"/>
        <w:bidi w:val="0"/>
      </w:pPr>
      <w:r w:rsidRPr="25A44C1F">
        <w:rPr>
          <w:rStyle w:val="FootnoteReference"/>
        </w:rPr>
        <w:footnoteRef/>
      </w:r>
      <w:r w:rsidR="25A44C1F">
        <w:rPr/>
        <w:t xml:space="preserve"> Wanda Nocerino Le recenti riforme in materia di intercettazioni: alcune criticità e qualche prospettiva in La Legislazione penale 1/2025, 2, pp. 205-229</w:t>
      </w:r>
    </w:p>
  </w:footnote>
  <w:footnote w:id="20472">
    <w:p w:rsidR="25A44C1F" w:rsidP="25A44C1F" w:rsidRDefault="25A44C1F" w14:paraId="53F8C3C5" w14:textId="65255927">
      <w:pPr>
        <w:pStyle w:val="FootnoteText"/>
        <w:bidi w:val="0"/>
      </w:pPr>
      <w:r w:rsidRPr="25A44C1F">
        <w:rPr>
          <w:rStyle w:val="FootnoteReference"/>
        </w:rPr>
        <w:footnoteRef/>
      </w:r>
      <w:r w:rsidR="25A44C1F">
        <w:rPr/>
        <w:t xml:space="preserve"> Marcello Clarich Laura Zanettini</w:t>
      </w:r>
      <w:r w:rsidR="25A44C1F">
        <w:rPr/>
        <w:t xml:space="preserve"> </w:t>
      </w:r>
      <w:r w:rsidR="25A44C1F">
        <w:rPr/>
        <w:t>Le garanzie del contraddittorio nei procedimenti sanzionatori dinanzi alle Autorità indipendenti in Giurisprudenza commerciale 2/2013, 1, pp. 358-386</w:t>
      </w:r>
    </w:p>
  </w:footnote>
  <w:footnote w:id="24105">
    <w:p w:rsidR="25A44C1F" w:rsidP="25A44C1F" w:rsidRDefault="25A44C1F" w14:paraId="47065F09" w14:textId="287BC051">
      <w:pPr>
        <w:pStyle w:val="FootnoteText"/>
        <w:bidi w:val="0"/>
      </w:pPr>
      <w:r w:rsidRPr="25A44C1F">
        <w:rPr>
          <w:rStyle w:val="FootnoteReference"/>
        </w:rPr>
        <w:footnoteRef/>
      </w:r>
      <w:r w:rsidR="25A44C1F">
        <w:rPr/>
        <w:t xml:space="preserve"> Katia La Regina Osservatorio Corte di cassazione - Processo penale in Diritto penale e processo 5/2025, pp. 593-598</w:t>
      </w:r>
    </w:p>
  </w:footnote>
  <w:footnote w:id="30459">
    <w:p w:rsidR="25A44C1F" w:rsidP="25A44C1F" w:rsidRDefault="25A44C1F" w14:paraId="67AFC6B9" w14:textId="3A516755">
      <w:pPr>
        <w:pStyle w:val="FootnoteText"/>
        <w:bidi w:val="0"/>
      </w:pPr>
      <w:r w:rsidRPr="25A44C1F">
        <w:rPr>
          <w:rStyle w:val="FootnoteReference"/>
        </w:rPr>
        <w:footnoteRef/>
      </w:r>
      <w:r w:rsidR="25A44C1F">
        <w:rPr/>
        <w:t xml:space="preserve"> Marianna Biral Nuovi orizzonti di tutela per i terzi colpiti da intercettazioni in Cassazione penale 4/2025, pp. 1346-1357</w:t>
      </w:r>
    </w:p>
  </w:footnote>
  <w:footnote w:id="5400">
    <w:p w:rsidR="25A44C1F" w:rsidP="25A44C1F" w:rsidRDefault="25A44C1F" w14:paraId="52A2F990" w14:textId="595B38C5">
      <w:pPr>
        <w:pStyle w:val="FootnoteText"/>
        <w:bidi w:val="0"/>
      </w:pPr>
      <w:r w:rsidRPr="25A44C1F">
        <w:rPr>
          <w:rStyle w:val="FootnoteReference"/>
        </w:rPr>
        <w:footnoteRef/>
      </w:r>
      <w:r w:rsidR="25A44C1F">
        <w:rPr/>
        <w:t xml:space="preserve"> Giorgio Spangher Giudizio abbreviato e intercettazioni (di procedimento separato) coperte dal segreto in Giurisprudenza italiana 4/2025, pp. 899-900</w:t>
      </w:r>
    </w:p>
  </w:footnote>
  <w:footnote w:id="31229">
    <w:p w:rsidR="25A44C1F" w:rsidP="25A44C1F" w:rsidRDefault="25A44C1F" w14:paraId="04D21FD5" w14:textId="30B68EB0">
      <w:pPr>
        <w:pStyle w:val="FootnoteText"/>
        <w:bidi w:val="0"/>
      </w:pPr>
      <w:r w:rsidRPr="25A44C1F">
        <w:rPr>
          <w:rStyle w:val="FootnoteReference"/>
        </w:rPr>
        <w:footnoteRef/>
      </w:r>
      <w:r w:rsidR="25A44C1F">
        <w:rPr/>
        <w:t xml:space="preserve"> Sergio Lorusso Ascolti e </w:t>
      </w:r>
      <w:r w:rsidR="25A44C1F">
        <w:rPr/>
        <w:t>pre</w:t>
      </w:r>
      <w:r w:rsidR="25A44C1F">
        <w:rPr/>
        <w:t>-giurisdizione all'ombra del tecnostato in Diritto e processo amministrativo 3/2025, pp. 665-680</w:t>
      </w:r>
    </w:p>
  </w:footnote>
  <w:footnote w:id="8207">
    <w:p w:rsidR="25A44C1F" w:rsidP="25A44C1F" w:rsidRDefault="25A44C1F" w14:paraId="48E6B7D4" w14:textId="0C5056C0">
      <w:pPr>
        <w:pStyle w:val="FootnoteText"/>
        <w:bidi w:val="0"/>
      </w:pPr>
      <w:r w:rsidRPr="25A44C1F">
        <w:rPr>
          <w:rStyle w:val="FootnoteReference"/>
        </w:rPr>
        <w:footnoteRef/>
      </w:r>
      <w:r w:rsidR="25A44C1F">
        <w:rPr/>
        <w:t xml:space="preserve"> Chiara Naimoli Prerogative difensive ed uso distorto dei poteri istruttori ex art. 507 c.p.p. in Diritto penale e processo 6/2025, pp. 783-792</w:t>
      </w:r>
    </w:p>
  </w:footnote>
  <w:footnote w:id="13941">
    <w:p w:rsidR="25A44C1F" w:rsidP="25A44C1F" w:rsidRDefault="25A44C1F" w14:paraId="00E16DC5" w14:textId="3E4D5D1B">
      <w:pPr>
        <w:pStyle w:val="FootnoteText"/>
        <w:bidi w:val="0"/>
      </w:pPr>
      <w:r w:rsidRPr="25A44C1F">
        <w:rPr>
          <w:rStyle w:val="FootnoteReference"/>
        </w:rPr>
        <w:footnoteRef/>
      </w:r>
      <w:r w:rsidR="25A44C1F">
        <w:rPr/>
        <w:t xml:space="preserve"> Chiara Rossi Integra il reato di cui all'art. 387-bis c.p. la condotta di chi, essendo sottoposto alla misura di cui all'art. 282-ter c.p.p., consente che la persona offesa volontariamente gli si avvicini in Cassazione penale 5/2025, pp. 1537-1541</w:t>
      </w:r>
    </w:p>
  </w:footnote>
  <w:footnote w:id="13837">
    <w:p w:rsidR="25A44C1F" w:rsidP="25A44C1F" w:rsidRDefault="25A44C1F" w14:paraId="18C36DC5" w14:textId="39B7FCB3">
      <w:pPr>
        <w:pStyle w:val="FootnoteText"/>
        <w:bidi w:val="0"/>
      </w:pPr>
      <w:r w:rsidRPr="25A44C1F">
        <w:rPr>
          <w:rStyle w:val="FootnoteReference"/>
        </w:rPr>
        <w:footnoteRef/>
      </w:r>
      <w:r w:rsidR="25A44C1F">
        <w:rPr/>
        <w:t xml:space="preserve"> Corrado Rizzo L'esigenza cautelare ex art. 274, lett. c), c.p.p. e il requisito di attualità del pericolo di recidiva in Cassazione penale 5/2025, pp. 1599-1606</w:t>
      </w:r>
    </w:p>
  </w:footnote>
  <w:footnote w:id="20585">
    <w:p w:rsidR="25A44C1F" w:rsidP="25A44C1F" w:rsidRDefault="25A44C1F" w14:paraId="53B3C36F" w14:textId="5F27ED42">
      <w:pPr>
        <w:pStyle w:val="FootnoteText"/>
        <w:bidi w:val="0"/>
      </w:pPr>
      <w:r w:rsidRPr="25A44C1F">
        <w:rPr>
          <w:rStyle w:val="FootnoteReference"/>
          <w:lang w:val="en-US"/>
        </w:rPr>
        <w:footnoteRef/>
      </w:r>
      <w:r w:rsidRPr="25A44C1F" w:rsidR="25A44C1F">
        <w:rPr>
          <w:lang w:val="en-US"/>
        </w:rPr>
        <w:t xml:space="preserve"> Sara Poli Luigi Lonardo The attribution of national citizenship by Member States and its impact on EU values in federalismi.it 1/2026, pp. 135-161</w:t>
      </w:r>
    </w:p>
  </w:footnote>
  <w:footnote w:id="2551">
    <w:p w:rsidR="25A44C1F" w:rsidP="25A44C1F" w:rsidRDefault="25A44C1F" w14:paraId="1710B2A7" w14:textId="0BC00239">
      <w:pPr>
        <w:pStyle w:val="FootnoteText"/>
        <w:bidi w:val="0"/>
      </w:pPr>
      <w:r w:rsidRPr="25A44C1F">
        <w:rPr>
          <w:rStyle w:val="FootnoteReference"/>
        </w:rPr>
        <w:footnoteRef/>
      </w:r>
      <w:r w:rsidR="25A44C1F">
        <w:rPr/>
        <w:t xml:space="preserve"> Laura Bartoli Cesare Maioli La catena di custodia del dato digitale: tra anelli solidi e anelli mancanti in Informatica e diritto 1-2/2015, pp. 139-151</w:t>
      </w:r>
    </w:p>
  </w:footnote>
</w:footnotes>
</file>

<file path=word/numbering.xml><?xml version="1.0" encoding="utf-8"?>
<w:numbering xmlns:w="http://schemas.openxmlformats.org/wordprocessingml/2006/main">
  <w:abstractNum xmlns:w="http://schemas.openxmlformats.org/wordprocessingml/2006/main" w:abstractNumId="2">
    <w:nsid w:val="6e11624e"/>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Aptos" w:hAnsi="Aptos"/>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1">
    <w:nsid w:val="23ed6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5076FA"/>
    <w:rsid w:val="011181AF"/>
    <w:rsid w:val="0241A568"/>
    <w:rsid w:val="02E091A0"/>
    <w:rsid w:val="02F163A9"/>
    <w:rsid w:val="0341599E"/>
    <w:rsid w:val="03C87463"/>
    <w:rsid w:val="03D08929"/>
    <w:rsid w:val="04B00CCC"/>
    <w:rsid w:val="04F0CD85"/>
    <w:rsid w:val="055C9474"/>
    <w:rsid w:val="05887E1F"/>
    <w:rsid w:val="05A16E70"/>
    <w:rsid w:val="06075217"/>
    <w:rsid w:val="064048C3"/>
    <w:rsid w:val="07894961"/>
    <w:rsid w:val="0964CE6F"/>
    <w:rsid w:val="0A142B55"/>
    <w:rsid w:val="0A2E9DD8"/>
    <w:rsid w:val="0A332942"/>
    <w:rsid w:val="0B3DC88C"/>
    <w:rsid w:val="0B9DCB0A"/>
    <w:rsid w:val="0CAA4D95"/>
    <w:rsid w:val="0D0A7D2D"/>
    <w:rsid w:val="0F9697F3"/>
    <w:rsid w:val="100B5801"/>
    <w:rsid w:val="101FE103"/>
    <w:rsid w:val="1022AC98"/>
    <w:rsid w:val="109F5D94"/>
    <w:rsid w:val="10EAFB92"/>
    <w:rsid w:val="111E6C0D"/>
    <w:rsid w:val="118975D6"/>
    <w:rsid w:val="127A35B4"/>
    <w:rsid w:val="129CF32C"/>
    <w:rsid w:val="12F009DC"/>
    <w:rsid w:val="13CC2FB2"/>
    <w:rsid w:val="14095364"/>
    <w:rsid w:val="14254DE3"/>
    <w:rsid w:val="14A2FB1B"/>
    <w:rsid w:val="14AC42B7"/>
    <w:rsid w:val="15DC6B95"/>
    <w:rsid w:val="15ECC244"/>
    <w:rsid w:val="1616B8A4"/>
    <w:rsid w:val="166A4BFB"/>
    <w:rsid w:val="16E6D8C4"/>
    <w:rsid w:val="16EC9E9C"/>
    <w:rsid w:val="17DEB685"/>
    <w:rsid w:val="17EDF517"/>
    <w:rsid w:val="18C7C71E"/>
    <w:rsid w:val="18F71E63"/>
    <w:rsid w:val="191574EE"/>
    <w:rsid w:val="1A6E3CFC"/>
    <w:rsid w:val="1A7DCA74"/>
    <w:rsid w:val="1AB1081A"/>
    <w:rsid w:val="1B28228D"/>
    <w:rsid w:val="1B29C92A"/>
    <w:rsid w:val="1C2E9F7F"/>
    <w:rsid w:val="1C4D121E"/>
    <w:rsid w:val="1DD14D05"/>
    <w:rsid w:val="1E7722AA"/>
    <w:rsid w:val="1F79CF94"/>
    <w:rsid w:val="1FF0A5F3"/>
    <w:rsid w:val="2097C298"/>
    <w:rsid w:val="20A9AC71"/>
    <w:rsid w:val="2137BF02"/>
    <w:rsid w:val="21B85A98"/>
    <w:rsid w:val="2231B434"/>
    <w:rsid w:val="2255332C"/>
    <w:rsid w:val="22873B05"/>
    <w:rsid w:val="24CD4F38"/>
    <w:rsid w:val="24DEF490"/>
    <w:rsid w:val="252113C0"/>
    <w:rsid w:val="2554B71F"/>
    <w:rsid w:val="25A44C1F"/>
    <w:rsid w:val="25AE24C9"/>
    <w:rsid w:val="26052896"/>
    <w:rsid w:val="264B939F"/>
    <w:rsid w:val="277E3CFF"/>
    <w:rsid w:val="28586AE2"/>
    <w:rsid w:val="291C85AB"/>
    <w:rsid w:val="2998726D"/>
    <w:rsid w:val="2C1E462E"/>
    <w:rsid w:val="2C514676"/>
    <w:rsid w:val="2DFAE659"/>
    <w:rsid w:val="2E04AFE7"/>
    <w:rsid w:val="2E648C7C"/>
    <w:rsid w:val="2E91255C"/>
    <w:rsid w:val="2ED41990"/>
    <w:rsid w:val="2EF6C7EE"/>
    <w:rsid w:val="2EFEA97E"/>
    <w:rsid w:val="2F7A5883"/>
    <w:rsid w:val="2FE570B5"/>
    <w:rsid w:val="302C7137"/>
    <w:rsid w:val="302D1B84"/>
    <w:rsid w:val="30AD9896"/>
    <w:rsid w:val="31E0095E"/>
    <w:rsid w:val="31EC8487"/>
    <w:rsid w:val="31F4E15D"/>
    <w:rsid w:val="3211A132"/>
    <w:rsid w:val="3220CBDB"/>
    <w:rsid w:val="323EE448"/>
    <w:rsid w:val="32550C12"/>
    <w:rsid w:val="32567EA4"/>
    <w:rsid w:val="32BC71DD"/>
    <w:rsid w:val="342F443B"/>
    <w:rsid w:val="34539AB3"/>
    <w:rsid w:val="35914A59"/>
    <w:rsid w:val="36B3B69A"/>
    <w:rsid w:val="372F5A7E"/>
    <w:rsid w:val="37A8BC17"/>
    <w:rsid w:val="38350706"/>
    <w:rsid w:val="3849FF66"/>
    <w:rsid w:val="38B118A2"/>
    <w:rsid w:val="3968B5EB"/>
    <w:rsid w:val="3AACF894"/>
    <w:rsid w:val="3B6A5F03"/>
    <w:rsid w:val="3B6DF644"/>
    <w:rsid w:val="3BADE734"/>
    <w:rsid w:val="3D21BCCF"/>
    <w:rsid w:val="3D5B4D07"/>
    <w:rsid w:val="40983F4C"/>
    <w:rsid w:val="40C91AD5"/>
    <w:rsid w:val="429CAFC0"/>
    <w:rsid w:val="434E700A"/>
    <w:rsid w:val="44224BB2"/>
    <w:rsid w:val="44F65C8B"/>
    <w:rsid w:val="45F82162"/>
    <w:rsid w:val="460D57A7"/>
    <w:rsid w:val="4610DF1E"/>
    <w:rsid w:val="464A8F88"/>
    <w:rsid w:val="46C9EF11"/>
    <w:rsid w:val="46F339CE"/>
    <w:rsid w:val="4700DC46"/>
    <w:rsid w:val="4783BB32"/>
    <w:rsid w:val="47A194BD"/>
    <w:rsid w:val="483D99DB"/>
    <w:rsid w:val="489E9BF8"/>
    <w:rsid w:val="48A57EE5"/>
    <w:rsid w:val="4912CA98"/>
    <w:rsid w:val="4A60FA28"/>
    <w:rsid w:val="4A92A015"/>
    <w:rsid w:val="4AC042A6"/>
    <w:rsid w:val="4AF53D4C"/>
    <w:rsid w:val="4B59F260"/>
    <w:rsid w:val="4BC48CB6"/>
    <w:rsid w:val="4E82E1DC"/>
    <w:rsid w:val="4F60402E"/>
    <w:rsid w:val="4F758524"/>
    <w:rsid w:val="4F7B6138"/>
    <w:rsid w:val="5188E2B9"/>
    <w:rsid w:val="51C9B8D3"/>
    <w:rsid w:val="52A0E0FD"/>
    <w:rsid w:val="52DA7D49"/>
    <w:rsid w:val="53863477"/>
    <w:rsid w:val="54666546"/>
    <w:rsid w:val="557685D2"/>
    <w:rsid w:val="557BB0AA"/>
    <w:rsid w:val="55D271F5"/>
    <w:rsid w:val="5665E5D2"/>
    <w:rsid w:val="58AD7A6F"/>
    <w:rsid w:val="58B0686A"/>
    <w:rsid w:val="594B376D"/>
    <w:rsid w:val="594F7B4B"/>
    <w:rsid w:val="59DA77B9"/>
    <w:rsid w:val="5A633A2B"/>
    <w:rsid w:val="5A868BCD"/>
    <w:rsid w:val="5B4BDEDB"/>
    <w:rsid w:val="5C1BEC8B"/>
    <w:rsid w:val="5C71E77F"/>
    <w:rsid w:val="5EE7693B"/>
    <w:rsid w:val="5EF65574"/>
    <w:rsid w:val="5F40F99D"/>
    <w:rsid w:val="600CB1F8"/>
    <w:rsid w:val="605076FA"/>
    <w:rsid w:val="60FFF915"/>
    <w:rsid w:val="61811D56"/>
    <w:rsid w:val="6197C755"/>
    <w:rsid w:val="61E20A44"/>
    <w:rsid w:val="61EE8CE3"/>
    <w:rsid w:val="6276EA66"/>
    <w:rsid w:val="627938B4"/>
    <w:rsid w:val="638365A7"/>
    <w:rsid w:val="64D43B58"/>
    <w:rsid w:val="6617292E"/>
    <w:rsid w:val="6618F349"/>
    <w:rsid w:val="6641C08D"/>
    <w:rsid w:val="66FEB0CF"/>
    <w:rsid w:val="67AF9DB9"/>
    <w:rsid w:val="67CA7E11"/>
    <w:rsid w:val="6AD73608"/>
    <w:rsid w:val="6B504C5A"/>
    <w:rsid w:val="6B66F154"/>
    <w:rsid w:val="6B797127"/>
    <w:rsid w:val="6BF00DD1"/>
    <w:rsid w:val="6CD3CFBB"/>
    <w:rsid w:val="6D045E48"/>
    <w:rsid w:val="6D0E3643"/>
    <w:rsid w:val="6DE8410F"/>
    <w:rsid w:val="6E80E073"/>
    <w:rsid w:val="6F6BE1E7"/>
    <w:rsid w:val="6FBB545C"/>
    <w:rsid w:val="6FCACF5F"/>
    <w:rsid w:val="70284915"/>
    <w:rsid w:val="706165D4"/>
    <w:rsid w:val="7112ECC1"/>
    <w:rsid w:val="722BB982"/>
    <w:rsid w:val="72DD2C79"/>
    <w:rsid w:val="73004CAD"/>
    <w:rsid w:val="730BEE34"/>
    <w:rsid w:val="730ECE6C"/>
    <w:rsid w:val="73A99AF4"/>
    <w:rsid w:val="74B2AA42"/>
    <w:rsid w:val="74BE3F2B"/>
    <w:rsid w:val="75CF76B4"/>
    <w:rsid w:val="76D3AF14"/>
    <w:rsid w:val="77975EEB"/>
    <w:rsid w:val="77A04C67"/>
    <w:rsid w:val="77DDE4C4"/>
    <w:rsid w:val="78FFB2E4"/>
    <w:rsid w:val="794B3601"/>
    <w:rsid w:val="798E9B4C"/>
    <w:rsid w:val="7A71E063"/>
    <w:rsid w:val="7CE7E379"/>
    <w:rsid w:val="7D4092A9"/>
    <w:rsid w:val="7D477C73"/>
    <w:rsid w:val="7E06E61C"/>
    <w:rsid w:val="7F7B677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05DF"/>
  <w15:chartTrackingRefBased/>
  <w15:docId w15:val="{448B1645-531D-4D4B-960B-4E610EC6A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line="360" w:lineRule="auto"/>
      <w:ind w:firstLine="567"/>
      <w:jc w:val="both"/>
    </w:pPr>
    <w:rPr>
      <w:rFonts w:ascii="Times New Roman" w:hAnsi="Times New Roman"/>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uiPriority w:val="99"/>
    <w:name w:val="footnote text"/>
    <w:basedOn w:val="Normal"/>
    <w:semiHidden/>
    <w:unhideWhenUsed/>
    <w:rsid w:val="2ED41990"/>
    <w:rPr>
      <w:sz w:val="20"/>
      <w:szCs w:val="20"/>
    </w:rPr>
    <w:pPr>
      <w:spacing w:after="0" w:line="240" w:lineRule="auto"/>
    </w:pPr>
  </w:style>
  <w:style w:type="character" w:styleId="FootnoteReference">
    <w:uiPriority w:val="99"/>
    <w:name w:val="footnote reference"/>
    <w:basedOn w:val="DefaultParagraphFont"/>
    <w:semiHidden/>
    <w:unhideWhenUsed/>
    <w:rsid w:val="2ED41990"/>
    <w:rPr>
      <w:vertAlign w:val="superscript"/>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footnotes.xml" Id="Rd067336d32714e0a" /><Relationship Type="http://schemas.openxmlformats.org/officeDocument/2006/relationships/numbering" Target="numbering.xml" Id="R555e7ff3c27a4148" /><Relationship Type="http://schemas.openxmlformats.org/officeDocument/2006/relationships/image" Target="../media/image.png" Id="rId11373896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2026-03-19T15:52:27.0605113Z</dcterms:created>
  <dcterms:modified xsi:type="dcterms:W3CDTF">2026-06-29T17:01:05.3145924Z</dcterms:modified>
  <dc:creator>Francesco Marra</dc:creator>
  <lastModifiedBy>Francesco Marra</lastModifiedBy>
</coreProperties>
</file>