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DC08235" wp14:textId="54384BAD">
      <w:pPr>
        <w:spacing w:line="360" w:lineRule="auto"/>
        <w:ind w:firstLine="0"/>
        <w:jc w:val="left"/>
      </w:pPr>
      <w:r w:rsidRPr="77EDFAC1" w:rsidR="65DFEAE7">
        <w:rPr>
          <w:rFonts w:ascii="Times New Roman" w:hAnsi="Times New Roman"/>
          <w:b/>
          <w:bCs w:val="1"/>
          <w:sz w:val="28"/>
        </w:rPr>
        <w:t xml:space="preserve">Conclusioni </w:t>
      </w:r>
    </w:p>
    <w:p w:rsidR="77EDFAC1" w:rsidP="77EDFAC1" w:rsidRDefault="77EDFAC1" w14:paraId="6BA57E41" w14:textId="7BE23F49">
      <w:pPr>
        <w:ind w:firstLine="0"/>
        <w:rPr>
          <w:b w:val="1"/>
          <w:bCs w:val="1"/>
        </w:rPr>
      </w:pPr>
    </w:p>
    <w:p w:rsidR="21F721AB" w:rsidRDefault="21F721AB" w14:paraId="09F1CFEA" w14:textId="7C42927E">
      <w:pPr>
        <w:spacing w:line="360" w:lineRule="auto"/>
        <w:ind w:firstLine="567"/>
        <w:jc w:val="both"/>
      </w:pPr>
      <w:r w:rsidR="21F721AB">
        <w:rPr>
          <w:rFonts w:ascii="Times New Roman" w:hAnsi="Times New Roman"/>
          <w:b w:val="0"/>
          <w:bCs w:val="0"/>
          <w:sz w:val="24"/>
        </w:rPr>
        <w:t xml:space="preserve">La parabola evolutiva tracciata nel presente studio evidenzia come la metamorfosi della prova penale, indotta dalla pervasiva diffusione della </w:t>
      </w:r>
      <w:r w:rsidR="21F721AB">
        <w:rPr>
          <w:rFonts w:ascii="Times New Roman" w:hAnsi="Times New Roman"/>
          <w:b w:val="0"/>
          <w:bCs w:val="0"/>
          <w:sz w:val="24"/>
        </w:rPr>
        <w:t>digital</w:t>
      </w:r>
      <w:r w:rsidR="21F721AB">
        <w:rPr>
          <w:rFonts w:ascii="Times New Roman" w:hAnsi="Times New Roman"/>
          <w:b w:val="0"/>
          <w:bCs w:val="0"/>
          <w:sz w:val="24"/>
        </w:rPr>
        <w:t xml:space="preserve"> </w:t>
      </w:r>
      <w:r w:rsidR="21F721AB">
        <w:rPr>
          <w:rFonts w:ascii="Times New Roman" w:hAnsi="Times New Roman"/>
          <w:b w:val="0"/>
          <w:bCs w:val="0"/>
          <w:sz w:val="24"/>
        </w:rPr>
        <w:t>evidence</w:t>
      </w:r>
      <w:r w:rsidR="21F721AB">
        <w:rPr>
          <w:rFonts w:ascii="Times New Roman" w:hAnsi="Times New Roman"/>
          <w:b w:val="0"/>
          <w:bCs w:val="0"/>
          <w:sz w:val="24"/>
        </w:rPr>
        <w:t>, abbia imposto un radicale ripensamento delle categorie classiche del diritto processuale penale. La dematerializzazione del reperto probatorio, ben lungi dal tradursi in una semplificazione delle attività d'indagine, ha introdotto inediti profili di vulnerabilità legati alla volatilità e alla potenziale manipolabilità del dato informatico, rendendo la correttezza metodologica della catena di custodia il vero baricentro della legalità della prova. In questo scenario, l'orizzonte del processo penale contemporaneo si trova a fare i conti con un fenomeno di profonda inquietudine dogmatica: la progressiva crisi della prova scientifica, la quale sembra aver smarrito la propria aura di infallibilità euristica, decadendo dal ruolo di incontestabile "pistola fumante" o di novella prova regina. Questa involuzione epistemologica è emersa con plastica evidenza nei recenti e complessi risvolti mediatico-giudiziari volti alla riscrittura del caso Garlasco. Le indagini e i delicati accertamenti tecnici condotti nell'ambito dell'incidente probatorio conclusosi nel dicembre 2025 in ordine alla posizione di Andrea Sempio — culminati in una accesa dialettica peritale sul DNA maschile (aplotipo Y) rinvenuto sui margini ungueali della vittima — hanno svelato i limiti intrinseci della genetica forense. L'impossibilità di datare il rilascio della traccia biologica, di escludere fenomeni di trasferimento indiretto o contaminazione ambientale e di ottenere un risultato tecnicamente consolidato a causa dell'esaurimento dei reperti originari dimostrano come il dato scientifico, se privato di un rigido protocollo di azione e di contestualizzazione logica, decada a mero elemento congetturale o "neutro". A ciò si affiancano, sul piano tecnologico, le storiche e gravi anomalie riscontrate nell'acquisizione del computer portatile, le cui scorrette metodologie forensi provocarono la perdita irreversibile di oltre il settanta per cento dei file nativi, compromettendo irrimediabilmente l'integrità del reperto informatico.</w:t>
      </w:r>
      <w:r w:rsidR="2B2E3924">
        <w:rPr>
          <w:rFonts w:ascii="Times New Roman" w:hAnsi="Times New Roman"/>
          <w:b w:val="0"/>
          <w:bCs w:val="0"/>
          <w:sz w:val="24"/>
        </w:rPr>
        <w:t xml:space="preserve"> </w:t>
      </w:r>
      <w:r w:rsidR="79E24773">
        <w:rPr>
          <w:rFonts w:ascii="Times New Roman" w:hAnsi="Times New Roman"/>
          <w:b w:val="0"/>
          <w:bCs w:val="0"/>
          <w:sz w:val="24"/>
        </w:rPr>
        <w:t xml:space="preserve">In un simile contesto di strutturale fragilità, in cui il cammino della prova scientifica si rivela drammaticamente claudicante — specialmente sul terreno insidioso e volatile della prova </w:t>
      </w:r>
      <w:r w:rsidR="79E24773">
        <w:rPr>
          <w:rFonts w:ascii="Times New Roman" w:hAnsi="Times New Roman"/>
          <w:b w:val="0"/>
          <w:bCs w:val="0"/>
          <w:sz w:val="24"/>
        </w:rPr>
        <w:t>digitale  —</w:t>
      </w:r>
      <w:r w:rsidR="79E24773">
        <w:rPr>
          <w:rFonts w:ascii="Times New Roman" w:hAnsi="Times New Roman"/>
          <w:b w:val="0"/>
          <w:bCs w:val="0"/>
          <w:sz w:val="24"/>
        </w:rPr>
        <w:t xml:space="preserve"> l'implementazione della tecnologia blockchain per la validazione della catena di custodia non si configura come un mero orpello tecnologico. Al contrario, l'ancoraggio crittografico immutabile dei passaggi di repertazione e delle firme dei custodi si propone come un potente fattore di irrobustimento metodologico. Ai sensi dell'articolo 8-ter del D.L. n. 135/2018, la memorizzazione su blockchain produce gli effetti della validazione temporale elettronica ai sensi dell'articolo 41 del Regolamento eIDAS, sebbene priva della presunzione legale automatica propria delle marche temporali qualificate emesse da un Trust Service Provider accreditato, determinando così un onere probatorio specifico a carico del presentatore in caso di formale contestazione. </w:t>
      </w:r>
      <w:r w:rsidR="2723199B">
        <w:rPr>
          <w:rFonts w:ascii="Times New Roman" w:hAnsi="Times New Roman"/>
          <w:b w:val="0"/>
          <w:bCs w:val="0"/>
          <w:sz w:val="24"/>
        </w:rPr>
        <w:t xml:space="preserve">La criticità dogmatica più complessa risiede tuttavia nella fallacia strutturale nota come Garbage In, Garbage Out (GIGO). La blockchain garantisce in modo assoluto e immodificabile la persistenza temporale e l'integrità del dato a partire dal momento della sua registrazione on-chain, ma è strutturalmente incapace di attestare l'attendibilità storica, la provenienza o l'eventuale manipolazione pregressa del file avvenuta prima del suo inserimento nel registro distribuito. Per scongiurare la solidificazione tecnologica di una prova falsa o alterata all'origine, è dunque indispensabile che la </w:t>
      </w:r>
      <w:r w:rsidR="2723199B">
        <w:rPr>
          <w:rFonts w:ascii="Times New Roman" w:hAnsi="Times New Roman"/>
          <w:b w:val="0"/>
          <w:bCs w:val="0"/>
          <w:sz w:val="24"/>
        </w:rPr>
        <w:t>notarizzazione</w:t>
      </w:r>
      <w:r w:rsidR="2723199B">
        <w:rPr>
          <w:rFonts w:ascii="Times New Roman" w:hAnsi="Times New Roman"/>
          <w:b w:val="0"/>
          <w:bCs w:val="0"/>
          <w:sz w:val="24"/>
        </w:rPr>
        <w:t xml:space="preserve"> su blockchain non operi in modo isolato, bensì si inserisca all'interno di un protocollo integrato di </w:t>
      </w:r>
      <w:r w:rsidR="2723199B">
        <w:rPr>
          <w:rFonts w:ascii="Times New Roman" w:hAnsi="Times New Roman"/>
          <w:b w:val="0"/>
          <w:bCs w:val="0"/>
          <w:sz w:val="24"/>
        </w:rPr>
        <w:t>digital</w:t>
      </w:r>
      <w:r w:rsidR="2723199B">
        <w:rPr>
          <w:rFonts w:ascii="Times New Roman" w:hAnsi="Times New Roman"/>
          <w:b w:val="0"/>
          <w:bCs w:val="0"/>
          <w:sz w:val="24"/>
        </w:rPr>
        <w:t xml:space="preserve"> </w:t>
      </w:r>
      <w:r w:rsidR="2723199B">
        <w:rPr>
          <w:rFonts w:ascii="Times New Roman" w:hAnsi="Times New Roman"/>
          <w:b w:val="0"/>
          <w:bCs w:val="0"/>
          <w:sz w:val="24"/>
        </w:rPr>
        <w:t>forensics</w:t>
      </w:r>
      <w:r w:rsidR="2723199B">
        <w:rPr>
          <w:rFonts w:ascii="Times New Roman" w:hAnsi="Times New Roman"/>
          <w:b w:val="0"/>
          <w:bCs w:val="0"/>
          <w:sz w:val="24"/>
        </w:rPr>
        <w:t xml:space="preserve"> conforme allo standard internazionale ISO/IEC 27037. Solo l'adozione di applicativi di acquisizione certificata — capaci di blindare crittograficamente i metadati di provenienza e l'integrità del dispositivo nello stesso istante della cattura — consente di soddisfare congiuntamente le esigenze di immodificabilità del registro e le severe condizioni di ammissibilità richieste dal giudice penale. Tuttavia, l'efficacia dell'accertamento digitale non può prescindere dal rispetto incondizionato dei diritti fondamentali della persona. La storica sentenza n. 170/2023 della </w:t>
      </w:r>
      <w:r w:rsidR="2723199B">
        <w:rPr>
          <w:rFonts w:ascii="Times New Roman" w:hAnsi="Times New Roman"/>
          <w:b w:val="0"/>
          <w:bCs w:val="0"/>
          <w:sz w:val="24"/>
        </w:rPr>
        <w:t>Corte Costituzionale</w:t>
      </w:r>
      <w:r w:rsidR="2723199B">
        <w:rPr>
          <w:rFonts w:ascii="Times New Roman" w:hAnsi="Times New Roman"/>
          <w:b w:val="0"/>
          <w:bCs w:val="0"/>
          <w:sz w:val="24"/>
        </w:rPr>
        <w:t xml:space="preserve"> ha segnato un punto di non ritorno, superando l'obsoleta concezione dello smartphone come mero "contenitore" di dati e riconducendo i flussi comunicativi archiviati — comprese le chat WhatsApp già lette — sotto l'ombrello protettivo dell'articolo 15 della Costituzione. Di conseguenza, la giurisprudenza di legittimità ha progressivamente eretto rigorosi argini contro il rischio di sequestri indiscriminati a carattere esplorativo (fishing </w:t>
      </w:r>
      <w:r w:rsidR="2723199B">
        <w:rPr>
          <w:rFonts w:ascii="Times New Roman" w:hAnsi="Times New Roman"/>
          <w:b w:val="0"/>
          <w:bCs w:val="0"/>
          <w:sz w:val="24"/>
        </w:rPr>
        <w:t>expeditions</w:t>
      </w:r>
      <w:r w:rsidR="2723199B">
        <w:rPr>
          <w:rFonts w:ascii="Times New Roman" w:hAnsi="Times New Roman"/>
          <w:b w:val="0"/>
          <w:bCs w:val="0"/>
          <w:sz w:val="24"/>
        </w:rPr>
        <w:t xml:space="preserve">). In questa prospettiva garantista, la fondamentale sentenza della Cassazione n. 16495/2026 ha cristallizzato la perimetrazione temporale come un requisito motivazionale autonomo e inderogabile del decreto genetico di sequestro. La Suprema Corte ha chiarito che l'assenza di un limite cronologico specifico, calibrato sull'addebito provvisorio e sull'epoca di commissione del reato, determina la nullità del sequestro, la quale si propaga inevitabilmente ex articolo 185 c.p.p. all'intera copia forense estratta. La mera restituzione del supporto fisico non sana in alcun modo il pregiudizio arrecato al diritto alla "disponibilità esclusiva" del patrimonio informativo personale, che persiste intatto fintanto che l'autorità inquirente conserva copia dei dati non pertinenti. Al contempo, il termine della ritenzione deve essere strettamente proporzionato al tempo tecnico necessario per il compimento delle operazioni estrattive (Cassazione n. 7063/2026) , esigendo inoltre un vaglio preventivo indipendente in linea con i precetti eurounitari (Cassazione n. 13585/2025) , che non può essere eluso o surrogato dal mero consenso dell'indagato (Cassazione n. 1269/2025). </w:t>
      </w:r>
    </w:p>
    <w:p w:rsidR="4C5F504B" w:rsidRDefault="4C5F504B" w14:paraId="29E8E250" w14:textId="07B8B061">
      <w:pPr>
        <w:spacing w:line="360" w:lineRule="auto"/>
        <w:ind w:firstLine="567"/>
        <w:jc w:val="both"/>
      </w:pPr>
      <w:r w:rsidR="4C5F504B">
        <w:rPr>
          <w:rFonts w:ascii="Times New Roman" w:hAnsi="Times New Roman"/>
          <w:b w:val="0"/>
          <w:bCs w:val="0"/>
          <w:sz w:val="24"/>
        </w:rPr>
        <w:t>In conclusione, il bilancio dell'indagine svolta evidenzia che l'efficacia del processo penale moderno non dipende dalla cieca accettazione di automatismi scientifici o tecnologici. Il giusto processo digitale si realizza esclusivamente all'intersezione tra l'imprescindibile rigore metodologico della scienza forense — irrobustito dalle garanzie crittografiche della blockchain — e il rispetto incondizionato del principio di proporzionalità e riserva di giurisdizione, unici argini efficaci a presidio delle libertà fondamentali dell'individuo.</w:t>
      </w:r>
    </w:p>
    <w:sectPr>
      <w:pgSz w:w="11906" w:h="16838" w:orient="portrait"/>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079635"/>
    <w:rsid w:val="18079635"/>
    <w:rsid w:val="21F721AB"/>
    <w:rsid w:val="2723199B"/>
    <w:rsid w:val="2B2E3924"/>
    <w:rsid w:val="31C52469"/>
    <w:rsid w:val="4BB7CC37"/>
    <w:rsid w:val="4C5F504B"/>
    <w:rsid w:val="4D855477"/>
    <w:rsid w:val="5BE10465"/>
    <w:rsid w:val="65DFEAE7"/>
    <w:rsid w:val="6F471B67"/>
    <w:rsid w:val="77EDFAC1"/>
    <w:rsid w:val="79E247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A911"/>
  <w15:chartTrackingRefBased/>
  <w15:docId w15:val="{DB24C8DE-DD60-4FD1-85B9-7889795C51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ind w:firstLine="567"/>
      <w:jc w:val="both"/>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2026-07-01T15:23:38.4438257Z</dcterms:created>
  <dcterms:modified xsi:type="dcterms:W3CDTF">2026-07-01T15:40:04.0971551Z</dcterms:modified>
  <dc:creator>Francesco Marra</dc:creator>
  <lastModifiedBy>Francesco Marra</lastModifiedBy>
</coreProperties>
</file>