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C593A3" w:rsidP="6E4D3DF3" w:rsidRDefault="35C593A3" w14:paraId="036CE19B" w14:textId="2809167A">
      <w:pPr>
        <w:spacing w:before="0" w:before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6E4D3DF3" w:rsidR="35C593A3">
        <w:rPr>
          <w:rFonts w:ascii="Times New Roman" w:hAnsi="Times New Roman" w:eastAsia="Times New Roman" w:cs="Times New Roman"/>
          <w:b w:val="1"/>
          <w:bCs w:val="1"/>
          <w:sz w:val="24"/>
        </w:rPr>
        <w:t>Indice</w:t>
      </w:r>
    </w:p>
    <w:p w:rsidR="43FD57F8" w:rsidP="1FAAB8F9" w:rsidRDefault="43FD57F8" w14:paraId="72A3E385" w14:textId="5026F189">
      <w:pPr>
        <w:spacing w:before="0" w:before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FAAB8F9" w:rsidR="43FD57F8">
        <w:rPr>
          <w:rFonts w:ascii="Times New Roman" w:hAnsi="Times New Roman" w:eastAsia="Times New Roman" w:cs="Times New Roman"/>
          <w:b w:val="1"/>
          <w:bCs w:val="1"/>
          <w:sz w:val="24"/>
        </w:rPr>
        <w:t xml:space="preserve"> Introduzione</w:t>
      </w:r>
    </w:p>
    <w:p w:rsidR="43FD57F8" w:rsidP="1FAAB8F9" w:rsidRDefault="43FD57F8" w14:paraId="63A5AB31" w14:textId="2662816F">
      <w:pPr>
        <w:pStyle w:val="Normal"/>
        <w:spacing w:before="0" w:before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FAAB8F9" w:rsidR="43FD57F8">
        <w:rPr>
          <w:rFonts w:ascii="Times New Roman" w:hAnsi="Times New Roman" w:eastAsia="Times New Roman" w:cs="Times New Roman"/>
          <w:b w:val="1"/>
          <w:bCs w:val="1"/>
          <w:sz w:val="24"/>
        </w:rPr>
        <w:t>1 La Prova Digitale nel Sistema Processuale Penale</w:t>
      </w:r>
    </w:p>
    <w:p w:rsidR="760AE4AC" w:rsidP="0C0643D2" w:rsidRDefault="760AE4AC" w14:paraId="4E2BEF9C" w14:textId="0ACE6B28">
      <w:pPr>
        <w:pStyle w:val="Normal"/>
        <w:spacing w:before="0" w:beforeAutospacing="off" w:line="360" w:lineRule="auto"/>
        <w:jc w:val="both"/>
      </w:pPr>
      <w:r w:rsidRPr="0C0643D2" w:rsidR="760AE4AC">
        <w:rPr>
          <w:rFonts w:ascii="Times New Roman" w:hAnsi="Times New Roman" w:eastAsia="Times New Roman" w:cs="Times New Roman"/>
          <w:sz w:val="24"/>
        </w:rPr>
        <w:t xml:space="preserve">1.1 Art. 253 c.p.p.: Dalla Realtà Analogica al Contesto Digitale </w:t>
      </w:r>
    </w:p>
    <w:p w:rsidR="43FD57F8" w:rsidP="1FAAB8F9" w:rsidRDefault="43FD57F8" w14:paraId="35B64A2F" w14:textId="6A7E0E11">
      <w:pPr>
        <w:pStyle w:val="Normal"/>
        <w:spacing w:before="0" w:beforeAutospacing="off" w:line="360" w:lineRule="auto"/>
        <w:jc w:val="both"/>
      </w:pPr>
      <w:r w:rsidRPr="1FAAB8F9" w:rsidR="43FD57F8">
        <w:rPr>
          <w:rFonts w:ascii="Times New Roman" w:hAnsi="Times New Roman" w:eastAsia="Times New Roman" w:cs="Times New Roman"/>
          <w:sz w:val="24"/>
        </w:rPr>
        <w:t xml:space="preserve">1.2 Garanzie Preventive Indebolite Sotto la Lente della CGEU </w:t>
      </w:r>
    </w:p>
    <w:p w:rsidR="1FAAB8F9" w:rsidP="1FAAB8F9" w:rsidRDefault="1FAAB8F9" w14:paraId="26E1FC24" w14:textId="52A14BCD">
      <w:pPr>
        <w:pStyle w:val="Normal"/>
        <w:spacing w:before="0" w:beforeAutospacing="off" w:line="360" w:lineRule="auto"/>
        <w:rPr>
          <w:rFonts w:ascii="Times New Roman" w:hAnsi="Times New Roman" w:eastAsia="Times New Roman" w:cs="Times New Roman"/>
        </w:rPr>
      </w:pPr>
    </w:p>
    <w:p w:rsidR="43FD57F8" w:rsidP="1FAAB8F9" w:rsidRDefault="43FD57F8" w14:paraId="372959FC" w14:textId="7C1699B8">
      <w:pPr>
        <w:pStyle w:val="Normal"/>
        <w:spacing w:before="0" w:before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FAAB8F9" w:rsidR="43FD57F8">
        <w:rPr>
          <w:rFonts w:ascii="Times New Roman" w:hAnsi="Times New Roman" w:eastAsia="Times New Roman" w:cs="Times New Roman"/>
          <w:b w:val="1"/>
          <w:bCs w:val="1"/>
          <w:sz w:val="24"/>
        </w:rPr>
        <w:t>2 Best Practice e Catena di Custodia: Un Obiettivo Mancato</w:t>
      </w:r>
    </w:p>
    <w:p w:rsidR="43FD57F8" w:rsidP="1FAAB8F9" w:rsidRDefault="43FD57F8" w14:paraId="4673744B" w14:textId="5EE7EC1B">
      <w:pPr>
        <w:pStyle w:val="Normal"/>
        <w:spacing w:before="0" w:beforeAutospacing="off" w:line="360" w:lineRule="auto"/>
        <w:jc w:val="both"/>
      </w:pPr>
      <w:r w:rsidRPr="1FAAB8F9" w:rsidR="43FD57F8">
        <w:rPr>
          <w:rFonts w:ascii="Times New Roman" w:hAnsi="Times New Roman" w:eastAsia="Times New Roman" w:cs="Times New Roman"/>
          <w:sz w:val="24"/>
        </w:rPr>
        <w:t xml:space="preserve">2.1 La Convenzione di Budapest </w:t>
      </w:r>
    </w:p>
    <w:p w:rsidR="43FD57F8" w:rsidP="1FAAB8F9" w:rsidRDefault="43FD57F8" w14:paraId="5F1BBF32" w14:textId="12E3FD43">
      <w:pPr>
        <w:pStyle w:val="Normal"/>
        <w:spacing w:before="0" w:beforeAutospacing="off" w:line="360" w:lineRule="auto"/>
        <w:jc w:val="both"/>
        <w:rPr>
          <w:rFonts w:ascii="Times New Roman" w:hAnsi="Times New Roman" w:eastAsia="Times New Roman" w:cs="Times New Roman"/>
        </w:rPr>
      </w:pPr>
      <w:r w:rsidRPr="1FAAB8F9" w:rsidR="43FD57F8">
        <w:rPr>
          <w:rFonts w:ascii="Times New Roman" w:hAnsi="Times New Roman" w:eastAsia="Times New Roman" w:cs="Times New Roman"/>
          <w:sz w:val="24"/>
        </w:rPr>
        <w:t xml:space="preserve">2.2 Tecniche di acquisizione forense </w:t>
      </w:r>
    </w:p>
    <w:p w:rsidR="43FD57F8" w:rsidP="1FAAB8F9" w:rsidRDefault="43FD57F8" w14:paraId="2F8B5B84" w14:textId="75D2EDEF">
      <w:pPr>
        <w:pStyle w:val="Normal"/>
        <w:spacing w:before="0" w:beforeAutospacing="off" w:line="360" w:lineRule="auto"/>
        <w:jc w:val="both"/>
      </w:pPr>
      <w:r w:rsidRPr="1FAAB8F9" w:rsidR="43FD57F8">
        <w:rPr>
          <w:rFonts w:ascii="Times New Roman" w:hAnsi="Times New Roman" w:eastAsia="Times New Roman" w:cs="Times New Roman"/>
          <w:sz w:val="24"/>
        </w:rPr>
        <w:t xml:space="preserve">2.3 Frattura tra atto tecnico e gestione procedurale </w:t>
      </w:r>
    </w:p>
    <w:p w:rsidR="1FAAB8F9" w:rsidP="1FAAB8F9" w:rsidRDefault="1FAAB8F9" w14:paraId="6AA02257" w14:textId="77132422">
      <w:pPr>
        <w:pStyle w:val="Normal"/>
        <w:spacing w:before="0" w:beforeAutospacing="off" w:line="360" w:lineRule="auto"/>
        <w:rPr>
          <w:rFonts w:ascii="Times New Roman" w:hAnsi="Times New Roman" w:eastAsia="Times New Roman" w:cs="Times New Roman"/>
        </w:rPr>
      </w:pPr>
    </w:p>
    <w:p w:rsidR="43FD57F8" w:rsidP="1FAAB8F9" w:rsidRDefault="43FD57F8" w14:paraId="1A2DDA1D" w14:textId="1AABBE18">
      <w:pPr>
        <w:pStyle w:val="Normal"/>
        <w:spacing w:before="0" w:before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FAAB8F9" w:rsidR="43FD57F8">
        <w:rPr>
          <w:rFonts w:ascii="Times New Roman" w:hAnsi="Times New Roman" w:eastAsia="Times New Roman" w:cs="Times New Roman"/>
          <w:b w:val="1"/>
          <w:bCs w:val="1"/>
          <w:sz w:val="24"/>
        </w:rPr>
        <w:t>3 Blockchain come Strumento di Validazione della Prova</w:t>
      </w:r>
    </w:p>
    <w:p w:rsidR="43FD57F8" w:rsidP="1FAAB8F9" w:rsidRDefault="43FD57F8" w14:paraId="1F756FF5" w14:textId="364CA6B8">
      <w:pPr>
        <w:pStyle w:val="Normal"/>
        <w:spacing w:before="0" w:beforeAutospacing="off" w:line="360" w:lineRule="auto"/>
        <w:jc w:val="both"/>
      </w:pPr>
      <w:r w:rsidRPr="599A5F38" w:rsidR="12E77093">
        <w:rPr>
          <w:rFonts w:ascii="Times New Roman" w:hAnsi="Times New Roman" w:eastAsia="Times New Roman" w:cs="Times New Roman"/>
          <w:sz w:val="24"/>
          <w:szCs w:val="24"/>
        </w:rPr>
        <w:t>3.1 Il Registro Distribuito come Garanzia di Integrità nella Digital</w:t>
      </w:r>
      <w:r w:rsidRPr="599A5F38" w:rsidR="7BE91E0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9A5F38" w:rsidR="12E77093">
        <w:rPr>
          <w:rFonts w:ascii="Times New Roman" w:hAnsi="Times New Roman" w:eastAsia="Times New Roman" w:cs="Times New Roman"/>
          <w:sz w:val="24"/>
          <w:szCs w:val="24"/>
        </w:rPr>
        <w:t>Forensics</w:t>
      </w:r>
      <w:r w:rsidRPr="599A5F38" w:rsidR="12E7709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3FD57F8" w:rsidP="1FAAB8F9" w:rsidRDefault="43FD57F8" w14:paraId="7E8E6EC7" w14:textId="4437BE18">
      <w:pPr>
        <w:pStyle w:val="Normal"/>
        <w:spacing w:before="0" w:beforeAutospacing="off" w:line="360" w:lineRule="auto"/>
        <w:jc w:val="both"/>
      </w:pPr>
      <w:r w:rsidRPr="1FAAB8F9" w:rsidR="43FD57F8">
        <w:rPr>
          <w:rFonts w:ascii="Times New Roman" w:hAnsi="Times New Roman" w:eastAsia="Times New Roman" w:cs="Times New Roman"/>
          <w:sz w:val="24"/>
        </w:rPr>
        <w:t xml:space="preserve">3.2 Smart </w:t>
      </w:r>
      <w:r w:rsidRPr="1FAAB8F9" w:rsidR="43FD57F8">
        <w:rPr>
          <w:rFonts w:ascii="Times New Roman" w:hAnsi="Times New Roman" w:eastAsia="Times New Roman" w:cs="Times New Roman"/>
          <w:sz w:val="24"/>
        </w:rPr>
        <w:t>Contracts</w:t>
      </w:r>
      <w:r w:rsidRPr="1FAAB8F9" w:rsidR="43FD57F8">
        <w:rPr>
          <w:rFonts w:ascii="Times New Roman" w:hAnsi="Times New Roman" w:eastAsia="Times New Roman" w:cs="Times New Roman"/>
          <w:sz w:val="24"/>
        </w:rPr>
        <w:t xml:space="preserve">: Da Registro Passivo a Piattaforma Attiva </w:t>
      </w:r>
    </w:p>
    <w:p w:rsidR="1FAAB8F9" w:rsidP="1FAAB8F9" w:rsidRDefault="1FAAB8F9" w14:paraId="64782BD3" w14:textId="3CE6AA55">
      <w:pPr>
        <w:pStyle w:val="Normal"/>
        <w:spacing w:before="0" w:beforeAutospacing="off" w:line="360" w:lineRule="auto"/>
        <w:rPr>
          <w:rFonts w:ascii="Times New Roman" w:hAnsi="Times New Roman" w:eastAsia="Times New Roman" w:cs="Times New Roman"/>
        </w:rPr>
      </w:pPr>
    </w:p>
    <w:p w:rsidR="43FD57F8" w:rsidP="1FAAB8F9" w:rsidRDefault="43FD57F8" w14:paraId="735A0A00" w14:textId="424CEE07">
      <w:pPr>
        <w:pStyle w:val="Normal"/>
        <w:spacing w:before="0" w:before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FAAB8F9" w:rsidR="43FD57F8">
        <w:rPr>
          <w:rFonts w:ascii="Times New Roman" w:hAnsi="Times New Roman" w:eastAsia="Times New Roman" w:cs="Times New Roman"/>
          <w:b w:val="1"/>
          <w:bCs w:val="1"/>
          <w:sz w:val="24"/>
        </w:rPr>
        <w:t>4 Framework Operativi e Valore Probatorio nel Contesto Italiano</w:t>
      </w:r>
    </w:p>
    <w:p w:rsidR="43FD57F8" w:rsidP="1FAAB8F9" w:rsidRDefault="43FD57F8" w14:paraId="19CDEE4C" w14:textId="36964B03">
      <w:pPr>
        <w:pStyle w:val="Normal"/>
        <w:spacing w:before="0" w:beforeAutospacing="off" w:line="360" w:lineRule="auto"/>
        <w:jc w:val="both"/>
        <w:rPr>
          <w:rFonts w:ascii="Times New Roman" w:hAnsi="Times New Roman" w:eastAsia="Times New Roman" w:cs="Times New Roman"/>
        </w:rPr>
      </w:pPr>
      <w:r w:rsidRPr="1FAAB8F9" w:rsidR="43FD57F8">
        <w:rPr>
          <w:rFonts w:ascii="Times New Roman" w:hAnsi="Times New Roman" w:eastAsia="Times New Roman" w:cs="Times New Roman"/>
          <w:sz w:val="24"/>
        </w:rPr>
        <w:t>4.1 Modelli Applicativi come ”</w:t>
      </w:r>
      <w:r w:rsidRPr="1FAAB8F9" w:rsidR="43FD57F8">
        <w:rPr>
          <w:rFonts w:ascii="Times New Roman" w:hAnsi="Times New Roman" w:eastAsia="Times New Roman" w:cs="Times New Roman"/>
          <w:sz w:val="24"/>
        </w:rPr>
        <w:t>Forensic</w:t>
      </w:r>
      <w:r w:rsidRPr="1FAAB8F9" w:rsidR="43FD57F8">
        <w:rPr>
          <w:rFonts w:ascii="Times New Roman" w:hAnsi="Times New Roman" w:eastAsia="Times New Roman" w:cs="Times New Roman"/>
          <w:sz w:val="24"/>
        </w:rPr>
        <w:t xml:space="preserve">-Chain” </w:t>
      </w:r>
    </w:p>
    <w:p w:rsidR="43FD57F8" w:rsidP="1FAAB8F9" w:rsidRDefault="43FD57F8" w14:paraId="322D2274" w14:textId="6D9522B9">
      <w:pPr>
        <w:pStyle w:val="Normal"/>
        <w:spacing w:before="0" w:beforeAutospacing="off" w:line="360" w:lineRule="auto"/>
        <w:jc w:val="both"/>
      </w:pPr>
      <w:r w:rsidRPr="599A5F38" w:rsidR="12E77093">
        <w:rPr>
          <w:rFonts w:ascii="Times New Roman" w:hAnsi="Times New Roman" w:eastAsia="Times New Roman" w:cs="Times New Roman"/>
          <w:sz w:val="24"/>
          <w:szCs w:val="24"/>
        </w:rPr>
        <w:t>4.2 Riconoscimento da Parte del Nostro Ordinamento Giuridico (D.L. Sem-</w:t>
      </w:r>
      <w:r w:rsidRPr="599A5F38" w:rsidR="12E77093">
        <w:rPr>
          <w:rFonts w:ascii="Times New Roman" w:hAnsi="Times New Roman" w:eastAsia="Times New Roman" w:cs="Times New Roman"/>
          <w:sz w:val="24"/>
          <w:szCs w:val="24"/>
        </w:rPr>
        <w:t>plificazioni</w:t>
      </w:r>
      <w:r w:rsidRPr="599A5F38" w:rsidR="12E77093">
        <w:rPr>
          <w:rFonts w:ascii="Times New Roman" w:hAnsi="Times New Roman" w:eastAsia="Times New Roman" w:cs="Times New Roman"/>
          <w:sz w:val="24"/>
          <w:szCs w:val="24"/>
        </w:rPr>
        <w:t xml:space="preserve">) </w:t>
      </w:r>
    </w:p>
    <w:p w:rsidR="43FD57F8" w:rsidP="1FAAB8F9" w:rsidRDefault="43FD57F8" w14:paraId="576F783A" w14:textId="007E579F">
      <w:pPr>
        <w:pStyle w:val="Normal"/>
        <w:spacing w:before="0" w:beforeAutospacing="off" w:line="360" w:lineRule="auto"/>
        <w:jc w:val="both"/>
      </w:pPr>
      <w:r w:rsidRPr="1FAAB8F9" w:rsidR="43FD57F8">
        <w:rPr>
          <w:rFonts w:ascii="Times New Roman" w:hAnsi="Times New Roman" w:eastAsia="Times New Roman" w:cs="Times New Roman"/>
          <w:sz w:val="24"/>
        </w:rPr>
        <w:t>4.3 Blockchain come Prova Atipica</w:t>
      </w:r>
    </w:p>
    <w:p w:rsidR="1FAAB8F9" w:rsidP="1FAAB8F9" w:rsidRDefault="1FAAB8F9" w14:paraId="2F48442E" w14:textId="083DEE58">
      <w:pPr>
        <w:pStyle w:val="Normal"/>
        <w:spacing w:before="0" w:beforeAutospacing="off" w:line="360" w:lineRule="auto"/>
        <w:rPr>
          <w:rFonts w:ascii="Times New Roman" w:hAnsi="Times New Roman" w:eastAsia="Times New Roman" w:cs="Times New Roman"/>
        </w:rPr>
      </w:pPr>
    </w:p>
    <w:p w:rsidR="43FD57F8" w:rsidP="1FAAB8F9" w:rsidRDefault="43FD57F8" w14:paraId="5BE530E3" w14:textId="23BC7AF1">
      <w:pPr>
        <w:pStyle w:val="Normal"/>
        <w:spacing w:before="0" w:before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FAAB8F9" w:rsidR="43FD57F8">
        <w:rPr>
          <w:rFonts w:ascii="Times New Roman" w:hAnsi="Times New Roman" w:eastAsia="Times New Roman" w:cs="Times New Roman"/>
          <w:b w:val="1"/>
          <w:bCs w:val="1"/>
          <w:sz w:val="24"/>
        </w:rPr>
        <w:t>5 Sfide e Prospettive Future</w:t>
      </w:r>
    </w:p>
    <w:p w:rsidR="43FD57F8" w:rsidP="1FAAB8F9" w:rsidRDefault="43FD57F8" w14:paraId="581E2E81" w14:textId="490873FD">
      <w:pPr>
        <w:pStyle w:val="Normal"/>
        <w:spacing w:before="0" w:beforeAutospacing="off" w:line="360" w:lineRule="auto"/>
        <w:jc w:val="both"/>
        <w:rPr>
          <w:rFonts w:ascii="Times New Roman" w:hAnsi="Times New Roman" w:eastAsia="Times New Roman" w:cs="Times New Roman"/>
        </w:rPr>
      </w:pPr>
      <w:r w:rsidRPr="1FAAB8F9" w:rsidR="43FD57F8">
        <w:rPr>
          <w:rFonts w:ascii="Times New Roman" w:hAnsi="Times New Roman" w:eastAsia="Times New Roman" w:cs="Times New Roman"/>
          <w:sz w:val="24"/>
        </w:rPr>
        <w:t xml:space="preserve">5.1 Contrasto con il GDPR </w:t>
      </w:r>
    </w:p>
    <w:p w:rsidR="43FD57F8" w:rsidP="1FAAB8F9" w:rsidRDefault="43FD57F8" w14:paraId="31BE8DA1" w14:textId="778158D3">
      <w:pPr>
        <w:pStyle w:val="Normal"/>
        <w:spacing w:before="0" w:beforeAutospacing="off" w:line="360" w:lineRule="auto"/>
        <w:jc w:val="both"/>
      </w:pPr>
      <w:r w:rsidRPr="1FAAB8F9" w:rsidR="43FD57F8">
        <w:rPr>
          <w:rFonts w:ascii="Times New Roman" w:hAnsi="Times New Roman" w:eastAsia="Times New Roman" w:cs="Times New Roman"/>
          <w:sz w:val="24"/>
        </w:rPr>
        <w:t>5.2 Il Trilemma della Blockchain</w:t>
      </w:r>
    </w:p>
    <w:p w:rsidR="43FD57F8" w:rsidP="1FAAB8F9" w:rsidRDefault="43FD57F8" w14:paraId="4AE2CA34" w14:textId="6CDAFDCC">
      <w:pPr>
        <w:pStyle w:val="Normal"/>
        <w:spacing w:before="0" w:beforeAutospacing="off" w:line="360" w:lineRule="auto"/>
        <w:jc w:val="both"/>
        <w:rPr>
          <w:rFonts w:ascii="Times New Roman" w:hAnsi="Times New Roman" w:eastAsia="Times New Roman" w:cs="Times New Roman"/>
        </w:rPr>
      </w:pPr>
      <w:r w:rsidRPr="1FAAB8F9" w:rsidR="43FD57F8">
        <w:rPr>
          <w:rFonts w:ascii="Times New Roman" w:hAnsi="Times New Roman" w:eastAsia="Times New Roman" w:cs="Times New Roman"/>
          <w:sz w:val="24"/>
        </w:rPr>
        <w:t xml:space="preserve">5.3 Necessario Intervento </w:t>
      </w:r>
      <w:r w:rsidRPr="1FAAB8F9" w:rsidR="43FD57F8">
        <w:rPr>
          <w:rFonts w:ascii="Times New Roman" w:hAnsi="Times New Roman" w:eastAsia="Times New Roman" w:cs="Times New Roman"/>
          <w:sz w:val="24"/>
        </w:rPr>
        <w:t>Normativo</w:t>
      </w:r>
    </w:p>
    <w:p w:rsidR="43FD57F8" w:rsidP="1FAAB8F9" w:rsidRDefault="43FD57F8" w14:paraId="398771F5" w14:textId="0C682478">
      <w:pPr>
        <w:pStyle w:val="Normal"/>
        <w:spacing w:before="0" w:before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FAAB8F9" w:rsidR="43FD57F8">
        <w:rPr>
          <w:rFonts w:ascii="Times New Roman" w:hAnsi="Times New Roman" w:eastAsia="Times New Roman" w:cs="Times New Roman"/>
          <w:b w:val="1"/>
          <w:bCs w:val="1"/>
          <w:sz w:val="24"/>
        </w:rPr>
        <w:t>Conclusioni</w:t>
      </w:r>
    </w:p>
    <w:p w:rsidR="1FAAB8F9" w:rsidP="1FAAB8F9" w:rsidRDefault="1FAAB8F9" w14:paraId="4D578841" w14:textId="3F250978">
      <w:pPr>
        <w:pStyle w:val="Normal"/>
        <w:spacing w:before="0" w:beforeAutospacing="off" w:line="36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1B2531BB" w:rsidP="1FAAB8F9" w:rsidRDefault="1B2531BB" w14:paraId="638CF63C" w14:textId="60DF0044">
      <w:pPr>
        <w:pStyle w:val="Normal"/>
        <w:spacing w:before="0" w:before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FAAB8F9" w:rsidR="1B2531BB">
        <w:rPr>
          <w:rFonts w:ascii="Times New Roman" w:hAnsi="Times New Roman" w:eastAsia="Times New Roman" w:cs="Times New Roman"/>
          <w:b w:val="1"/>
          <w:bCs w:val="1"/>
          <w:sz w:val="24"/>
        </w:rPr>
        <w:t xml:space="preserve">Bibliografia </w:t>
      </w:r>
    </w:p>
    <w:sectPr>
      <w:pgSz w:w="11906" w:h="16838" w:orient="portrait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5076FA"/>
    <w:rsid w:val="0C0643D2"/>
    <w:rsid w:val="0CAA4D95"/>
    <w:rsid w:val="124CE768"/>
    <w:rsid w:val="12E77093"/>
    <w:rsid w:val="12F009DC"/>
    <w:rsid w:val="1B2531BB"/>
    <w:rsid w:val="1FAAB8F9"/>
    <w:rsid w:val="210F8B57"/>
    <w:rsid w:val="29ADC604"/>
    <w:rsid w:val="2E0CB5D7"/>
    <w:rsid w:val="35C593A3"/>
    <w:rsid w:val="43FD57F8"/>
    <w:rsid w:val="44224BB2"/>
    <w:rsid w:val="4DE42EA3"/>
    <w:rsid w:val="4E8E2A3C"/>
    <w:rsid w:val="4FA3620C"/>
    <w:rsid w:val="599A5F38"/>
    <w:rsid w:val="5C582EEE"/>
    <w:rsid w:val="5CA71BF3"/>
    <w:rsid w:val="605076FA"/>
    <w:rsid w:val="6E4D3DF3"/>
    <w:rsid w:val="74835EA2"/>
    <w:rsid w:val="760AE4AC"/>
    <w:rsid w:val="765F7171"/>
    <w:rsid w:val="7BE9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F05DF"/>
  <w15:chartTrackingRefBased/>
  <w15:docId w15:val="{448B1645-531D-4D4B-960B-4E610EC6A3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 w:line="360" w:lineRule="auto"/>
      <w:ind w:firstLine="567"/>
      <w:jc w:val="both"/>
    </w:pPr>
    <w:rPr>
      <w:rFonts w:ascii="Times New Roman" w:hAnsi="Times New Roman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2026-03-19T15:52:27.0605113Z</dcterms:created>
  <dcterms:modified xsi:type="dcterms:W3CDTF">2026-05-16T10:19:00.8524704Z</dcterms:modified>
  <dc:creator>Francesco Marra</dc:creator>
  <lastModifiedBy>Francesco Marra</lastModifiedBy>
</coreProperties>
</file>