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21A3DC50" wp14:textId="77777777">
      <w:pPr>
        <w:pStyle w:val="Normal"/>
        <w:spacing w:before="0" w:beforeAutospacing="0" w:after="160" w:line="360" w:lineRule="auto"/>
        <w:jc w:val="both"/>
        <w:rPr/>
      </w:pPr>
      <w:r>
        <w:rPr>
          <w:rFonts w:eastAsia="Times New Roman" w:cs="Times New Roman"/>
          <w:b/>
          <w:bCs/>
          <w:sz w:val="24"/>
        </w:rPr>
        <w:t>Introduzione</w:t>
      </w:r>
    </w:p>
    <w:p xmlns:wp14="http://schemas.microsoft.com/office/word/2010/wordml" w14:paraId="672A6659" wp14:textId="77777777">
      <w:pPr>
        <w:pStyle w:val="Normal"/>
        <w:spacing w:before="0" w:beforeAutospacing="0" w:after="160" w:line="360" w:lineRule="auto"/>
        <w:rPr>
          <w:rFonts w:ascii="Times New Roman" w:hAnsi="Times New Roman" w:eastAsia="Times New Roman" w:cs="Times New Roman"/>
          <w:b/>
          <w:bCs/>
        </w:rPr>
      </w:pPr>
      <w:r>
        <w:rPr>
          <w:rFonts w:eastAsia="Times New Roman" w:cs="Times New Roman"/>
          <w:b/>
          <w:bCs/>
        </w:rPr>
      </w:r>
    </w:p>
    <w:p xmlns:wp14="http://schemas.microsoft.com/office/word/2010/wordml" w14:paraId="65C76308" wp14:textId="77777777">
      <w:pPr>
        <w:pStyle w:val="Normal"/>
        <w:spacing w:before="0" w:beforeAutospacing="0" w:after="160" w:line="360" w:lineRule="auto"/>
        <w:jc w:val="both"/>
        <w:rPr/>
      </w:pPr>
      <w:r>
        <w:rPr>
          <w:rFonts w:eastAsia="Times New Roman" w:cs="Times New Roman"/>
          <w:sz w:val="24"/>
        </w:rPr>
        <w:t>La tecnologia digitale ha permeato ogni ambito del tessuto economico e sociale trasformando radicalmente i caratteri della criminalità e quindi anche le dinamiche proprie del processo penale, costretto a una rincorsa e un adeguamento. Se in principio l’accertamento del fatto si basava essenzialmente sull’analisi di un corpus delicti tangibile, oggi invece sempre più spesso la prova è costituita da un dato informatico che è immateriale, suscettibile di essere duplicato e per sua intrinseca natura vulnerabile ad alterazioni.</w:t>
      </w:r>
    </w:p>
    <w:p xmlns:wp14="http://schemas.microsoft.com/office/word/2010/wordml" w14:paraId="45334CE9" wp14:textId="77777777">
      <w:pPr>
        <w:pStyle w:val="Normal"/>
        <w:spacing w:before="0" w:beforeAutospacing="0" w:after="160" w:line="360" w:lineRule="auto"/>
        <w:jc w:val="both"/>
        <w:rPr/>
      </w:pPr>
      <w:r>
        <w:rPr>
          <w:rFonts w:eastAsia="Times New Roman" w:cs="Times New Roman"/>
          <w:sz w:val="24"/>
        </w:rPr>
        <w:t>Questa tesi si propone di analizzare la risposta della normativa procedurale penale alle sfide poste dall’era digitale, con particolare focus su uno dei momenti topici che è il sequestro probatorio di materiale informatico. Il dato di partenza è il fatto che nonostante le acrobazie ermeneutiche di dottrina e giurisprudenza, l’attuale normativa presenta una idiosincrasia tra le garanzie formali previste dal codice e l’effettiva integrità della prova digitale che sembra essere più un obiettivo cui tendere che una condicio sine qua non di legalità.</w:t>
      </w:r>
    </w:p>
    <w:p xmlns:wp14="http://schemas.microsoft.com/office/word/2010/wordml" w14:paraId="1B1DA07C" wp14:textId="77777777">
      <w:pPr>
        <w:pStyle w:val="Normal"/>
        <w:spacing w:before="0" w:beforeAutospacing="0" w:after="160" w:line="360" w:lineRule="auto"/>
        <w:jc w:val="both"/>
        <w:rPr/>
      </w:pPr>
      <w:r>
        <w:rPr>
          <w:rFonts w:eastAsia="Times New Roman" w:cs="Times New Roman"/>
          <w:sz w:val="24"/>
        </w:rPr>
        <w:t xml:space="preserve">Nella prima parte del mio lavoro (Capitoli 1 e 2) analizzo i cardini di questa crisi strutturale. </w:t>
      </w:r>
    </w:p>
    <w:p xmlns:wp14="http://schemas.microsoft.com/office/word/2010/wordml" w14:paraId="0C9B6753" wp14:textId="77777777">
      <w:pPr>
        <w:pStyle w:val="Normal"/>
        <w:spacing w:before="0" w:beforeAutospacing="0" w:after="160" w:line="360" w:lineRule="auto"/>
        <w:jc w:val="both"/>
        <w:rPr/>
      </w:pPr>
      <w:r>
        <w:rPr>
          <w:rFonts w:eastAsia="Times New Roman" w:cs="Times New Roman"/>
          <w:sz w:val="24"/>
        </w:rPr>
        <w:t>Nel Capitolo 1 espongo le fragilità dell’Art. 253 c.p.p. nato in un contesto analogico ma ora costretto a adattarsi al dato dematerializzato. In particolare, sarà messa in luce la difficoltà nel superare la fictio iuris del sequestro di massa, sotto la lente degli strumenti fondamentali stabiliti dalla sentenza delle Sezioni Unite Fazzo in relazione al principio di proporzionalità. Come succede in ambito clinico di fronte a comorbidità, ad aggravare la situazione si sottolineano garanzie difensive indebolite così come evidenziato da recenti moniti della Corte di Giustizia dell’Unione Europea (CGEU).</w:t>
      </w:r>
    </w:p>
    <w:p xmlns:wp14="http://schemas.microsoft.com/office/word/2010/wordml" w14:paraId="77D1F606" wp14:textId="77777777">
      <w:pPr>
        <w:pStyle w:val="Normal"/>
        <w:spacing w:before="0" w:beforeAutospacing="0" w:after="160" w:line="360" w:lineRule="auto"/>
        <w:jc w:val="both"/>
        <w:rPr/>
      </w:pPr>
      <w:r>
        <w:rPr>
          <w:rFonts w:eastAsia="Times New Roman" w:cs="Times New Roman"/>
          <w:sz w:val="24"/>
        </w:rPr>
        <w:t>Nel Capitolo 2 spostiamo lo sguardo sugli aspetti tecnico-procedurali. Vedremo come la convenzione di Budapest e quindi le best practice di Digital Forensics (come la copia bit-stream e l’uso dell’Hash) rappresentano basi molto solide, dimostrando che la Catena di Custodia (Chain of Custody - CoC) ovvero la procedura documentale che dovrebbe garantire la tracciabilità rappresenta il vero anello debole di tutto il sistema. Purtroppo, i verbali cartacei sono soggetti ad errore e non sono esenti da manipolazione e ciò rende le prove vulnerabili in sede processuale data la frattura tra l’atto tecnico e la gestione della procedura.</w:t>
      </w:r>
    </w:p>
    <w:p xmlns:wp14="http://schemas.microsoft.com/office/word/2010/wordml" w14:paraId="31195095" wp14:textId="77777777">
      <w:pPr>
        <w:pStyle w:val="Normal"/>
        <w:spacing w:before="0" w:beforeAutospacing="0" w:after="160" w:line="360" w:lineRule="auto"/>
        <w:jc w:val="both"/>
        <w:rPr/>
      </w:pPr>
      <w:r>
        <w:rPr>
          <w:rFonts w:eastAsia="Times New Roman" w:cs="Times New Roman"/>
          <w:sz w:val="24"/>
        </w:rPr>
        <w:t>La tesi sostiene la possibilità di ripristinare l’affidabilità della prova digitale implementando l’uso di una tecnologia che renda la catena di custodia immutabile, verificabile e decentralizzata.</w:t>
      </w:r>
    </w:p>
    <w:p xmlns:wp14="http://schemas.microsoft.com/office/word/2010/wordml" w14:paraId="5C5AA073" wp14:textId="77777777">
      <w:pPr>
        <w:pStyle w:val="Normal"/>
        <w:spacing w:before="0" w:beforeAutospacing="0" w:after="160" w:line="360" w:lineRule="auto"/>
        <w:jc w:val="both"/>
        <w:rPr>
          <w:rFonts w:ascii="Times New Roman" w:hAnsi="Times New Roman" w:eastAsia="Times New Roman" w:cs="Times New Roman"/>
        </w:rPr>
      </w:pPr>
      <w:r>
        <w:rPr>
          <w:rFonts w:eastAsia="Times New Roman" w:cs="Times New Roman"/>
          <w:sz w:val="24"/>
        </w:rPr>
        <w:t>La seconda parte del mio elaborato (Capitoli 3, 4 e 5) introduce la tecnologia Blockchain come strumento di validazione della prova digitale. Nel Capitolo 3 vengono descritti i pilastri di questa tecnologia dimostrando come il Registro Distribuito possa rappresentare un sistema che offre garanzie di integrità superiori rispetto all’hashing statico. Viene poi rivolto lo sguardo verso gli Smart Contracts che permetterebbero di automatizzare il protocollo di custodia nella sua interezza.</w:t>
      </w:r>
    </w:p>
    <w:p xmlns:wp14="http://schemas.microsoft.com/office/word/2010/wordml" w:rsidP="49A9541A" w14:paraId="4F336241" wp14:textId="3FEAA1B0">
      <w:pPr>
        <w:pStyle w:val="Normal"/>
        <w:spacing w:before="0" w:beforeAutospacing="off" w:after="160" w:line="360" w:lineRule="auto"/>
        <w:jc w:val="both"/>
        <w:rPr>
          <w:rFonts w:ascii="Times New Roman" w:hAnsi="Times New Roman" w:eastAsia="Times New Roman" w:cs="Times New Roman"/>
        </w:rPr>
      </w:pPr>
      <w:r w:rsidRPr="49A9541A" w:rsidR="49A9541A">
        <w:rPr>
          <w:rFonts w:eastAsia="Times New Roman" w:cs="Times New Roman"/>
          <w:sz w:val="24"/>
          <w:szCs w:val="24"/>
        </w:rPr>
        <w:t xml:space="preserve">Nel Capitolo 4 analizziamo i Framework Operativi esistenti (come il modello </w:t>
      </w:r>
      <w:r w:rsidRPr="49A9541A" w:rsidR="49A9541A">
        <w:rPr>
          <w:rFonts w:eastAsia="Times New Roman" w:cs="Times New Roman"/>
          <w:sz w:val="24"/>
          <w:szCs w:val="24"/>
        </w:rPr>
        <w:t>”</w:t>
      </w:r>
      <w:r w:rsidRPr="49A9541A" w:rsidR="49A9541A">
        <w:rPr>
          <w:rFonts w:eastAsia="Times New Roman" w:cs="Times New Roman"/>
          <w:sz w:val="24"/>
          <w:szCs w:val="24"/>
        </w:rPr>
        <w:t>Forensic</w:t>
      </w:r>
      <w:r w:rsidRPr="49A9541A" w:rsidR="49A9541A">
        <w:rPr>
          <w:rFonts w:eastAsia="Times New Roman" w:cs="Times New Roman"/>
          <w:sz w:val="24"/>
          <w:szCs w:val="24"/>
        </w:rPr>
        <w:t>-Chain”) e il valore probatorio della Blockchain nell’attuale contesto normativo italiano alla luce del riconoscimento indiretto operato dal Decreto-legge Semplificazioni e ipotizzando l’inquadramento della registrazione su Blockchain come potenziale prova atipica.</w:t>
      </w:r>
    </w:p>
    <w:p xmlns:wp14="http://schemas.microsoft.com/office/word/2010/wordml" w14:paraId="074C1682" wp14:textId="77777777">
      <w:pPr>
        <w:pStyle w:val="Normal"/>
        <w:spacing w:before="0" w:beforeAutospacing="0" w:after="160" w:line="360" w:lineRule="auto"/>
        <w:jc w:val="both"/>
        <w:rPr/>
      </w:pPr>
      <w:r>
        <w:rPr>
          <w:rFonts w:eastAsia="Times New Roman" w:cs="Times New Roman"/>
          <w:sz w:val="24"/>
        </w:rPr>
        <w:t xml:space="preserve">Il Capitolo 5 affronta le sfide future, in particolare affrontando la possibile incompatibilità tra l’immodificabilità della Blockchain e il GDPR (Regolamento Europeo sulla Protezione dei Dati). Si conclude con l’auspicio di un intervento normativo organico che superi il trilemma tra Decentralizzazione, Sicurezza e Scalabilità e integri la validazione crittografica nel nostro codice di procedura penale. </w:t>
      </w:r>
    </w:p>
    <w:p xmlns:wp14="http://schemas.microsoft.com/office/word/2010/wordml" w14:paraId="2CD6DFDE" wp14:textId="77777777">
      <w:pPr>
        <w:pStyle w:val="Normal"/>
        <w:spacing w:before="0" w:beforeAutospacing="0" w:after="160" w:line="360" w:lineRule="auto"/>
        <w:jc w:val="both"/>
        <w:rPr/>
      </w:pPr>
      <w:r>
        <w:rPr>
          <w:rFonts w:eastAsia="Times New Roman" w:cs="Times New Roman"/>
          <w:sz w:val="24"/>
        </w:rPr>
        <w:t xml:space="preserve">Il mio studio spera di dimostrare come l’integrità del dato digitale non può e non deve essere assicurata da documenti cartacei e fiducia interpersonale ma da un sistema crittografico e decentralizzato in grado di garantire tracciabilità e immodificabilità in ogni fase del sequestro probatorio. </w:t>
      </w:r>
    </w:p>
    <w:p xmlns:wp14="http://schemas.microsoft.com/office/word/2010/wordml" w14:paraId="0A37501D" wp14:textId="77777777">
      <w:pPr>
        <w:pStyle w:val="Normal"/>
        <w:spacing w:before="0" w:beforeAutospacing="0" w:after="160" w:line="360" w:lineRule="auto"/>
        <w:rPr>
          <w:rFonts w:ascii="Times New Roman" w:hAnsi="Times New Roman" w:eastAsia="Times New Roman" w:cs="Times New Roman"/>
        </w:rPr>
      </w:pPr>
      <w:r>
        <w:rPr>
          <w:rFonts w:eastAsia="Times New Roman" w:cs="Times New Roman"/>
        </w:rPr>
      </w:r>
    </w:p>
    <w:sectPr>
      <w:type w:val="nextPage"/>
      <w:pgSz w:w="11906" w:h="16838" w:orient="portrait"/>
      <w:pgMar w:top="1701" w:right="1701" w:bottom="1701" w:left="2268"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it-IT" w:eastAsia="" w:bidi=""/>
  <w14:docId w14:val="57329ED0"/>
  <w15:docId w15:val="{F684D75A-48F7-46E0-AF82-D5154F42A108}"/>
  <w:rsids>
    <w:rsidRoot w:val="49A9541A"/>
    <w:rsid w:val="49A9541A"/>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sz w:val="24"/>
        <w:szCs w:val="24"/>
        <w:lang w:val="it-IT"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160" w:line="360" w:lineRule="auto"/>
      <w:ind w:firstLine="567"/>
      <w:jc w:val="both"/>
    </w:pPr>
    <w:rPr>
      <w:rFonts w:ascii="Times New Roman" w:hAnsi="Times New Roman" w:eastAsia="Aptos" w:cs="" w:eastAsiaTheme="minorHAnsi" w:cstheme="minorBidi"/>
      <w:color w:val="auto"/>
      <w:kern w:val="0"/>
      <w:sz w:val="24"/>
      <w:szCs w:val="24"/>
      <w:lang w:val="it-IT" w:eastAsia="en-US" w:bidi="ar-SA"/>
    </w:rPr>
  </w:style>
  <w:style w:type="character" w:styleId="DefaultParagraphFont" w:default="1">
    <w:name w:val="Default Paragraph Font"/>
    <w:uiPriority w:val="1"/>
    <w:semiHidden/>
    <w:unhideWhenUsed/>
    <w:qFormat/>
    <w:rPr/>
  </w:style>
  <w:style w:type="paragraph" w:styleId="Titolo">
    <w:name w:val="Tito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ice">
    <w:name w:val="Indice"/>
    <w:basedOn w:val="Normal"/>
    <w:qFormat/>
    <w:pPr>
      <w:suppressLineNumbers/>
    </w:pPr>
    <w:rPr>
      <w:rFonts w:cs="FreeSans"/>
    </w:rPr>
  </w:style>
  <w:style w:type="numbering" w:styleId="Nessunelenco" w:default="1">
    <w:name w:val="Nessun elenco"/>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settings" Target="settings.xml" Id="rId3" /><Relationship Type="http://schemas.openxmlformats.org/officeDocument/2006/relationships/theme" Target="theme/theme1.xml" Id="rId4"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2026-03-19T15:52:27.0000000Z</dcterms:created>
  <dc:creator>Francesco Marra</dc:creator>
  <dc:description/>
  <dc:language>it-IT</dc:language>
  <lastModifiedBy>Francesco Marra</lastModifiedBy>
  <dcterms:modified xsi:type="dcterms:W3CDTF">2026-05-16T10:15:27.1601343Z</dcterms:modified>
  <revision>2</revision>
  <dc:subject/>
  <dc:title/>
</coreProperties>
</file>

<file path=docProps/custom.xml><?xml version="1.0" encoding="utf-8"?>
<Properties xmlns="http://schemas.openxmlformats.org/officeDocument/2006/custom-properties" xmlns:vt="http://schemas.openxmlformats.org/officeDocument/2006/docPropsVTypes"/>
</file>