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0CF33C8F" w:rsidR="006C1B97" w:rsidRDefault="0082435F" w:rsidP="0082435F">
      <w:pPr>
        <w:jc w:val="center"/>
        <w:rPr>
          <w:b/>
          <w:sz w:val="32"/>
          <w:szCs w:val="32"/>
        </w:rPr>
      </w:pPr>
      <w:r w:rsidRPr="0082435F">
        <w:rPr>
          <w:b/>
          <w:sz w:val="32"/>
          <w:szCs w:val="32"/>
        </w:rPr>
        <w:t xml:space="preserve">R Shiny App for </w:t>
      </w:r>
      <w:r w:rsidR="00252F4B" w:rsidRPr="00252F4B">
        <w:rPr>
          <w:b/>
          <w:sz w:val="32"/>
          <w:szCs w:val="32"/>
        </w:rPr>
        <w:t>Iteratively Adjusted Surrogate Variable Analysis (IA-SVA)</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8"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61F0A71A" w14:textId="77777777" w:rsidR="00252F4B" w:rsidRDefault="00252F4B" w:rsidP="0082435F">
      <w:pPr>
        <w:jc w:val="center"/>
        <w:rPr>
          <w:b/>
          <w:sz w:val="32"/>
          <w:szCs w:val="32"/>
        </w:rPr>
      </w:pPr>
    </w:p>
    <w:p w14:paraId="68477A9E" w14:textId="1F0849A4" w:rsidR="00252F4B" w:rsidRDefault="00252F4B" w:rsidP="0082435F">
      <w:pPr>
        <w:jc w:val="center"/>
        <w:rPr>
          <w:b/>
          <w:sz w:val="32"/>
          <w:szCs w:val="32"/>
        </w:rPr>
      </w:pPr>
      <w:r>
        <w:rPr>
          <w:b/>
          <w:sz w:val="32"/>
          <w:szCs w:val="32"/>
        </w:rPr>
        <w:t xml:space="preserve">Manuscript on bioRxiv: </w:t>
      </w:r>
      <w:hyperlink r:id="rId9" w:history="1">
        <w:r w:rsidRPr="0048748F">
          <w:rPr>
            <w:rStyle w:val="Hyperlink"/>
            <w:b/>
            <w:sz w:val="32"/>
            <w:szCs w:val="32"/>
          </w:rPr>
          <w:t>https://www.biorxiv.org/content/early/2017/06/18/151217</w:t>
        </w:r>
      </w:hyperlink>
    </w:p>
    <w:p w14:paraId="18C88955" w14:textId="77777777" w:rsidR="00252F4B" w:rsidRDefault="00252F4B" w:rsidP="0082435F">
      <w:pPr>
        <w:jc w:val="center"/>
        <w:rPr>
          <w:b/>
          <w:sz w:val="32"/>
          <w:szCs w:val="32"/>
        </w:rPr>
      </w:pPr>
    </w:p>
    <w:p w14:paraId="663E3F50" w14:textId="379CC5E4" w:rsidR="00A37D15" w:rsidRDefault="00A37D15" w:rsidP="00A37D15">
      <w:pPr>
        <w:jc w:val="center"/>
        <w:rPr>
          <w:b/>
          <w:sz w:val="32"/>
          <w:szCs w:val="32"/>
        </w:rPr>
      </w:pPr>
      <w:r>
        <w:rPr>
          <w:b/>
          <w:sz w:val="32"/>
          <w:szCs w:val="32"/>
        </w:rPr>
        <w:t xml:space="preserve">Bioconductor package (iasva): </w:t>
      </w:r>
      <w:hyperlink r:id="rId10" w:history="1">
        <w:r w:rsidRPr="00794732">
          <w:rPr>
            <w:rStyle w:val="Hyperlink"/>
            <w:b/>
            <w:sz w:val="32"/>
            <w:szCs w:val="32"/>
          </w:rPr>
          <w:t>https://www.bioconductor.org/packages/devel/bioc/html/iasva.html</w:t>
        </w:r>
      </w:hyperlink>
    </w:p>
    <w:p w14:paraId="4DAC8119" w14:textId="7D0FDC11" w:rsidR="00550455" w:rsidRPr="00550455" w:rsidRDefault="00B81F56" w:rsidP="00B81F56">
      <w:pPr>
        <w:rPr>
          <w:sz w:val="32"/>
          <w:szCs w:val="32"/>
        </w:rPr>
      </w:pPr>
      <w:r>
        <w:rPr>
          <w:b/>
          <w:sz w:val="32"/>
          <w:szCs w:val="32"/>
        </w:rPr>
        <w:br w:type="page"/>
      </w:r>
    </w:p>
    <w:p w14:paraId="7DB669BA" w14:textId="7DA3DA7B" w:rsidR="00550455" w:rsidRDefault="00AA7519"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AA7519"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AA7519"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AA7519"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29BD82E7" w:rsidR="003D26B7" w:rsidRDefault="00AA7519" w:rsidP="0052282B">
      <w:pPr>
        <w:pStyle w:val="ListParagraph"/>
        <w:numPr>
          <w:ilvl w:val="0"/>
          <w:numId w:val="1"/>
        </w:numPr>
        <w:rPr>
          <w:b/>
          <w:sz w:val="32"/>
          <w:szCs w:val="32"/>
        </w:rPr>
      </w:pPr>
      <w:hyperlink w:anchor="IASVA_Analysis" w:history="1">
        <w:r w:rsidR="006E6C40" w:rsidRPr="006E6C40">
          <w:rPr>
            <w:rStyle w:val="Hyperlink"/>
            <w:b/>
            <w:sz w:val="32"/>
            <w:szCs w:val="32"/>
          </w:rPr>
          <w:t>IA-SVA Analysis</w:t>
        </w:r>
      </w:hyperlink>
    </w:p>
    <w:p w14:paraId="6653A83D" w14:textId="6FCF297E" w:rsidR="0052282B" w:rsidRDefault="00AA7519"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AA7519"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AA7519"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Default="007B32D8" w:rsidP="0052282B">
      <w:pPr>
        <w:pStyle w:val="ListParagraph"/>
        <w:numPr>
          <w:ilvl w:val="0"/>
          <w:numId w:val="1"/>
        </w:numPr>
        <w:rPr>
          <w:b/>
          <w:sz w:val="32"/>
          <w:szCs w:val="32"/>
        </w:rPr>
      </w:pPr>
      <w:r>
        <w:rPr>
          <w:b/>
          <w:sz w:val="32"/>
          <w:szCs w:val="32"/>
        </w:rPr>
        <w:t xml:space="preserve"> </w:t>
      </w:r>
      <w:hyperlink w:anchor="Identify_Marker_Genes" w:history="1">
        <w:r w:rsidRPr="007B32D8">
          <w:rPr>
            <w:rStyle w:val="Hyperlink"/>
            <w:b/>
            <w:sz w:val="32"/>
            <w:szCs w:val="32"/>
          </w:rPr>
          <w:t>Identify Marker Genes</w:t>
        </w:r>
      </w:hyperlink>
    </w:p>
    <w:p w14:paraId="50FF85DE" w14:textId="06F50CD4" w:rsidR="00B346A1" w:rsidRPr="00A44A15" w:rsidRDefault="00AA7519" w:rsidP="0052282B">
      <w:pPr>
        <w:pStyle w:val="ListParagraph"/>
        <w:numPr>
          <w:ilvl w:val="0"/>
          <w:numId w:val="1"/>
        </w:numPr>
        <w:rPr>
          <w:rStyle w:val="Hyperlink"/>
          <w:b/>
          <w:color w:val="auto"/>
          <w:sz w:val="32"/>
          <w:szCs w:val="32"/>
          <w:u w:val="none"/>
        </w:rPr>
      </w:pPr>
      <w:hyperlink w:anchor="Marker_Genes_Table" w:history="1">
        <w:r w:rsidR="00B346A1" w:rsidRPr="00B346A1">
          <w:rPr>
            <w:rStyle w:val="Hyperlink"/>
            <w:b/>
            <w:sz w:val="32"/>
            <w:szCs w:val="32"/>
          </w:rPr>
          <w:t>Marker Genes Table</w:t>
        </w:r>
      </w:hyperlink>
    </w:p>
    <w:p w14:paraId="06CC6D06" w14:textId="19F7FD4A" w:rsidR="00A44A15" w:rsidRDefault="00AA7519" w:rsidP="0052282B">
      <w:pPr>
        <w:pStyle w:val="ListParagraph"/>
        <w:numPr>
          <w:ilvl w:val="0"/>
          <w:numId w:val="1"/>
        </w:numPr>
        <w:rPr>
          <w:b/>
          <w:sz w:val="32"/>
          <w:szCs w:val="32"/>
        </w:rPr>
      </w:pPr>
      <w:hyperlink w:anchor="Gene_Enrichment_Analysis" w:history="1">
        <w:r w:rsidR="00A44A15" w:rsidRPr="00A44A15">
          <w:rPr>
            <w:rStyle w:val="Hyperlink"/>
            <w:b/>
            <w:sz w:val="32"/>
            <w:szCs w:val="32"/>
          </w:rPr>
          <w:t>Gene Enrichment Analysis</w:t>
        </w:r>
      </w:hyperlink>
    </w:p>
    <w:p w14:paraId="68E7BE2C" w14:textId="556B4CD5" w:rsidR="00541B4A" w:rsidRDefault="00AA7519" w:rsidP="0052282B">
      <w:pPr>
        <w:pStyle w:val="ListParagraph"/>
        <w:numPr>
          <w:ilvl w:val="0"/>
          <w:numId w:val="1"/>
        </w:numPr>
        <w:rPr>
          <w:b/>
          <w:sz w:val="32"/>
          <w:szCs w:val="32"/>
        </w:rPr>
      </w:pPr>
      <w:hyperlink w:anchor="Gene_Enrichment_Analysis_Table" w:history="1">
        <w:r w:rsidR="00541B4A" w:rsidRPr="00541B4A">
          <w:rPr>
            <w:rStyle w:val="Hyperlink"/>
            <w:b/>
            <w:sz w:val="32"/>
            <w:szCs w:val="32"/>
          </w:rPr>
          <w:t>Gene Enrichment Analysis Table</w:t>
        </w:r>
      </w:hyperlink>
    </w:p>
    <w:p w14:paraId="0FC26C7D" w14:textId="393520ED" w:rsidR="002C40EB" w:rsidRPr="0052282B" w:rsidRDefault="00AA7519" w:rsidP="0052282B">
      <w:pPr>
        <w:pStyle w:val="ListParagraph"/>
        <w:numPr>
          <w:ilvl w:val="0"/>
          <w:numId w:val="1"/>
        </w:numPr>
        <w:rPr>
          <w:b/>
          <w:sz w:val="32"/>
          <w:szCs w:val="32"/>
        </w:rPr>
      </w:pPr>
      <w:hyperlink w:anchor="Dimension_Reduction_and_Visualization" w:history="1">
        <w:r w:rsidR="002C40EB" w:rsidRPr="007D513C">
          <w:rPr>
            <w:rStyle w:val="Hyperlink"/>
            <w:b/>
            <w:sz w:val="32"/>
            <w:szCs w:val="32"/>
          </w:rPr>
          <w:t>Dimension Reduction and Visualization</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t>Interactive Tutorial</w:t>
      </w:r>
      <w:bookmarkEnd w:id="0"/>
    </w:p>
    <w:p w14:paraId="3A9C1A91" w14:textId="77777777" w:rsidR="00237FA2" w:rsidRDefault="00237FA2">
      <w:pPr>
        <w:rPr>
          <w:b/>
          <w:sz w:val="32"/>
          <w:szCs w:val="32"/>
        </w:rPr>
      </w:pPr>
    </w:p>
    <w:p w14:paraId="219D258B" w14:textId="484EFE69" w:rsidR="00237FA2" w:rsidRDefault="00470DA9">
      <w:r>
        <w:t>In addition to this manual, you can choose to have an</w:t>
      </w:r>
      <w:r w:rsidR="00237FA2">
        <w:t xml:space="preserve"> interactive tutorial </w:t>
      </w:r>
      <w:r>
        <w:t>of this 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43D0256C" w:rsidR="00237FA2" w:rsidRPr="00237FA2" w:rsidRDefault="00BF2700">
      <w:r>
        <w:rPr>
          <w:noProof/>
        </w:rPr>
        <mc:AlternateContent>
          <mc:Choice Requires="wps">
            <w:drawing>
              <wp:anchor distT="0" distB="0" distL="114300" distR="114300" simplePos="0" relativeHeight="251659264" behindDoc="0" locked="0" layoutInCell="1" allowOverlap="1" wp14:anchorId="389656DD" wp14:editId="77E02E85">
                <wp:simplePos x="0" y="0"/>
                <wp:positionH relativeFrom="column">
                  <wp:posOffset>-228600</wp:posOffset>
                </wp:positionH>
                <wp:positionV relativeFrom="paragraph">
                  <wp:posOffset>378460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29.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XpZ579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crM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XpZ579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sidR="00A37D15">
        <w:rPr>
          <w:noProof/>
        </w:rPr>
        <w:drawing>
          <wp:inline distT="0" distB="0" distL="0" distR="0" wp14:anchorId="61FEE458" wp14:editId="0C4CBC72">
            <wp:extent cx="5486400" cy="44225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2251"/>
                    </a:xfrm>
                    <a:prstGeom prst="rect">
                      <a:avLst/>
                    </a:prstGeom>
                    <a:noFill/>
                    <a:ln>
                      <a:noFill/>
                    </a:ln>
                  </pic:spPr>
                </pic:pic>
              </a:graphicData>
            </a:graphic>
          </wp:inline>
        </w:drawing>
      </w:r>
    </w:p>
    <w:p w14:paraId="24B5F8E6" w14:textId="41B2FF68"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77AC4990" w:rsidR="00237FA2" w:rsidRDefault="00471118">
      <w:pPr>
        <w:rPr>
          <w:b/>
          <w:sz w:val="32"/>
          <w:szCs w:val="32"/>
        </w:rPr>
      </w:pPr>
      <w:r>
        <w:rPr>
          <w:b/>
          <w:noProof/>
          <w:sz w:val="32"/>
          <w:szCs w:val="32"/>
        </w:rPr>
        <w:drawing>
          <wp:inline distT="0" distB="0" distL="0" distR="0" wp14:anchorId="655B7C62" wp14:editId="456B609C">
            <wp:extent cx="5486400" cy="1149921"/>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49921"/>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2B088CDE" w:rsidR="000B1E07" w:rsidRDefault="000B1E07" w:rsidP="000B1E07">
      <w:r>
        <w:t xml:space="preserve">Navigate through this </w:t>
      </w:r>
      <w:r w:rsidR="00F0131E">
        <w:t>tutorial using the “Next Step” and “Previous Step” buttons. To exit out of this tutorial, click the “Quit” button or anywhere outside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6D752E00" w:rsidR="00562315" w:rsidRDefault="009B091B" w:rsidP="005C5AE2">
      <w:r>
        <w:t xml:space="preserve">In the first section of the app, </w:t>
      </w:r>
      <w:r w:rsidR="00562315">
        <w:t>the user must provide 2 input files:</w:t>
      </w:r>
    </w:p>
    <w:p w14:paraId="1A6345B0" w14:textId="4F61F915" w:rsidR="00562315" w:rsidRDefault="00562315" w:rsidP="00562315">
      <w:pPr>
        <w:pStyle w:val="ListParagraph"/>
        <w:numPr>
          <w:ilvl w:val="0"/>
          <w:numId w:val="25"/>
        </w:numPr>
      </w:pPr>
      <w:r>
        <w:t>A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23526E24" w:rsidR="00562315" w:rsidRDefault="00562315" w:rsidP="00CA4E25">
      <w:pPr>
        <w:pStyle w:val="ListParagraph"/>
        <w:numPr>
          <w:ilvl w:val="0"/>
          <w:numId w:val="25"/>
        </w:numPr>
      </w:pPr>
      <w:r>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p>
    <w:p w14:paraId="1C787BCE" w14:textId="77777777" w:rsidR="00155BF9" w:rsidRDefault="00155BF9" w:rsidP="00155BF9"/>
    <w:p w14:paraId="7AA5D9C0" w14:textId="10E4B593" w:rsidR="00155BF9" w:rsidRDefault="00155BF9" w:rsidP="00155BF9">
      <w:r>
        <w:t xml:space="preserve">For convenience, an example gene expression and sample metadata set (human peripheral blood mononuclear cells (PBMCs) from Kang et al. 2017: </w:t>
      </w:r>
      <w:hyperlink r:id="rId13" w:history="1">
        <w:r w:rsidRPr="00CE6807">
          <w:rPr>
            <w:rStyle w:val="Hyperlink"/>
          </w:rPr>
          <w:t>https://www.nature.com/articles/nbt.4042</w:t>
        </w:r>
      </w:hyperlink>
      <w:r>
        <w:t>) are 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54AAF709" w:rsidR="00155BF9" w:rsidRDefault="00155BF9" w:rsidP="00155BF9">
      <w:r>
        <w:rPr>
          <w:noProof/>
        </w:rPr>
        <w:drawing>
          <wp:inline distT="0" distB="0" distL="0" distR="0" wp14:anchorId="78E00E2D" wp14:editId="1FEFFC33">
            <wp:extent cx="3310890" cy="103949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890" cy="1039495"/>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56FDDCDA" w14:textId="2554D3FE" w:rsidR="00336195" w:rsidRDefault="00336195" w:rsidP="005C5AE2">
      <w:r>
        <w:t xml:space="preserve">Users may upload </w:t>
      </w:r>
      <w:r w:rsidR="00E16ACA">
        <w:t>their own expression and metadata</w:t>
      </w:r>
      <w:r>
        <w:t xml:space="preserve"> files</w:t>
      </w:r>
      <w:r w:rsidR="00E16ACA">
        <w:t xml:space="preserve"> (or the downloaded test files)</w:t>
      </w:r>
      <w:r>
        <w:t xml:space="preserve"> by clicking the “Browse” buttons pictured below:</w:t>
      </w:r>
    </w:p>
    <w:p w14:paraId="3DD3EB30" w14:textId="77777777" w:rsidR="00155BF9" w:rsidRDefault="00155BF9" w:rsidP="005C5AE2"/>
    <w:p w14:paraId="113C563F" w14:textId="1D38A288" w:rsidR="005C5AE2" w:rsidRDefault="00550EC0" w:rsidP="005C5AE2">
      <w:r>
        <w:rPr>
          <w:noProof/>
        </w:rPr>
        <w:drawing>
          <wp:inline distT="0" distB="0" distL="0" distR="0" wp14:anchorId="54604DEC" wp14:editId="50519C44">
            <wp:extent cx="5486400" cy="2132784"/>
            <wp:effectExtent l="0" t="0" r="0" b="12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32784"/>
                    </a:xfrm>
                    <a:prstGeom prst="rect">
                      <a:avLst/>
                    </a:prstGeom>
                    <a:noFill/>
                    <a:ln>
                      <a:noFill/>
                    </a:ln>
                  </pic:spPr>
                </pic:pic>
              </a:graphicData>
            </a:graphic>
          </wp:inline>
        </w:drawing>
      </w:r>
      <w:r w:rsidR="009B091B">
        <w:t xml:space="preserve"> </w:t>
      </w:r>
    </w:p>
    <w:p w14:paraId="41E52C07" w14:textId="77777777" w:rsidR="009B091B" w:rsidRDefault="009B091B" w:rsidP="005C5AE2"/>
    <w:p w14:paraId="615EA299" w14:textId="12CA3891" w:rsidR="00D83A53" w:rsidRPr="00AA7519" w:rsidRDefault="00D83A53" w:rsidP="00D83A53">
      <w:r w:rsidRPr="00D83A53">
        <w:t xml:space="preserve">Input files must be in the format of either: </w:t>
      </w:r>
      <w:r w:rsidRPr="00D83A53">
        <w:rPr>
          <w:rFonts w:eastAsia="Times New Roman"/>
          <w:shd w:val="clear" w:color="auto" w:fill="FFFFFF"/>
        </w:rPr>
        <w:t xml:space="preserve">.Rds,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bookmarkStart w:id="2" w:name="_GoBack"/>
      <w:bookmarkEnd w:id="2"/>
    </w:p>
    <w:p w14:paraId="711F6177" w14:textId="77777777" w:rsidR="009B091B" w:rsidRDefault="009B091B" w:rsidP="005C5AE2"/>
    <w:p w14:paraId="150FF65B" w14:textId="1AECF3B4" w:rsidR="002D62C1" w:rsidRDefault="002D62C1" w:rsidP="005C5AE2">
      <w:r>
        <w:t>Upon successful loading of your input files, the user interface should look like this:</w:t>
      </w:r>
    </w:p>
    <w:p w14:paraId="5D1023EF" w14:textId="77777777" w:rsidR="00542FCF" w:rsidRDefault="00542FCF" w:rsidP="005C5AE2"/>
    <w:p w14:paraId="3BAA9A44" w14:textId="7D4D2317" w:rsidR="002D62C1" w:rsidRDefault="002D62C1" w:rsidP="005C5AE2">
      <w:r>
        <w:rPr>
          <w:noProof/>
        </w:rPr>
        <w:drawing>
          <wp:inline distT="0" distB="0" distL="0" distR="0" wp14:anchorId="52EDDF40" wp14:editId="2A21AC9F">
            <wp:extent cx="5486400" cy="2321622"/>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21622"/>
                    </a:xfrm>
                    <a:prstGeom prst="rect">
                      <a:avLst/>
                    </a:prstGeom>
                    <a:noFill/>
                    <a:ln>
                      <a:noFill/>
                    </a:ln>
                  </pic:spPr>
                </pic:pic>
              </a:graphicData>
            </a:graphic>
          </wp:inline>
        </w:drawing>
      </w:r>
    </w:p>
    <w:p w14:paraId="206AC8EB" w14:textId="77777777" w:rsidR="002D62C1" w:rsidRDefault="002D62C1" w:rsidP="005C5AE2"/>
    <w:p w14:paraId="19CDC29A" w14:textId="1D9F3AF5" w:rsidR="001B5496" w:rsidRPr="001B5496" w:rsidRDefault="001B5496" w:rsidP="001B5496">
      <w:pPr>
        <w:pStyle w:val="ListParagraph"/>
        <w:numPr>
          <w:ilvl w:val="0"/>
          <w:numId w:val="5"/>
        </w:numPr>
        <w:rPr>
          <w:b/>
          <w:sz w:val="32"/>
          <w:szCs w:val="32"/>
        </w:rPr>
      </w:pPr>
      <w:bookmarkStart w:id="3" w:name="Data_Preprocess"/>
      <w:r w:rsidRPr="001B5496">
        <w:rPr>
          <w:b/>
          <w:sz w:val="32"/>
          <w:szCs w:val="32"/>
        </w:rPr>
        <w:t>Data Preprocessing</w:t>
      </w:r>
      <w:bookmarkEnd w:id="3"/>
    </w:p>
    <w:p w14:paraId="6AB2C827" w14:textId="77777777" w:rsidR="0063025A" w:rsidRDefault="0063025A" w:rsidP="0063025A">
      <w:pPr>
        <w:rPr>
          <w:b/>
          <w:sz w:val="32"/>
          <w:szCs w:val="32"/>
        </w:rPr>
      </w:pPr>
    </w:p>
    <w:p w14:paraId="6F9997A4" w14:textId="0B4EB63C" w:rsidR="0063025A" w:rsidRDefault="000B3B6C" w:rsidP="0063025A">
      <w:r>
        <w:t>After providing input files, the users have the choice of further pre-processing their data. Specifically, there is a step to remove lowly expressed/detected genes</w:t>
      </w:r>
      <w:r w:rsidR="00024FC6">
        <w:t xml:space="preserve"> from the input matrix. </w:t>
      </w:r>
      <w:r w:rsidR="008A3D30">
        <w:t xml:space="preserve">By default, the app is set to </w:t>
      </w:r>
      <w:r w:rsidR="0043435C">
        <w:t>ke</w:t>
      </w:r>
      <w:r w:rsidR="008A3D30">
        <w:t>e</w:t>
      </w:r>
      <w:r w:rsidR="0043435C">
        <w:t>p</w:t>
      </w:r>
      <w:r w:rsidR="008A3D30">
        <w:t xml:space="preserve"> </w:t>
      </w:r>
      <w:r w:rsidR="0043435C">
        <w:t xml:space="preserve">genes with </w:t>
      </w:r>
      <w:r w:rsidR="008A3D30">
        <w:t xml:space="preserve">5 </w:t>
      </w:r>
      <w:r w:rsidR="0043435C">
        <w:t xml:space="preserve">or more read counts in </w:t>
      </w:r>
      <w:r w:rsidR="008A3D30">
        <w:t xml:space="preserve">5 </w:t>
      </w:r>
      <w:r w:rsidR="0043435C">
        <w:t xml:space="preserve">or more </w:t>
      </w:r>
      <w:r w:rsidR="008A3D30">
        <w:t xml:space="preserve">different cells/samples. </w:t>
      </w:r>
    </w:p>
    <w:p w14:paraId="073F8EEB" w14:textId="77777777" w:rsidR="006F64BC" w:rsidRDefault="006F64BC" w:rsidP="0063025A"/>
    <w:p w14:paraId="24CEF05F" w14:textId="45E202A7" w:rsidR="006F64BC" w:rsidRPr="006F64BC" w:rsidRDefault="00024FC6" w:rsidP="0063025A">
      <w:r>
        <w:rPr>
          <w:noProof/>
        </w:rPr>
        <w:drawing>
          <wp:inline distT="0" distB="0" distL="0" distR="0" wp14:anchorId="0FC7A2DF" wp14:editId="77CED28D">
            <wp:extent cx="5486400" cy="1324174"/>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24174"/>
                    </a:xfrm>
                    <a:prstGeom prst="rect">
                      <a:avLst/>
                    </a:prstGeom>
                    <a:noFill/>
                    <a:ln>
                      <a:noFill/>
                    </a:ln>
                  </pic:spPr>
                </pic:pic>
              </a:graphicData>
            </a:graphic>
          </wp:inline>
        </w:drawing>
      </w:r>
    </w:p>
    <w:p w14:paraId="3244E757" w14:textId="77777777" w:rsidR="00A43EF3" w:rsidRDefault="008A3D30">
      <w:r>
        <w:t>Users are able to adjust these values. Another example is as follows:</w:t>
      </w:r>
      <w:r w:rsidRPr="008A3D30">
        <w:t xml:space="preserve"> </w:t>
      </w:r>
    </w:p>
    <w:p w14:paraId="770A690E" w14:textId="77777777" w:rsidR="00A43EF3" w:rsidRDefault="00A43EF3"/>
    <w:p w14:paraId="14D40F7E" w14:textId="186BB4F9" w:rsidR="008A3D30" w:rsidRDefault="008A3D30">
      <w:r>
        <w:rPr>
          <w:noProof/>
        </w:rPr>
        <w:drawing>
          <wp:inline distT="0" distB="0" distL="0" distR="0" wp14:anchorId="09464CBE" wp14:editId="114C0C01">
            <wp:extent cx="5438140" cy="1337945"/>
            <wp:effectExtent l="0" t="0" r="0" b="825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1337945"/>
                    </a:xfrm>
                    <a:prstGeom prst="rect">
                      <a:avLst/>
                    </a:prstGeom>
                    <a:noFill/>
                    <a:ln>
                      <a:noFill/>
                    </a:ln>
                  </pic:spPr>
                </pic:pic>
              </a:graphicData>
            </a:graphic>
          </wp:inline>
        </w:drawing>
      </w:r>
    </w:p>
    <w:p w14:paraId="26631C8E" w14:textId="77777777" w:rsidR="008A3D30" w:rsidRDefault="008A3D30"/>
    <w:p w14:paraId="21565B12" w14:textId="77777777" w:rsidR="004A4576" w:rsidRDefault="008A3D30">
      <w:r>
        <w:t xml:space="preserve">This example would </w:t>
      </w:r>
      <w:r w:rsidR="0043435C">
        <w:t xml:space="preserve">keep genes with 10 or more read counts in 3 or more different cells/samples. </w:t>
      </w:r>
    </w:p>
    <w:p w14:paraId="5A5060CA" w14:textId="77777777" w:rsidR="00A5699C" w:rsidRDefault="00A5699C"/>
    <w:p w14:paraId="434B4DE0" w14:textId="217418DD" w:rsidR="008A3D30" w:rsidRPr="004A4576" w:rsidRDefault="004A4576">
      <w:pPr>
        <w:rPr>
          <w:b/>
        </w:rPr>
      </w:pPr>
      <w:r>
        <w:rPr>
          <w:b/>
        </w:rPr>
        <w:t xml:space="preserve">Note: </w:t>
      </w:r>
      <w:r w:rsidRPr="004A4576">
        <w:rPr>
          <w:b/>
        </w:rPr>
        <w:t xml:space="preserve">If users do not want to </w:t>
      </w:r>
      <w:r>
        <w:rPr>
          <w:b/>
        </w:rPr>
        <w:t>filter any genes, both values can be set to zero.</w:t>
      </w:r>
    </w:p>
    <w:p w14:paraId="3AF75F7F" w14:textId="05CD283B" w:rsidR="008A3D30" w:rsidRDefault="004A4576">
      <w:r>
        <w:t>In addition, the user may choose one of 4 normalization options:</w:t>
      </w:r>
    </w:p>
    <w:p w14:paraId="6FD35850" w14:textId="3CD94878" w:rsidR="004A4576" w:rsidRDefault="004A4576" w:rsidP="004A4576">
      <w:pPr>
        <w:pStyle w:val="ListParagraph"/>
        <w:numPr>
          <w:ilvl w:val="0"/>
          <w:numId w:val="27"/>
        </w:numPr>
      </w:pPr>
      <w:r>
        <w:t xml:space="preserve">CPM = counts per million. This method from the “edgeR” </w:t>
      </w:r>
      <w:r w:rsidR="009B5A06">
        <w:t xml:space="preserve">R </w:t>
      </w:r>
      <w:r>
        <w:t>package normalizes gene counts by the sample’s total counts and a scaling factor of one million.</w:t>
      </w:r>
    </w:p>
    <w:p w14:paraId="31AA1982" w14:textId="201449E2" w:rsidR="004A4576" w:rsidRDefault="009B5A06" w:rsidP="004A4576">
      <w:pPr>
        <w:pStyle w:val="ListParagraph"/>
        <w:numPr>
          <w:ilvl w:val="0"/>
          <w:numId w:val="27"/>
        </w:numPr>
      </w:pPr>
      <w:r>
        <w:t>Quantile = quantile normalization as implemented in the “preprocessCore” R package via the normalize.quantiles() function.</w:t>
      </w:r>
    </w:p>
    <w:p w14:paraId="77F57EF4" w14:textId="403D4A93" w:rsidR="009B5A06" w:rsidRDefault="003C4FF1" w:rsidP="004A4576">
      <w:pPr>
        <w:pStyle w:val="ListParagraph"/>
        <w:numPr>
          <w:ilvl w:val="0"/>
          <w:numId w:val="27"/>
        </w:numPr>
      </w:pPr>
      <w:r>
        <w:t>scran = single cell RNA-seq normalization method by deconvolving size factors from cell pools. This method from the “scran” R package normalizes gene counts using the computeSumFactors()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0DAE94EB" w14:textId="53B6E5AF" w:rsidR="00336221" w:rsidRPr="00336221" w:rsidRDefault="00475BE0" w:rsidP="00336221">
      <w:pPr>
        <w:pStyle w:val="ListParagraph"/>
        <w:numPr>
          <w:ilvl w:val="0"/>
          <w:numId w:val="5"/>
        </w:numPr>
        <w:rPr>
          <w:b/>
          <w:sz w:val="32"/>
          <w:szCs w:val="32"/>
        </w:rPr>
      </w:pPr>
      <w:bookmarkStart w:id="4" w:name="Specify_Known_Factors"/>
      <w:r w:rsidRPr="00475BE0">
        <w:rPr>
          <w:b/>
          <w:sz w:val="32"/>
          <w:szCs w:val="32"/>
        </w:rPr>
        <w:t>Specify Known Factors to Adjust For</w:t>
      </w:r>
      <w:bookmarkEnd w:id="4"/>
    </w:p>
    <w:p w14:paraId="7D93C459" w14:textId="77777777" w:rsidR="00336221" w:rsidRDefault="00336221" w:rsidP="00336221"/>
    <w:p w14:paraId="3A837203" w14:textId="75B2B068" w:rsidR="00516E7E" w:rsidRDefault="00065267" w:rsidP="00336221">
      <w:r>
        <w:t xml:space="preserve">After loading the metadata input file, users will then be able to decide which known metadata variables should be </w:t>
      </w:r>
      <w:r w:rsidR="00D102CF">
        <w:t>adjusted</w:t>
      </w:r>
      <w:r>
        <w:t xml:space="preserve"> for </w:t>
      </w:r>
      <w:r w:rsidR="00D102CF">
        <w:t xml:space="preserve">in the downstream analyses. </w:t>
      </w:r>
    </w:p>
    <w:p w14:paraId="0CB0CCEF" w14:textId="77777777" w:rsidR="00D102CF" w:rsidRDefault="00D102CF" w:rsidP="00336221"/>
    <w:p w14:paraId="63267FD6" w14:textId="7B895624" w:rsidR="00D102CF" w:rsidRDefault="00D102CF" w:rsidP="00336221">
      <w:pPr>
        <w:rPr>
          <w:b/>
        </w:rPr>
      </w:pPr>
      <w:r>
        <w:rPr>
          <w:b/>
        </w:rPr>
        <w:t>Note if no metadata input file was uploaded, you will be unable to proceed past Step 3 and the “Known Factors” box will be empty as follows:</w:t>
      </w:r>
    </w:p>
    <w:p w14:paraId="66D459E3" w14:textId="77777777" w:rsidR="00D102CF" w:rsidRDefault="00D102CF" w:rsidP="00336221">
      <w:pPr>
        <w:rPr>
          <w:b/>
        </w:rPr>
      </w:pPr>
    </w:p>
    <w:p w14:paraId="5EBAACDF" w14:textId="0875E8B5" w:rsidR="00D102CF" w:rsidRPr="00D102CF" w:rsidRDefault="00D102CF" w:rsidP="00336221">
      <w:pPr>
        <w:rPr>
          <w:b/>
        </w:rPr>
      </w:pPr>
      <w:r>
        <w:rPr>
          <w:b/>
          <w:noProof/>
        </w:rPr>
        <w:drawing>
          <wp:inline distT="0" distB="0" distL="0" distR="0" wp14:anchorId="2F1D93EA" wp14:editId="488DF17B">
            <wp:extent cx="4851400" cy="1337945"/>
            <wp:effectExtent l="0" t="0" r="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1337945"/>
                    </a:xfrm>
                    <a:prstGeom prst="rect">
                      <a:avLst/>
                    </a:prstGeom>
                    <a:noFill/>
                    <a:ln>
                      <a:noFill/>
                    </a:ln>
                  </pic:spPr>
                </pic:pic>
              </a:graphicData>
            </a:graphic>
          </wp:inline>
        </w:drawing>
      </w:r>
    </w:p>
    <w:p w14:paraId="77A252C1" w14:textId="77777777" w:rsidR="00336221" w:rsidRDefault="00336221" w:rsidP="00D102CF">
      <w:pPr>
        <w:rPr>
          <w:b/>
          <w:sz w:val="32"/>
          <w:szCs w:val="32"/>
        </w:rPr>
      </w:pPr>
    </w:p>
    <w:p w14:paraId="082FE9E0" w14:textId="13309522" w:rsidR="00D102CF" w:rsidRDefault="00D102CF" w:rsidP="00D102CF">
      <w:r>
        <w:t>However, once a metadata file is successfully uploaded, clicking on the “Known Factors” box should display all of the metadata variables specified in that file. In the example test.metadata.Rds file, the following Known Factors are as follows:</w:t>
      </w:r>
    </w:p>
    <w:p w14:paraId="7AA7D202" w14:textId="77777777" w:rsidR="00D102CF" w:rsidRDefault="00D102CF" w:rsidP="00D102CF"/>
    <w:p w14:paraId="3163B63D" w14:textId="0F2F2725" w:rsidR="00D102CF" w:rsidRPr="00D102CF" w:rsidRDefault="00D102CF" w:rsidP="00D102CF">
      <w:r>
        <w:rPr>
          <w:noProof/>
        </w:rPr>
        <w:drawing>
          <wp:inline distT="0" distB="0" distL="0" distR="0" wp14:anchorId="10FD08F5" wp14:editId="113090C9">
            <wp:extent cx="5293995" cy="374396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995" cy="3743960"/>
                    </a:xfrm>
                    <a:prstGeom prst="rect">
                      <a:avLst/>
                    </a:prstGeom>
                    <a:noFill/>
                    <a:ln>
                      <a:noFill/>
                    </a:ln>
                  </pic:spPr>
                </pic:pic>
              </a:graphicData>
            </a:graphic>
          </wp:inline>
        </w:drawing>
      </w:r>
    </w:p>
    <w:p w14:paraId="34ABB1D3" w14:textId="77777777" w:rsidR="00516E7E" w:rsidRDefault="00516E7E" w:rsidP="00D102CF">
      <w:pPr>
        <w:rPr>
          <w:b/>
          <w:sz w:val="32"/>
          <w:szCs w:val="32"/>
        </w:rPr>
      </w:pPr>
    </w:p>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“nGene” variables:</w:t>
      </w:r>
    </w:p>
    <w:p w14:paraId="4E9D3A8A" w14:textId="77777777" w:rsidR="00530826" w:rsidRDefault="00530826" w:rsidP="00D102CF"/>
    <w:p w14:paraId="0338DC6F" w14:textId="7B6FEEF9" w:rsidR="00530826" w:rsidRDefault="00530826" w:rsidP="00D102CF">
      <w:r>
        <w:rPr>
          <w:noProof/>
        </w:rPr>
        <w:drawing>
          <wp:inline distT="0" distB="0" distL="0" distR="0" wp14:anchorId="3426D90A" wp14:editId="6D269005">
            <wp:extent cx="4697095" cy="2916555"/>
            <wp:effectExtent l="0" t="0" r="1905" b="444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916555"/>
                    </a:xfrm>
                    <a:prstGeom prst="rect">
                      <a:avLst/>
                    </a:prstGeom>
                    <a:noFill/>
                    <a:ln>
                      <a:noFill/>
                    </a:ln>
                  </pic:spPr>
                </pic:pic>
              </a:graphicData>
            </a:graphic>
          </wp:inline>
        </w:drawing>
      </w: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2BA134AB" w:rsidR="00336221" w:rsidRDefault="003A6A83" w:rsidP="003A6A83">
      <w:pPr>
        <w:rPr>
          <w:b/>
          <w:sz w:val="32"/>
          <w:szCs w:val="32"/>
        </w:rPr>
      </w:pPr>
      <w:r>
        <w:rPr>
          <w:b/>
          <w:sz w:val="32"/>
          <w:szCs w:val="32"/>
        </w:rPr>
        <w:t xml:space="preserve">IV. </w:t>
      </w:r>
      <w:bookmarkStart w:id="5" w:name="IASVA_Analysis"/>
      <w:r>
        <w:rPr>
          <w:b/>
          <w:sz w:val="32"/>
          <w:szCs w:val="32"/>
        </w:rPr>
        <w:t>IA-SVA Analysis</w:t>
      </w:r>
      <w:bookmarkEnd w:id="5"/>
    </w:p>
    <w:p w14:paraId="72323192" w14:textId="77777777" w:rsidR="003A6A83" w:rsidRDefault="003A6A83" w:rsidP="003A6A83">
      <w:pPr>
        <w:rPr>
          <w:b/>
          <w:sz w:val="32"/>
          <w:szCs w:val="32"/>
        </w:rPr>
      </w:pPr>
    </w:p>
    <w:p w14:paraId="35533D90" w14:textId="4AFD32C1" w:rsidR="0083669E" w:rsidRDefault="006452AD" w:rsidP="0083669E">
      <w:pPr>
        <w:rPr>
          <w:rFonts w:eastAsia="Times New Roman"/>
          <w:shd w:val="clear" w:color="auto" w:fill="FFFFFF"/>
        </w:rPr>
      </w:pPr>
      <w:r>
        <w:t xml:space="preserve">The fourth step involves adjusting a final parameter prior to running the IA-SVA algorithm. </w:t>
      </w:r>
      <w:r w:rsidR="0083669E">
        <w:t xml:space="preserve">This parameter “%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47EAE57A" w14:textId="45BBB8F8" w:rsidR="00A52ED1" w:rsidRPr="00E52B4A" w:rsidRDefault="00A52ED1" w:rsidP="0083669E">
      <w:pPr>
        <w:rPr>
          <w:rFonts w:eastAsia="Times New Roman"/>
        </w:rPr>
      </w:pPr>
      <w:r>
        <w:rPr>
          <w:rFonts w:eastAsia="Times New Roman"/>
          <w:shd w:val="clear" w:color="auto" w:fill="FFFFFF"/>
        </w:rPr>
        <w:t>Here, the user can specify a percent as a positive integer. Following this, click the blue “Run Analysis” button.</w:t>
      </w:r>
    </w:p>
    <w:p w14:paraId="7D6D0425" w14:textId="77777777" w:rsidR="006452AD" w:rsidRDefault="006452AD" w:rsidP="003A6A83">
      <w:pPr>
        <w:rPr>
          <w:b/>
          <w:sz w:val="32"/>
          <w:szCs w:val="32"/>
        </w:rPr>
      </w:pPr>
    </w:p>
    <w:p w14:paraId="081AD42A" w14:textId="0A2EB74A" w:rsidR="006452AD" w:rsidRDefault="006452AD" w:rsidP="003A6A83">
      <w:pPr>
        <w:rPr>
          <w:b/>
          <w:sz w:val="32"/>
          <w:szCs w:val="32"/>
        </w:rPr>
      </w:pPr>
      <w:r>
        <w:rPr>
          <w:b/>
          <w:noProof/>
          <w:sz w:val="32"/>
          <w:szCs w:val="32"/>
        </w:rPr>
        <w:drawing>
          <wp:inline distT="0" distB="0" distL="0" distR="0" wp14:anchorId="47A36B1F" wp14:editId="1B28E039">
            <wp:extent cx="2877820" cy="221361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820" cy="2213610"/>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05879176" w14:textId="77777777" w:rsidR="00BA17F7" w:rsidRDefault="00BA17F7" w:rsidP="003A6A83">
      <w:pPr>
        <w:rPr>
          <w:b/>
          <w:sz w:val="32"/>
          <w:szCs w:val="32"/>
        </w:rPr>
      </w:pPr>
    </w:p>
    <w:p w14:paraId="68C36908" w14:textId="77777777" w:rsidR="003A6A83" w:rsidRPr="003A6A83" w:rsidRDefault="003A6A83" w:rsidP="003A6A83">
      <w:pPr>
        <w:rPr>
          <w:b/>
          <w:sz w:val="32"/>
          <w:szCs w:val="32"/>
        </w:rPr>
      </w:pP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6" w:name="Data_QC"/>
      <w:r>
        <w:rPr>
          <w:b/>
          <w:sz w:val="32"/>
          <w:szCs w:val="32"/>
        </w:rPr>
        <w:t>Data/QC</w:t>
      </w:r>
      <w:bookmarkEnd w:id="6"/>
    </w:p>
    <w:p w14:paraId="3AC10316" w14:textId="77777777" w:rsidR="003825B5" w:rsidRDefault="003825B5" w:rsidP="003874A6"/>
    <w:p w14:paraId="6BEE54FC" w14:textId="74452B70" w:rsidR="00B2583C" w:rsidRDefault="00B2583C" w:rsidP="003874A6">
      <w:r>
        <w:t>Once the IA-SVA algorithm finishes running, navigate over to the tabbed set of panels near the top right of the page. The “Data/QC” panel should now display information about your input gene/ADT dataset. For example:</w:t>
      </w:r>
    </w:p>
    <w:p w14:paraId="6C64DB7D" w14:textId="77777777" w:rsidR="00B2583C" w:rsidRDefault="00B2583C" w:rsidP="003874A6"/>
    <w:p w14:paraId="1CA07095" w14:textId="712B9F25" w:rsidR="00B2583C" w:rsidRDefault="00B2583C" w:rsidP="003874A6">
      <w:r>
        <w:rPr>
          <w:noProof/>
        </w:rPr>
        <w:drawing>
          <wp:inline distT="0" distB="0" distL="0" distR="0" wp14:anchorId="5BC3C2D8" wp14:editId="61DF189D">
            <wp:extent cx="5486400" cy="893754"/>
            <wp:effectExtent l="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93754"/>
                    </a:xfrm>
                    <a:prstGeom prst="rect">
                      <a:avLst/>
                    </a:prstGeom>
                    <a:noFill/>
                    <a:ln>
                      <a:noFill/>
                    </a:ln>
                  </pic:spPr>
                </pic:pic>
              </a:graphicData>
            </a:graphic>
          </wp:inline>
        </w:drawing>
      </w:r>
    </w:p>
    <w:p w14:paraId="7F4658DB" w14:textId="77777777" w:rsidR="00B2583C" w:rsidRDefault="00B2583C" w:rsidP="003874A6"/>
    <w:p w14:paraId="48CBC484" w14:textId="1CA962CB" w:rsidR="00B2583C" w:rsidRDefault="00B2583C" w:rsidP="003874A6">
      <w:r>
        <w:t>The output message will</w:t>
      </w:r>
      <w:r w:rsidR="00124A64">
        <w:t xml:space="preserve"> tell the user how many genes and samples were considered in the IA-SVA analysis. In this test case, 267 genes and 200 samples were provided as input. Additionally, this output message indicates the number of surrogate variables (in this case, 19) that were identified in your analysis.</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7" w:name="Surrogate_Variables"/>
      <w:r>
        <w:rPr>
          <w:b/>
          <w:sz w:val="32"/>
          <w:szCs w:val="32"/>
        </w:rPr>
        <w:t>Surrogate Variables</w:t>
      </w:r>
      <w:bookmarkEnd w:id="7"/>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7D8C3703" w14:textId="44EEB9B2" w:rsidR="00790688" w:rsidRDefault="00790688" w:rsidP="003874A6">
      <w:r>
        <w:rPr>
          <w:noProof/>
        </w:rPr>
        <w:drawing>
          <wp:inline distT="0" distB="0" distL="0" distR="0" wp14:anchorId="3B26D361" wp14:editId="58B86910">
            <wp:extent cx="5486400" cy="3723387"/>
            <wp:effectExtent l="0" t="0" r="0" b="10795"/>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723387"/>
                    </a:xfrm>
                    <a:prstGeom prst="rect">
                      <a:avLst/>
                    </a:prstGeom>
                    <a:noFill/>
                    <a:ln>
                      <a:noFill/>
                    </a:ln>
                  </pic:spPr>
                </pic:pic>
              </a:graphicData>
            </a:graphic>
          </wp:inline>
        </w:drawing>
      </w:r>
    </w:p>
    <w:p w14:paraId="35A376A3" w14:textId="77777777" w:rsidR="00790688" w:rsidRDefault="00790688" w:rsidP="003874A6"/>
    <w:p w14:paraId="5B0B0D4D" w14:textId="01EF876E" w:rsidR="00790688" w:rsidRDefault="00790688" w:rsidP="003874A6">
      <w:r>
        <w:t xml:space="preserve">The plot on the bottom left, contains a circular plot depicting the correlation between each SV and all Known Factors provided in the analysis. </w:t>
      </w:r>
      <w:r w:rsidR="00D978FF">
        <w:t xml:space="preserve">The plot on the bottom right </w:t>
      </w:r>
      <w:r w:rsidR="00CA7CB5">
        <w:t>shows pairwise scatter plots of each surrogate variable identified (19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7049019A" w14:textId="77777777" w:rsidR="00213AFE" w:rsidRDefault="00213AFE" w:rsidP="003874A6"/>
    <w:p w14:paraId="3BCF65C2" w14:textId="46C268D6" w:rsidR="00213AFE" w:rsidRDefault="00213AFE" w:rsidP="003874A6">
      <w:r>
        <w:t>Which will re-display the two plots, this time only visualizing SVs 1 through 5. The updated plots in this example will look like this:</w:t>
      </w:r>
    </w:p>
    <w:p w14:paraId="14E8EC6A" w14:textId="7360B0B9" w:rsidR="00213AFE" w:rsidRDefault="00213AFE" w:rsidP="003874A6">
      <w:r>
        <w:rPr>
          <w:noProof/>
        </w:rPr>
        <w:drawing>
          <wp:inline distT="0" distB="0" distL="0" distR="0" wp14:anchorId="58A5435D" wp14:editId="43F729E3">
            <wp:extent cx="5486400" cy="2391803"/>
            <wp:effectExtent l="0" t="0" r="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391803"/>
                    </a:xfrm>
                    <a:prstGeom prst="rect">
                      <a:avLst/>
                    </a:prstGeom>
                    <a:noFill/>
                    <a:ln>
                      <a:noFill/>
                    </a:ln>
                  </pic:spPr>
                </pic:pic>
              </a:graphicData>
            </a:graphic>
          </wp:inline>
        </w:drawing>
      </w:r>
    </w:p>
    <w:p w14:paraId="7C0EC6AC" w14:textId="77777777" w:rsidR="00213AFE" w:rsidRDefault="00213AFE" w:rsidP="003874A6"/>
    <w:p w14:paraId="5DE8B330" w14:textId="1721E982" w:rsidR="00213AFE" w:rsidRDefault="0089532F" w:rsidP="003874A6">
      <w:r>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1CA37324" w:rsidR="0089532F" w:rsidRDefault="0089532F" w:rsidP="003874A6">
      <w:r>
        <w:rPr>
          <w:noProof/>
        </w:rPr>
        <w:drawing>
          <wp:inline distT="0" distB="0" distL="0" distR="0" wp14:anchorId="0B2439A6" wp14:editId="4AE05ED8">
            <wp:extent cx="2666365" cy="1819275"/>
            <wp:effectExtent l="0" t="0" r="635" b="952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6365" cy="1819275"/>
                    </a:xfrm>
                    <a:prstGeom prst="rect">
                      <a:avLst/>
                    </a:prstGeom>
                    <a:noFill/>
                    <a:ln>
                      <a:noFill/>
                    </a:ln>
                  </pic:spPr>
                </pic:pic>
              </a:graphicData>
            </a:graphic>
          </wp:inline>
        </w:drawing>
      </w:r>
    </w:p>
    <w:p w14:paraId="78FC7104" w14:textId="77777777" w:rsidR="00F20336" w:rsidRDefault="00F20336" w:rsidP="003874A6"/>
    <w:p w14:paraId="0788AD7A" w14:textId="366E5025" w:rsidR="00F20336" w:rsidRDefault="00F20336" w:rsidP="003874A6">
      <w:r>
        <w:t>In the example below, the cells/samples are colored by the “stim” variable provided in the metadata file:</w:t>
      </w:r>
    </w:p>
    <w:p w14:paraId="0B0E15FD" w14:textId="6CFADFAF" w:rsidR="00F20336" w:rsidRDefault="00F20336" w:rsidP="003874A6">
      <w:r>
        <w:rPr>
          <w:noProof/>
        </w:rPr>
        <w:drawing>
          <wp:inline distT="0" distB="0" distL="0" distR="0" wp14:anchorId="24510B97" wp14:editId="5097D25E">
            <wp:extent cx="5486400" cy="5118265"/>
            <wp:effectExtent l="0" t="0" r="0" b="1270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118265"/>
                    </a:xfrm>
                    <a:prstGeom prst="rect">
                      <a:avLst/>
                    </a:prstGeom>
                    <a:noFill/>
                    <a:ln>
                      <a:noFill/>
                    </a:ln>
                  </pic:spPr>
                </pic:pic>
              </a:graphicData>
            </a:graphic>
          </wp:inline>
        </w:drawing>
      </w:r>
    </w:p>
    <w:p w14:paraId="64B00EB2" w14:textId="520A85DC" w:rsidR="002D6923" w:rsidRDefault="002D6923" w:rsidP="003874A6">
      <w:r>
        <w:t>After plotting this data, users may also download PDF file versions by clicking the buttons:</w:t>
      </w:r>
    </w:p>
    <w:p w14:paraId="5130A3D8" w14:textId="77777777" w:rsidR="002D6923" w:rsidRDefault="002D6923" w:rsidP="003874A6"/>
    <w:p w14:paraId="78BE3471" w14:textId="27F9EFEF" w:rsidR="002D6923" w:rsidRDefault="002D6923" w:rsidP="003874A6">
      <w:r>
        <w:rPr>
          <w:noProof/>
        </w:rPr>
        <w:drawing>
          <wp:inline distT="0" distB="0" distL="0" distR="0" wp14:anchorId="1224F102" wp14:editId="4C8D833D">
            <wp:extent cx="5486400" cy="457931"/>
            <wp:effectExtent l="0" t="0" r="0" b="0"/>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7931"/>
                    </a:xfrm>
                    <a:prstGeom prst="rect">
                      <a:avLst/>
                    </a:prstGeom>
                    <a:noFill/>
                    <a:ln>
                      <a:noFill/>
                    </a:ln>
                  </pic:spPr>
                </pic:pic>
              </a:graphicData>
            </a:graphic>
          </wp:inline>
        </w:drawing>
      </w:r>
    </w:p>
    <w:p w14:paraId="6A1E28CE" w14:textId="77777777" w:rsidR="00491A98" w:rsidRDefault="00491A98" w:rsidP="003874A6"/>
    <w:p w14:paraId="22106192" w14:textId="72373D6C" w:rsidR="00491A98" w:rsidRDefault="00491A98" w:rsidP="003874A6">
      <w:r>
        <w:t>Where the “Download Correlation Plot” corresponds to the circular plot in the bottom left of the page and the “All Surrogate Variables Plot” corresponds to the pairwise scatter plot in the bottom right of the page.</w:t>
      </w:r>
    </w:p>
    <w:p w14:paraId="66C6945D" w14:textId="77777777" w:rsidR="00F846AF" w:rsidRDefault="00F846AF" w:rsidP="003874A6"/>
    <w:p w14:paraId="6B36A081" w14:textId="77777777" w:rsidR="00F846AF" w:rsidRDefault="00F846AF" w:rsidP="003874A6"/>
    <w:p w14:paraId="29B86435" w14:textId="53E47615" w:rsidR="00F846AF" w:rsidRDefault="00274A15" w:rsidP="003874A6">
      <w:r>
        <w:t>Next, navigate to the “Pairwise Surrogate Variable” tabbed panel.</w:t>
      </w:r>
    </w:p>
    <w:p w14:paraId="2D0D48C2" w14:textId="77777777" w:rsidR="00950A10" w:rsidRDefault="00950A10" w:rsidP="003874A6"/>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8" w:name="Pairwise_Surrogate_Variable"/>
      <w:r w:rsidRPr="00950A10">
        <w:rPr>
          <w:b/>
          <w:sz w:val="32"/>
          <w:szCs w:val="32"/>
        </w:rPr>
        <w:t>Pairwise Surrogate Variable</w:t>
      </w:r>
      <w:bookmarkEnd w:id="8"/>
    </w:p>
    <w:p w14:paraId="457E354F" w14:textId="77777777" w:rsidR="00950A10" w:rsidRPr="00950A10" w:rsidRDefault="00950A10" w:rsidP="003874A6"/>
    <w:p w14:paraId="221973E3" w14:textId="4FCA5F50" w:rsidR="00950A10" w:rsidRDefault="009E56FF" w:rsidP="003874A6">
      <w:r>
        <w:t>Upon clicking this tab, the user should see the following interactive plot:</w:t>
      </w:r>
    </w:p>
    <w:p w14:paraId="2C0BB9C9" w14:textId="77777777" w:rsidR="009E56FF" w:rsidRDefault="009E56FF" w:rsidP="003874A6"/>
    <w:p w14:paraId="104EB81F" w14:textId="1E0BEFA8" w:rsidR="009E56FF" w:rsidRDefault="009E56FF" w:rsidP="003874A6">
      <w:r>
        <w:rPr>
          <w:noProof/>
        </w:rPr>
        <w:drawing>
          <wp:inline distT="0" distB="0" distL="0" distR="0" wp14:anchorId="5BB19C91" wp14:editId="623BD29D">
            <wp:extent cx="5486400" cy="3328713"/>
            <wp:effectExtent l="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28713"/>
                    </a:xfrm>
                    <a:prstGeom prst="rect">
                      <a:avLst/>
                    </a:prstGeom>
                    <a:noFill/>
                    <a:ln>
                      <a:noFill/>
                    </a:ln>
                  </pic:spPr>
                </pic:pic>
              </a:graphicData>
            </a:graphic>
          </wp:inline>
        </w:drawing>
      </w:r>
    </w:p>
    <w:p w14:paraId="58E32B4F" w14:textId="74B891EA" w:rsidR="009E56FF" w:rsidRDefault="009E56FF" w:rsidP="003874A6"/>
    <w:p w14:paraId="3F5D6B9E" w14:textId="69562C46" w:rsidR="00D473F1" w:rsidRDefault="003D021E" w:rsidP="003874A6">
      <w:r>
        <w:t>Within this tab, users may visualize two surrogate variables in a 2-D scatterplot. Which SVs that are chosen may be chosen by using the drop down menus:</w:t>
      </w:r>
    </w:p>
    <w:p w14:paraId="08135951" w14:textId="6E9AD204" w:rsidR="003D021E" w:rsidRDefault="00833F59" w:rsidP="003874A6">
      <w:r>
        <w:rPr>
          <w:noProof/>
        </w:rPr>
        <w:drawing>
          <wp:inline distT="0" distB="0" distL="0" distR="0" wp14:anchorId="644AE547" wp14:editId="4FD30CB1">
            <wp:extent cx="2916555" cy="1588135"/>
            <wp:effectExtent l="0" t="0" r="4445" b="12065"/>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6555" cy="1588135"/>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45953CED" w:rsidR="00833F59" w:rsidRDefault="00833F59" w:rsidP="003874A6">
      <w:r>
        <w:rPr>
          <w:noProof/>
        </w:rPr>
        <w:drawing>
          <wp:inline distT="0" distB="0" distL="0" distR="0" wp14:anchorId="315E7BB8" wp14:editId="0CA8DF90">
            <wp:extent cx="2916555" cy="953135"/>
            <wp:effectExtent l="0" t="0" r="4445" b="12065"/>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6555" cy="953135"/>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67F6F9AB" w:rsidR="00833F59" w:rsidRDefault="00833F59" w:rsidP="003874A6">
      <w:r>
        <w:rPr>
          <w:noProof/>
        </w:rPr>
        <w:drawing>
          <wp:inline distT="0" distB="0" distL="0" distR="0" wp14:anchorId="01A5912C" wp14:editId="086063D4">
            <wp:extent cx="5486400" cy="5562146"/>
            <wp:effectExtent l="0" t="0" r="0" b="635"/>
            <wp:docPr id="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562146"/>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9" w:name="Identify_Marker_Genes"/>
      <w:r>
        <w:rPr>
          <w:b/>
          <w:sz w:val="32"/>
          <w:szCs w:val="32"/>
        </w:rPr>
        <w:t>Identify Marker Genes</w:t>
      </w:r>
      <w:bookmarkEnd w:id="9"/>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15248468" w:rsidR="000101A8" w:rsidRDefault="000101A8" w:rsidP="003874A6">
      <w:r>
        <w:rPr>
          <w:noProof/>
        </w:rPr>
        <w:drawing>
          <wp:inline distT="0" distB="0" distL="0" distR="0" wp14:anchorId="24119337" wp14:editId="0A44DF2F">
            <wp:extent cx="5486400" cy="4710113"/>
            <wp:effectExtent l="0" t="0" r="0"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710113"/>
                    </a:xfrm>
                    <a:prstGeom prst="rect">
                      <a:avLst/>
                    </a:prstGeom>
                    <a:noFill/>
                    <a:ln>
                      <a:noFill/>
                    </a:ln>
                  </pic:spPr>
                </pic:pic>
              </a:graphicData>
            </a:graphic>
          </wp:inline>
        </w:drawing>
      </w:r>
    </w:p>
    <w:p w14:paraId="0F32C467" w14:textId="77777777" w:rsidR="000101A8" w:rsidRDefault="000101A8" w:rsidP="003874A6"/>
    <w:p w14:paraId="29A54AFB" w14:textId="0A7382C8" w:rsidR="000101A8" w:rsidRDefault="000F660B" w:rsidP="003874A6">
      <w:r>
        <w:t xml:space="preserve">First, the user must indicate which surrogate variables in “Choose SVs” they wish to find marker genes for. Here, users may choose multiple or single surrogate variables. Second, the user must specify which multiple hypothesis testing correction method should be applied. By default, BH (Benjamini – Hochberg procedure) is chosen, but users may also choose “bonferroni” or “none”. Third, the users must provide an adjusted p-value cutoff (default is 0.05) between 0 and 1. Fourth, the user must provide an R-squared cutoff (default 0.3) between 0 and 1 which is used to identify genes correlated with each SV of interest. </w:t>
      </w:r>
      <w:r w:rsidR="00E437A9">
        <w:t>Lastly, the user must specify which known factor information should be included in the final visualization of marker genes.</w:t>
      </w:r>
    </w:p>
    <w:p w14:paraId="0C6CEBFB" w14:textId="77777777" w:rsidR="00E437A9" w:rsidRDefault="00E437A9" w:rsidP="003874A6"/>
    <w:p w14:paraId="49A5ADF0" w14:textId="600F732E" w:rsidR="00E437A9" w:rsidRDefault="00E437A9" w:rsidP="003874A6">
      <w:r>
        <w:t>In the previous example, I notice that the SV2 surrogate variable is highly correlated with the “stim” known factor:</w:t>
      </w:r>
    </w:p>
    <w:p w14:paraId="0A2D0D37" w14:textId="6DFA903C" w:rsidR="00E437A9" w:rsidRPr="00CA491E" w:rsidRDefault="00E437A9" w:rsidP="003874A6">
      <w:r>
        <w:rPr>
          <w:noProof/>
        </w:rPr>
        <w:drawing>
          <wp:inline distT="0" distB="0" distL="0" distR="0" wp14:anchorId="55E1F870" wp14:editId="7EEA89D7">
            <wp:extent cx="5486400" cy="2316994"/>
            <wp:effectExtent l="0" t="0" r="0" b="0"/>
            <wp:docPr id="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316994"/>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090EB101" w:rsidR="00E437A9" w:rsidRDefault="00E437A9" w:rsidP="003874A6">
      <w:r>
        <w:rPr>
          <w:noProof/>
        </w:rPr>
        <w:drawing>
          <wp:inline distT="0" distB="0" distL="0" distR="0" wp14:anchorId="746FFE99" wp14:editId="420E6320">
            <wp:extent cx="5486400" cy="4589264"/>
            <wp:effectExtent l="0" t="0" r="0" b="8255"/>
            <wp:docPr id="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589264"/>
                    </a:xfrm>
                    <a:prstGeom prst="rect">
                      <a:avLst/>
                    </a:prstGeom>
                    <a:noFill/>
                    <a:ln>
                      <a:noFill/>
                    </a:ln>
                  </pic:spPr>
                </pic:pic>
              </a:graphicData>
            </a:graphic>
          </wp:inline>
        </w:drawing>
      </w:r>
    </w:p>
    <w:p w14:paraId="3CFDA921" w14:textId="77777777" w:rsidR="00E437A9" w:rsidRDefault="00E437A9" w:rsidP="003874A6"/>
    <w:p w14:paraId="6A4E1D0B" w14:textId="77777777" w:rsidR="00E437A9" w:rsidRDefault="00E437A9" w:rsidP="003874A6"/>
    <w:p w14:paraId="3C84CEEE" w14:textId="77777777" w:rsidR="00E437A9" w:rsidRDefault="00E437A9" w:rsidP="003874A6"/>
    <w:p w14:paraId="49551E71" w14:textId="0B767AE6" w:rsidR="009276EA" w:rsidRDefault="009276EA" w:rsidP="003874A6">
      <w:r>
        <w:t>The resulting heatmap image is produced displaying the expression levels of each marker gene for each sample:</w:t>
      </w:r>
    </w:p>
    <w:p w14:paraId="617DBC60" w14:textId="77777777" w:rsidR="009276EA" w:rsidRDefault="009276EA" w:rsidP="003874A6"/>
    <w:p w14:paraId="253FA636" w14:textId="4E03F369" w:rsidR="009276EA" w:rsidRDefault="009276EA" w:rsidP="003874A6">
      <w:r>
        <w:rPr>
          <w:noProof/>
        </w:rPr>
        <w:drawing>
          <wp:inline distT="0" distB="0" distL="0" distR="0" wp14:anchorId="1605593F" wp14:editId="15EBA06F">
            <wp:extent cx="5486400" cy="5652735"/>
            <wp:effectExtent l="0" t="0" r="0" b="12065"/>
            <wp:docPr id="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652735"/>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007B84DC" w14:textId="5673A7FC" w:rsidR="003B3B99" w:rsidRDefault="00977700" w:rsidP="003874A6">
      <w:r>
        <w:t>Next, navigate to the “Marker Genes Table” panel.</w:t>
      </w:r>
    </w:p>
    <w:p w14:paraId="1DA49655" w14:textId="77777777" w:rsidR="003B3B99" w:rsidRDefault="003B3B99" w:rsidP="003874A6"/>
    <w:p w14:paraId="4E280D60" w14:textId="77777777" w:rsidR="003B3B99" w:rsidRDefault="003B3B99" w:rsidP="003874A6"/>
    <w:p w14:paraId="719600B0" w14:textId="15B3E5BB" w:rsidR="003B3B99" w:rsidRDefault="00977700" w:rsidP="003874A6">
      <w:pPr>
        <w:rPr>
          <w:b/>
          <w:sz w:val="32"/>
          <w:szCs w:val="32"/>
        </w:rPr>
      </w:pPr>
      <w:r>
        <w:rPr>
          <w:b/>
          <w:sz w:val="32"/>
          <w:szCs w:val="32"/>
        </w:rPr>
        <w:t xml:space="preserve">IX. </w:t>
      </w:r>
      <w:bookmarkStart w:id="10" w:name="Marker_Genes_Table"/>
      <w:r>
        <w:rPr>
          <w:b/>
          <w:sz w:val="32"/>
          <w:szCs w:val="32"/>
        </w:rPr>
        <w:t>Marker Genes Table</w:t>
      </w:r>
      <w:bookmarkEnd w:id="10"/>
    </w:p>
    <w:p w14:paraId="6032BE1A" w14:textId="77777777" w:rsidR="00977700" w:rsidRDefault="00977700" w:rsidP="003874A6"/>
    <w:p w14:paraId="69D11594" w14:textId="0D8D1E68" w:rsidR="00977700" w:rsidRDefault="00977700" w:rsidP="003874A6">
      <w:r>
        <w:t>This tabbed panel will display an interactive table of the marker genes identified in the previous tabbed panel “Identify Marker Genes”. The table will look like this:</w:t>
      </w:r>
    </w:p>
    <w:p w14:paraId="263655FA" w14:textId="77777777" w:rsidR="00977700" w:rsidRDefault="00977700" w:rsidP="003874A6"/>
    <w:p w14:paraId="79D4334D" w14:textId="73483F62" w:rsidR="00977700" w:rsidRDefault="00977700" w:rsidP="003874A6">
      <w:r>
        <w:rPr>
          <w:noProof/>
        </w:rPr>
        <w:drawing>
          <wp:inline distT="0" distB="0" distL="0" distR="0" wp14:anchorId="39BCA2D7" wp14:editId="3449A5C4">
            <wp:extent cx="5486400" cy="2633542"/>
            <wp:effectExtent l="0" t="0" r="0" b="8255"/>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633542"/>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0AC42111" w:rsidR="00E6678A" w:rsidRDefault="00946E88">
      <w:r>
        <w:t>Next, navigate to the “Gene Enrichment Analysis” tabbed panel.</w:t>
      </w:r>
    </w:p>
    <w:p w14:paraId="4BB6E85C" w14:textId="42FCF959" w:rsidR="00EA6BAB" w:rsidRDefault="00EA6BAB">
      <w:r>
        <w:br w:type="page"/>
      </w:r>
    </w:p>
    <w:p w14:paraId="7DF6A2B2" w14:textId="352E121B" w:rsidR="00EA6BAB" w:rsidRPr="00EA6BAB" w:rsidRDefault="00EA6BAB">
      <w:pPr>
        <w:rPr>
          <w:b/>
          <w:sz w:val="32"/>
          <w:szCs w:val="32"/>
        </w:rPr>
      </w:pPr>
      <w:r w:rsidRPr="00EA6BAB">
        <w:rPr>
          <w:b/>
          <w:sz w:val="32"/>
          <w:szCs w:val="32"/>
        </w:rPr>
        <w:t xml:space="preserve">X. </w:t>
      </w:r>
      <w:bookmarkStart w:id="11" w:name="Gene_Enrichment_Analysis"/>
      <w:r w:rsidRPr="00EA6BAB">
        <w:rPr>
          <w:b/>
          <w:sz w:val="32"/>
          <w:szCs w:val="32"/>
        </w:rPr>
        <w:t>Gene Enrichment Analysis</w:t>
      </w:r>
      <w:bookmarkEnd w:id="11"/>
    </w:p>
    <w:p w14:paraId="79CC7EEC" w14:textId="77777777" w:rsidR="00EA6BAB" w:rsidRDefault="00EA6BAB"/>
    <w:p w14:paraId="4F73BCEF" w14:textId="1FB3A76C" w:rsidR="00EA6BAB" w:rsidRDefault="00EA6BAB">
      <w:r>
        <w:t xml:space="preserve">In this tabbed panel, users can identify the Gene Ontology (GO) terms and pathways (KEGG, etc) that are associated with the marker genes identified in the previous tabs “Identify Marker Genes” and “Marker Genes Table”. </w:t>
      </w:r>
    </w:p>
    <w:p w14:paraId="39D50B28" w14:textId="77777777" w:rsidR="00583C08" w:rsidRDefault="00583C08"/>
    <w:p w14:paraId="3D19CA7C" w14:textId="6E995266" w:rsidR="00583C08" w:rsidRDefault="00583C08">
      <w:r>
        <w:t>From the drop-down menu, users may specify the pathway/database (by default, Gene Ontology Biological Process is selected):</w:t>
      </w:r>
    </w:p>
    <w:p w14:paraId="0AFB131C" w14:textId="77777777" w:rsidR="00583C08" w:rsidRDefault="00583C08"/>
    <w:p w14:paraId="2179BF6E" w14:textId="1A687193" w:rsidR="00583C08" w:rsidRPr="00EA6BAB" w:rsidRDefault="00583C08">
      <w:r>
        <w:rPr>
          <w:noProof/>
        </w:rPr>
        <w:drawing>
          <wp:inline distT="0" distB="0" distL="0" distR="0" wp14:anchorId="454F281F" wp14:editId="6F7174C3">
            <wp:extent cx="5486400" cy="853008"/>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853008"/>
                    </a:xfrm>
                    <a:prstGeom prst="rect">
                      <a:avLst/>
                    </a:prstGeom>
                    <a:noFill/>
                    <a:ln>
                      <a:noFill/>
                    </a:ln>
                  </pic:spPr>
                </pic:pic>
              </a:graphicData>
            </a:graphic>
          </wp:inline>
        </w:drawing>
      </w:r>
    </w:p>
    <w:p w14:paraId="1F60DDED" w14:textId="77777777" w:rsidR="00C22142" w:rsidRDefault="00C22142" w:rsidP="003874A6"/>
    <w:p w14:paraId="5D18DCFB" w14:textId="662138BF" w:rsidR="00583C08" w:rsidRDefault="0083536E" w:rsidP="003874A6">
      <w:r>
        <w:t>Other pathway/database options include:</w:t>
      </w:r>
    </w:p>
    <w:p w14:paraId="78797242" w14:textId="63FE0B90" w:rsidR="0083536E" w:rsidRDefault="0083536E" w:rsidP="0083536E">
      <w:pPr>
        <w:pStyle w:val="ListParagraph"/>
        <w:numPr>
          <w:ilvl w:val="0"/>
          <w:numId w:val="29"/>
        </w:numPr>
      </w:pPr>
      <w:r>
        <w:t>Gene Ontology Cellular Component</w:t>
      </w:r>
    </w:p>
    <w:p w14:paraId="0E8F71BA" w14:textId="04066580" w:rsidR="0083536E" w:rsidRDefault="0083536E" w:rsidP="0083536E">
      <w:pPr>
        <w:pStyle w:val="ListParagraph"/>
        <w:numPr>
          <w:ilvl w:val="0"/>
          <w:numId w:val="29"/>
        </w:numPr>
      </w:pPr>
      <w:r>
        <w:t>Gene Ontology Molecular Function</w:t>
      </w:r>
    </w:p>
    <w:p w14:paraId="6E47D07A" w14:textId="736CBBDD" w:rsidR="0083536E" w:rsidRDefault="0083536E" w:rsidP="0083536E">
      <w:pPr>
        <w:pStyle w:val="ListParagraph"/>
        <w:numPr>
          <w:ilvl w:val="0"/>
          <w:numId w:val="29"/>
        </w:numPr>
      </w:pPr>
      <w:r>
        <w:t>Kyoto Encyclopedia of Genes and Genomes (KEGG)</w:t>
      </w:r>
    </w:p>
    <w:p w14:paraId="27EFC383" w14:textId="1FC58147" w:rsidR="0083536E" w:rsidRPr="00977700" w:rsidRDefault="0083536E" w:rsidP="0083536E">
      <w:pPr>
        <w:pStyle w:val="ListParagraph"/>
        <w:numPr>
          <w:ilvl w:val="0"/>
          <w:numId w:val="29"/>
        </w:numPr>
      </w:pPr>
      <w:r>
        <w:t>Homo sapiens PBMC Cell Specific Modules</w:t>
      </w:r>
    </w:p>
    <w:p w14:paraId="2D6FF1EA" w14:textId="6E814650" w:rsidR="0083536E" w:rsidRDefault="0083536E" w:rsidP="0083536E">
      <w:pPr>
        <w:pStyle w:val="ListParagraph"/>
        <w:numPr>
          <w:ilvl w:val="1"/>
          <w:numId w:val="29"/>
        </w:numPr>
      </w:pPr>
      <w:r>
        <w:t>This contains a set of human peripheral blood mononuclear cell (PBMC) specific gene lists as determined from public 10X Genomics single cell RNA-seq data.</w:t>
      </w:r>
    </w:p>
    <w:p w14:paraId="76FD4A72" w14:textId="1B16A4C9" w:rsidR="0083536E" w:rsidRDefault="0083536E" w:rsidP="0083536E">
      <w:pPr>
        <w:pStyle w:val="ListParagraph"/>
        <w:numPr>
          <w:ilvl w:val="0"/>
          <w:numId w:val="29"/>
        </w:numPr>
      </w:pPr>
      <w:r>
        <w:t>Homo sapiens Immune Modules</w:t>
      </w:r>
    </w:p>
    <w:p w14:paraId="0C1EF7D7" w14:textId="2FD263D4" w:rsidR="0083536E" w:rsidRDefault="006A50E3" w:rsidP="0083536E">
      <w:pPr>
        <w:pStyle w:val="ListParagraph"/>
        <w:numPr>
          <w:ilvl w:val="1"/>
          <w:numId w:val="29"/>
        </w:numPr>
      </w:pPr>
      <w:r>
        <w:t xml:space="preserve">This contains </w:t>
      </w:r>
      <w:r w:rsidRPr="006A50E3">
        <w:t>blood transcriptional modules described by Chaussabel et al. (2008) and by Li et al. (2014) as well as metabolic profiling clusters from Weiner et al. (2012)</w:t>
      </w:r>
      <w:r>
        <w:t xml:space="preserve">, obtained from the “tmod” R package: </w:t>
      </w:r>
      <w:hyperlink r:id="rId47" w:history="1">
        <w:r w:rsidRPr="005F12AD">
          <w:rPr>
            <w:rStyle w:val="Hyperlink"/>
          </w:rPr>
          <w:t>https://cran.r-project.org/web/packages/tmod/vignettes/tmod.pdf</w:t>
        </w:r>
      </w:hyperlink>
      <w:r>
        <w:t>.</w:t>
      </w:r>
    </w:p>
    <w:p w14:paraId="4755DEA1" w14:textId="77777777" w:rsidR="006A50E3" w:rsidRDefault="006A50E3" w:rsidP="006A50E3"/>
    <w:p w14:paraId="5B02160F" w14:textId="58374C2C" w:rsidR="006A50E3" w:rsidRDefault="008E1160" w:rsidP="006A50E3">
      <w:r>
        <w:t>Next, the user should designate the “Species” type of their input data (by default: Homo sapiens is selected):</w:t>
      </w:r>
    </w:p>
    <w:p w14:paraId="2D48AD91" w14:textId="77777777" w:rsidR="008E1160" w:rsidRDefault="008E1160" w:rsidP="006A50E3"/>
    <w:p w14:paraId="5C720C2C" w14:textId="39B4E973" w:rsidR="008E1160" w:rsidRDefault="008E1160" w:rsidP="006A50E3">
      <w:r>
        <w:rPr>
          <w:noProof/>
        </w:rPr>
        <w:drawing>
          <wp:inline distT="0" distB="0" distL="0" distR="0" wp14:anchorId="570EFAD7" wp14:editId="54B83422">
            <wp:extent cx="5062855" cy="103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2855" cy="1039495"/>
                    </a:xfrm>
                    <a:prstGeom prst="rect">
                      <a:avLst/>
                    </a:prstGeom>
                    <a:noFill/>
                    <a:ln>
                      <a:noFill/>
                    </a:ln>
                  </pic:spPr>
                </pic:pic>
              </a:graphicData>
            </a:graphic>
          </wp:inline>
        </w:drawing>
      </w:r>
    </w:p>
    <w:p w14:paraId="6C6CA63C" w14:textId="77777777" w:rsidR="008E1160" w:rsidRDefault="008E1160" w:rsidP="006A50E3"/>
    <w:p w14:paraId="1F323440" w14:textId="1D42D947" w:rsidR="008E1160" w:rsidRDefault="008E1160" w:rsidP="006A50E3">
      <w:r>
        <w:t>Currently, three species are supported:</w:t>
      </w:r>
    </w:p>
    <w:p w14:paraId="640B36D1" w14:textId="7DB39C9F" w:rsidR="008E1160" w:rsidRDefault="008E1160" w:rsidP="008E1160">
      <w:pPr>
        <w:pStyle w:val="ListParagraph"/>
        <w:numPr>
          <w:ilvl w:val="0"/>
          <w:numId w:val="30"/>
        </w:numPr>
      </w:pPr>
      <w:r>
        <w:t>Homo sapiens</w:t>
      </w:r>
    </w:p>
    <w:p w14:paraId="44474875" w14:textId="1FB41171" w:rsidR="008E1160" w:rsidRDefault="008E1160" w:rsidP="008E1160">
      <w:pPr>
        <w:pStyle w:val="ListParagraph"/>
        <w:numPr>
          <w:ilvl w:val="0"/>
          <w:numId w:val="30"/>
        </w:numPr>
      </w:pPr>
      <w:r>
        <w:t>Mus musculus</w:t>
      </w:r>
    </w:p>
    <w:p w14:paraId="6E8C8415" w14:textId="32D02F78" w:rsidR="008E1160" w:rsidRDefault="008E1160" w:rsidP="008E1160">
      <w:pPr>
        <w:pStyle w:val="ListParagraph"/>
        <w:numPr>
          <w:ilvl w:val="0"/>
          <w:numId w:val="30"/>
        </w:numPr>
      </w:pPr>
      <w:r>
        <w:t>Rattus norvegicus</w:t>
      </w:r>
    </w:p>
    <w:p w14:paraId="6C5277F0" w14:textId="77777777" w:rsidR="008E1160" w:rsidRDefault="008E1160" w:rsidP="008E1160"/>
    <w:p w14:paraId="2552F913" w14:textId="52056858" w:rsidR="008E1160" w:rsidRDefault="00641EF1" w:rsidP="008E1160">
      <w:r>
        <w:t>Lastly, before running the gene enrichment analysis, users should specify the multiple hypothesis testing correction method to use (either BH = benjamini and Hochberg procedure, bonferroni, or none) as well as the adjusted p-value cutoff (default set to 0.2).</w:t>
      </w:r>
    </w:p>
    <w:p w14:paraId="3BAC09EC" w14:textId="77777777" w:rsidR="00641EF1" w:rsidRDefault="00641EF1" w:rsidP="008E1160"/>
    <w:p w14:paraId="3480C7FE" w14:textId="6D951C6A" w:rsidR="00641EF1" w:rsidRDefault="00641EF1" w:rsidP="008E1160">
      <w:r>
        <w:rPr>
          <w:noProof/>
        </w:rPr>
        <w:drawing>
          <wp:inline distT="0" distB="0" distL="0" distR="0" wp14:anchorId="722B0214" wp14:editId="4E30F9B3">
            <wp:extent cx="5486400" cy="1538971"/>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38971"/>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6D6B5CEF" w:rsidR="009F5E28" w:rsidRDefault="007634C3" w:rsidP="008E1160">
      <w:r>
        <w:t>After the analysis finishes, the users should see the following plot displaying the top 10 enriched pathways:</w:t>
      </w:r>
    </w:p>
    <w:p w14:paraId="45627690" w14:textId="77777777" w:rsidR="007634C3" w:rsidRDefault="007634C3" w:rsidP="008E1160"/>
    <w:p w14:paraId="4AD928DF" w14:textId="2F7A90C9" w:rsidR="007634C3" w:rsidRDefault="00F71E13" w:rsidP="008E1160">
      <w:r>
        <w:rPr>
          <w:noProof/>
        </w:rPr>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6F7F70D6" w14:textId="74A72A6C" w:rsidR="00F404A9" w:rsidRDefault="00F404A9" w:rsidP="008E1160">
      <w:r>
        <w:t>Next, navigate to the “Gene Enrichment Analysis Table”.</w:t>
      </w:r>
    </w:p>
    <w:p w14:paraId="0A4ADA58" w14:textId="59BCBEAC" w:rsidR="00A44A15" w:rsidRDefault="00A44A15">
      <w:r>
        <w:br w:type="page"/>
      </w:r>
    </w:p>
    <w:p w14:paraId="38EBAE91" w14:textId="2206274A" w:rsidR="00F404A9" w:rsidRPr="00EA7D9E" w:rsidRDefault="00EA7D9E" w:rsidP="008E1160">
      <w:pPr>
        <w:rPr>
          <w:b/>
          <w:sz w:val="32"/>
          <w:szCs w:val="32"/>
        </w:rPr>
      </w:pPr>
      <w:r w:rsidRPr="00EA7D9E">
        <w:rPr>
          <w:b/>
          <w:sz w:val="32"/>
          <w:szCs w:val="32"/>
        </w:rPr>
        <w:t xml:space="preserve">XI. </w:t>
      </w:r>
      <w:bookmarkStart w:id="12" w:name="Gene_Enrichment_Analysis_Table"/>
      <w:r w:rsidRPr="00EA7D9E">
        <w:rPr>
          <w:b/>
          <w:sz w:val="32"/>
          <w:szCs w:val="32"/>
        </w:rPr>
        <w:t>Gene Enrichment Analysis Table</w:t>
      </w:r>
      <w:bookmarkEnd w:id="12"/>
    </w:p>
    <w:p w14:paraId="5904A3A0" w14:textId="77777777" w:rsidR="00EA7D9E" w:rsidRDefault="00EA7D9E" w:rsidP="008E1160"/>
    <w:p w14:paraId="52283238" w14:textId="26400605" w:rsidR="009D1890" w:rsidRDefault="009D1890" w:rsidP="009D1890">
      <w:r>
        <w:t>This tabbed panel will display an interactive table of the pathways/terms identified in the previous tabbed panel “Gene Enrichment Analysis”. The table will look like this:</w:t>
      </w:r>
    </w:p>
    <w:p w14:paraId="6B1B6149" w14:textId="77777777" w:rsidR="009D1890" w:rsidRDefault="009D1890" w:rsidP="009D1890"/>
    <w:p w14:paraId="147030A6" w14:textId="29524E5D" w:rsidR="009D1890" w:rsidRDefault="00E55CDD" w:rsidP="009D1890">
      <w:r>
        <w:rPr>
          <w:noProof/>
        </w:rPr>
        <w:drawing>
          <wp:inline distT="0" distB="0" distL="0" distR="0" wp14:anchorId="5ADFE744" wp14:editId="4DC90D8F">
            <wp:extent cx="5486400" cy="2327897"/>
            <wp:effectExtent l="0" t="0" r="0"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327897"/>
                    </a:xfrm>
                    <a:prstGeom prst="rect">
                      <a:avLst/>
                    </a:prstGeom>
                    <a:noFill/>
                    <a:ln>
                      <a:noFill/>
                    </a:ln>
                  </pic:spPr>
                </pic:pic>
              </a:graphicData>
            </a:graphic>
          </wp:inline>
        </w:drawing>
      </w:r>
    </w:p>
    <w:p w14:paraId="2F06FEFD" w14:textId="77777777" w:rsidR="009D1890" w:rsidRDefault="009D1890" w:rsidP="009D1890"/>
    <w:p w14:paraId="3A70E99B" w14:textId="2424F246" w:rsidR="009D1890" w:rsidRDefault="009D1890" w:rsidP="009D1890">
      <w:r>
        <w:t>Where each entry of the table will contain a pathway term (ID), description, GeneRatio (number of marker genes in the pathway divided by the total genes in the pathway)</w:t>
      </w:r>
      <w:r w:rsidR="003D17AE">
        <w:t>, p-value, adjusted p-value, q-value, and geneID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39046F7A" w14:textId="77777777" w:rsidR="009D1890" w:rsidRDefault="009D1890" w:rsidP="009D1890"/>
    <w:p w14:paraId="7A3562F3" w14:textId="77777777" w:rsidR="009D1890" w:rsidRDefault="009D1890" w:rsidP="009D1890">
      <w:r>
        <w:t xml:space="preserve"> </w:t>
      </w:r>
    </w:p>
    <w:p w14:paraId="6D21F6FD" w14:textId="53F3F1CB" w:rsidR="009D1890" w:rsidRDefault="009D1890" w:rsidP="009D1890">
      <w:r>
        <w:t>Next, navigate to the “</w:t>
      </w:r>
      <w:r w:rsidR="00DC2B07">
        <w:t>Dimension Reduction and Visualization</w:t>
      </w:r>
      <w:r>
        <w:t>” tabbed panel.</w:t>
      </w:r>
    </w:p>
    <w:p w14:paraId="0AD96323" w14:textId="77777777" w:rsidR="00EA7D9E" w:rsidRDefault="00EA7D9E" w:rsidP="008E1160"/>
    <w:p w14:paraId="3668F8C7" w14:textId="77777777" w:rsidR="009D1890" w:rsidRDefault="009D1890" w:rsidP="008E1160"/>
    <w:p w14:paraId="7B88574D" w14:textId="3DC85BF0" w:rsidR="00E943E4" w:rsidRDefault="00E943E4">
      <w:r>
        <w:br w:type="page"/>
      </w:r>
    </w:p>
    <w:p w14:paraId="4A7BCF3E" w14:textId="289CE652" w:rsidR="00A77663" w:rsidRPr="00DA0AA8" w:rsidRDefault="00E943E4" w:rsidP="008E1160">
      <w:pPr>
        <w:rPr>
          <w:b/>
          <w:sz w:val="32"/>
          <w:szCs w:val="32"/>
        </w:rPr>
      </w:pPr>
      <w:r w:rsidRPr="00DA0AA8">
        <w:rPr>
          <w:b/>
          <w:sz w:val="32"/>
          <w:szCs w:val="32"/>
        </w:rPr>
        <w:t xml:space="preserve">XII. </w:t>
      </w:r>
      <w:bookmarkStart w:id="13" w:name="Dimension_Reduction_and_Visualization"/>
      <w:r w:rsidRPr="00DA0AA8">
        <w:rPr>
          <w:b/>
          <w:sz w:val="32"/>
          <w:szCs w:val="32"/>
        </w:rPr>
        <w:t>Dimension Reduction and Visualization</w:t>
      </w:r>
      <w:bookmarkEnd w:id="13"/>
    </w:p>
    <w:p w14:paraId="1018F5DD" w14:textId="77777777" w:rsidR="00E943E4" w:rsidRDefault="00E943E4" w:rsidP="008E1160">
      <w:pPr>
        <w:rPr>
          <w:b/>
        </w:rPr>
      </w:pPr>
    </w:p>
    <w:p w14:paraId="0285874B" w14:textId="61BC24ED" w:rsidR="00E943E4" w:rsidRDefault="00E660A1" w:rsidP="008E1160">
      <w:r>
        <w:t>In this last tabbed panel, users can perform dimension reduction analyses (PCA = principal component analysis, or t-SNE = t-distributed stochastic neighbor embedding)</w:t>
      </w:r>
      <w:r w:rsidR="001C5C26">
        <w:t xml:space="preserve"> on their datasets to better visualize the complex structur</w:t>
      </w:r>
      <w:r w:rsidR="00883B18">
        <w:t>e/biology within their datasets:</w:t>
      </w:r>
    </w:p>
    <w:p w14:paraId="6F9C7EDF" w14:textId="77777777" w:rsidR="00883B18" w:rsidRDefault="00883B18" w:rsidP="008E1160"/>
    <w:p w14:paraId="09E171F1" w14:textId="6FDCD160" w:rsidR="00883B18" w:rsidRDefault="007F7110" w:rsidP="008E1160">
      <w:r>
        <w:rPr>
          <w:noProof/>
        </w:rPr>
        <w:drawing>
          <wp:inline distT="0" distB="0" distL="0" distR="0" wp14:anchorId="2ACC87D7" wp14:editId="7A6B410F">
            <wp:extent cx="5486400" cy="869257"/>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869257"/>
                    </a:xfrm>
                    <a:prstGeom prst="rect">
                      <a:avLst/>
                    </a:prstGeom>
                    <a:noFill/>
                    <a:ln>
                      <a:noFill/>
                    </a:ln>
                  </pic:spPr>
                </pic:pic>
              </a:graphicData>
            </a:graphic>
          </wp:inline>
        </w:drawing>
      </w:r>
    </w:p>
    <w:p w14:paraId="495D00BF" w14:textId="77777777" w:rsidR="001C5C26" w:rsidRDefault="001C5C26" w:rsidP="008E1160"/>
    <w:p w14:paraId="1D550106" w14:textId="14B0471F" w:rsidR="00883B18" w:rsidRDefault="00883B18" w:rsidP="008E1160">
      <w:r>
        <w:t>After selecting either “PCA” or “t-SNE”, users should then specify how the plots should be colored in the “Color Points” menu. Here, the known factors provided in the metadata file in the beginning stages should be displayed. In this example, we will color points/samples by their “stim” metadata variable:</w:t>
      </w:r>
    </w:p>
    <w:p w14:paraId="32201AC8" w14:textId="77777777" w:rsidR="00883B18" w:rsidRDefault="00883B18" w:rsidP="008E1160"/>
    <w:p w14:paraId="49A52948" w14:textId="7A611B23" w:rsidR="00883B18" w:rsidRDefault="00883B18" w:rsidP="008E1160">
      <w:r>
        <w:rPr>
          <w:noProof/>
        </w:rPr>
        <w:drawing>
          <wp:inline distT="0" distB="0" distL="0" distR="0" wp14:anchorId="0F28C54D" wp14:editId="773B359A">
            <wp:extent cx="5486400" cy="871294"/>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871294"/>
                    </a:xfrm>
                    <a:prstGeom prst="rect">
                      <a:avLst/>
                    </a:prstGeom>
                    <a:noFill/>
                    <a:ln>
                      <a:noFill/>
                    </a:ln>
                  </pic:spPr>
                </pic:pic>
              </a:graphicData>
            </a:graphic>
          </wp:inline>
        </w:drawing>
      </w:r>
    </w:p>
    <w:p w14:paraId="35845898" w14:textId="77777777" w:rsidR="00883B18" w:rsidRDefault="00883B18" w:rsidP="008E1160"/>
    <w:p w14:paraId="31479E9B" w14:textId="0C6007DD" w:rsidR="00883B18" w:rsidRDefault="007F7110" w:rsidP="008E1160">
      <w:r>
        <w:t xml:space="preserve">Next, we run the dimension reduction analysis (this case, we chose t-SNE) and two </w:t>
      </w:r>
      <w:r w:rsidR="006B0ECF">
        <w:t xml:space="preserve">3-dimensional </w:t>
      </w:r>
      <w:r>
        <w:t>interactive plots are produced:</w:t>
      </w:r>
    </w:p>
    <w:p w14:paraId="6C84AE11" w14:textId="77777777" w:rsidR="007F7110" w:rsidRDefault="007F7110" w:rsidP="008E1160"/>
    <w:p w14:paraId="382C0092" w14:textId="7DCA1080" w:rsidR="007F7110" w:rsidRDefault="006B0ECF" w:rsidP="008E1160">
      <w:r>
        <w:rPr>
          <w:noProof/>
        </w:rPr>
        <w:drawing>
          <wp:inline distT="0" distB="0" distL="0" distR="0" wp14:anchorId="06DF8B54" wp14:editId="236243D6">
            <wp:extent cx="5486400" cy="211968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119680"/>
                    </a:xfrm>
                    <a:prstGeom prst="rect">
                      <a:avLst/>
                    </a:prstGeom>
                    <a:noFill/>
                    <a:ln>
                      <a:noFill/>
                    </a:ln>
                  </pic:spPr>
                </pic:pic>
              </a:graphicData>
            </a:graphic>
          </wp:inline>
        </w:drawing>
      </w:r>
    </w:p>
    <w:p w14:paraId="4CDD37A4" w14:textId="77777777" w:rsidR="006B0ECF" w:rsidRDefault="006B0ECF" w:rsidP="008E1160"/>
    <w:p w14:paraId="5DAC70A8" w14:textId="475C3E9A" w:rsidR="006B0ECF" w:rsidRDefault="006B0ECF" w:rsidP="008E1160">
      <w:r>
        <w:t>Where the bottom lef</w:t>
      </w:r>
      <w:r w:rsidR="00514D01">
        <w:t>t plot represents the final t-SNE dimensions determined based on the original preprocessed data (all genes after filtering and normalization) and the bottom right plot represents the final t-SNE dimensions determined based on the marker genes identified via IA-SVA.</w:t>
      </w:r>
    </w:p>
    <w:p w14:paraId="3F661246" w14:textId="77777777" w:rsidR="00E404C2" w:rsidRDefault="00E404C2" w:rsidP="008E1160"/>
    <w:p w14:paraId="49D7CDB6" w14:textId="7154BB2A" w:rsidR="00E404C2" w:rsidRDefault="00724659" w:rsidP="008E1160">
      <w:r>
        <w:t xml:space="preserve">In both plots, users may hover their mouse over graph points to </w:t>
      </w:r>
      <w:r w:rsidR="00A60C3B">
        <w:t xml:space="preserve">obtain information about the t-SNE dimensions and cell/sample name. </w:t>
      </w:r>
      <w:r w:rsidR="0004262A">
        <w:t>Additionally, users may click and drag on the graph space to rotate the plot. Lastly, users may use their mouse wheel to zoom in and out of the plot.</w:t>
      </w:r>
    </w:p>
    <w:p w14:paraId="459B4938" w14:textId="77777777" w:rsidR="0004262A" w:rsidRDefault="0004262A" w:rsidP="008E1160"/>
    <w:p w14:paraId="5A9D2195" w14:textId="4F7BF67A" w:rsidR="0004262A" w:rsidRDefault="0004262A" w:rsidP="008E1160">
      <w:r>
        <w:t>HTML versions of each plot may be downloaded using the following buttons:</w:t>
      </w:r>
    </w:p>
    <w:p w14:paraId="782C1DB1" w14:textId="77777777" w:rsidR="0004262A" w:rsidRDefault="0004262A" w:rsidP="008E1160"/>
    <w:p w14:paraId="61AB84CE" w14:textId="23B2C62C" w:rsidR="0004262A" w:rsidRPr="00E943E4" w:rsidRDefault="0004262A" w:rsidP="008E1160">
      <w:r>
        <w:rPr>
          <w:noProof/>
        </w:rPr>
        <w:drawing>
          <wp:inline distT="0" distB="0" distL="0" distR="0" wp14:anchorId="14ED30FA" wp14:editId="0621004A">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sectPr w:rsidR="0004262A" w:rsidRPr="00E943E4" w:rsidSect="007978B2">
      <w:footerReference w:type="even" r:id="rId59"/>
      <w:footerReference w:type="default" r:id="rId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0BE3C" w14:textId="77777777" w:rsidR="00724659" w:rsidRDefault="00724659" w:rsidP="00E80F8B">
      <w:r>
        <w:separator/>
      </w:r>
    </w:p>
  </w:endnote>
  <w:endnote w:type="continuationSeparator" w:id="0">
    <w:p w14:paraId="5489B365" w14:textId="77777777" w:rsidR="00724659" w:rsidRDefault="00724659"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005BD" w14:textId="77777777" w:rsidR="00724659" w:rsidRDefault="00724659"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724659" w:rsidRDefault="00724659" w:rsidP="00E80F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34F6A" w14:textId="77777777" w:rsidR="00724659" w:rsidRDefault="00724659"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7519">
      <w:rPr>
        <w:rStyle w:val="PageNumber"/>
        <w:noProof/>
      </w:rPr>
      <w:t>1</w:t>
    </w:r>
    <w:r>
      <w:rPr>
        <w:rStyle w:val="PageNumber"/>
      </w:rPr>
      <w:fldChar w:fldCharType="end"/>
    </w:r>
  </w:p>
  <w:p w14:paraId="4A4A8A9F" w14:textId="77777777" w:rsidR="00724659" w:rsidRDefault="00724659" w:rsidP="00E80F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75173" w14:textId="77777777" w:rsidR="00724659" w:rsidRDefault="00724659" w:rsidP="00E80F8B">
      <w:r>
        <w:separator/>
      </w:r>
    </w:p>
  </w:footnote>
  <w:footnote w:type="continuationSeparator" w:id="0">
    <w:p w14:paraId="45169CF7" w14:textId="77777777" w:rsidR="00724659" w:rsidRDefault="00724659" w:rsidP="00E80F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25"/>
  </w:num>
  <w:num w:numId="4">
    <w:abstractNumId w:val="27"/>
  </w:num>
  <w:num w:numId="5">
    <w:abstractNumId w:val="2"/>
  </w:num>
  <w:num w:numId="6">
    <w:abstractNumId w:val="17"/>
  </w:num>
  <w:num w:numId="7">
    <w:abstractNumId w:val="23"/>
  </w:num>
  <w:num w:numId="8">
    <w:abstractNumId w:val="13"/>
  </w:num>
  <w:num w:numId="9">
    <w:abstractNumId w:val="6"/>
  </w:num>
  <w:num w:numId="10">
    <w:abstractNumId w:val="8"/>
  </w:num>
  <w:num w:numId="11">
    <w:abstractNumId w:val="16"/>
  </w:num>
  <w:num w:numId="12">
    <w:abstractNumId w:val="5"/>
  </w:num>
  <w:num w:numId="13">
    <w:abstractNumId w:val="4"/>
  </w:num>
  <w:num w:numId="14">
    <w:abstractNumId w:val="22"/>
  </w:num>
  <w:num w:numId="15">
    <w:abstractNumId w:val="10"/>
  </w:num>
  <w:num w:numId="16">
    <w:abstractNumId w:val="15"/>
  </w:num>
  <w:num w:numId="17">
    <w:abstractNumId w:val="26"/>
  </w:num>
  <w:num w:numId="18">
    <w:abstractNumId w:val="3"/>
  </w:num>
  <w:num w:numId="19">
    <w:abstractNumId w:val="1"/>
  </w:num>
  <w:num w:numId="20">
    <w:abstractNumId w:val="24"/>
  </w:num>
  <w:num w:numId="21">
    <w:abstractNumId w:val="28"/>
  </w:num>
  <w:num w:numId="22">
    <w:abstractNumId w:val="12"/>
  </w:num>
  <w:num w:numId="23">
    <w:abstractNumId w:val="0"/>
  </w:num>
  <w:num w:numId="24">
    <w:abstractNumId w:val="7"/>
  </w:num>
  <w:num w:numId="25">
    <w:abstractNumId w:val="19"/>
  </w:num>
  <w:num w:numId="26">
    <w:abstractNumId w:val="21"/>
  </w:num>
  <w:num w:numId="27">
    <w:abstractNumId w:val="29"/>
  </w:num>
  <w:num w:numId="28">
    <w:abstractNumId w:val="14"/>
  </w:num>
  <w:num w:numId="29">
    <w:abstractNumId w:val="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35F"/>
    <w:rsid w:val="00006A08"/>
    <w:rsid w:val="000101A8"/>
    <w:rsid w:val="00020988"/>
    <w:rsid w:val="00024FC6"/>
    <w:rsid w:val="000362E1"/>
    <w:rsid w:val="00036385"/>
    <w:rsid w:val="0004262A"/>
    <w:rsid w:val="00045998"/>
    <w:rsid w:val="00062AAC"/>
    <w:rsid w:val="00065267"/>
    <w:rsid w:val="00066B34"/>
    <w:rsid w:val="00071CCF"/>
    <w:rsid w:val="00087122"/>
    <w:rsid w:val="00087B7B"/>
    <w:rsid w:val="000952F4"/>
    <w:rsid w:val="000A054F"/>
    <w:rsid w:val="000A311F"/>
    <w:rsid w:val="000B1E07"/>
    <w:rsid w:val="000B3B6C"/>
    <w:rsid w:val="000C3944"/>
    <w:rsid w:val="000D58AF"/>
    <w:rsid w:val="000F4AE2"/>
    <w:rsid w:val="000F5EBC"/>
    <w:rsid w:val="000F660B"/>
    <w:rsid w:val="00104BDA"/>
    <w:rsid w:val="00124A64"/>
    <w:rsid w:val="00133890"/>
    <w:rsid w:val="00150027"/>
    <w:rsid w:val="001537A4"/>
    <w:rsid w:val="00155BF9"/>
    <w:rsid w:val="00166B6E"/>
    <w:rsid w:val="00171DD9"/>
    <w:rsid w:val="001746B1"/>
    <w:rsid w:val="001B52DC"/>
    <w:rsid w:val="001B5496"/>
    <w:rsid w:val="001C5C26"/>
    <w:rsid w:val="001D6DF5"/>
    <w:rsid w:val="001D77AB"/>
    <w:rsid w:val="001E3956"/>
    <w:rsid w:val="001E3F63"/>
    <w:rsid w:val="001F7D01"/>
    <w:rsid w:val="00202E07"/>
    <w:rsid w:val="00213AFE"/>
    <w:rsid w:val="002240EC"/>
    <w:rsid w:val="0023273B"/>
    <w:rsid w:val="00234E49"/>
    <w:rsid w:val="002351B3"/>
    <w:rsid w:val="00237FA2"/>
    <w:rsid w:val="002474A2"/>
    <w:rsid w:val="00252F4B"/>
    <w:rsid w:val="002602E9"/>
    <w:rsid w:val="00273A5D"/>
    <w:rsid w:val="00274A15"/>
    <w:rsid w:val="00282F3E"/>
    <w:rsid w:val="00291B03"/>
    <w:rsid w:val="00294EBF"/>
    <w:rsid w:val="002A37E8"/>
    <w:rsid w:val="002C282E"/>
    <w:rsid w:val="002C40EB"/>
    <w:rsid w:val="002C483F"/>
    <w:rsid w:val="002D62C1"/>
    <w:rsid w:val="002D6923"/>
    <w:rsid w:val="002E1A9B"/>
    <w:rsid w:val="00301658"/>
    <w:rsid w:val="00310713"/>
    <w:rsid w:val="00311811"/>
    <w:rsid w:val="00326CD9"/>
    <w:rsid w:val="00333A42"/>
    <w:rsid w:val="00336195"/>
    <w:rsid w:val="00336221"/>
    <w:rsid w:val="0036480C"/>
    <w:rsid w:val="00365104"/>
    <w:rsid w:val="003774E8"/>
    <w:rsid w:val="0038160B"/>
    <w:rsid w:val="003825B5"/>
    <w:rsid w:val="00386AFD"/>
    <w:rsid w:val="00386FE8"/>
    <w:rsid w:val="003874A6"/>
    <w:rsid w:val="0039353C"/>
    <w:rsid w:val="003A6A83"/>
    <w:rsid w:val="003B3825"/>
    <w:rsid w:val="003B3B99"/>
    <w:rsid w:val="003B78D7"/>
    <w:rsid w:val="003B7A21"/>
    <w:rsid w:val="003C2548"/>
    <w:rsid w:val="003C4FF1"/>
    <w:rsid w:val="003C62EA"/>
    <w:rsid w:val="003D021E"/>
    <w:rsid w:val="003D17AE"/>
    <w:rsid w:val="003D26B7"/>
    <w:rsid w:val="003D2BCC"/>
    <w:rsid w:val="003D5A3A"/>
    <w:rsid w:val="003D76E2"/>
    <w:rsid w:val="003E5BDC"/>
    <w:rsid w:val="003F2FA0"/>
    <w:rsid w:val="00401B31"/>
    <w:rsid w:val="00410112"/>
    <w:rsid w:val="004335D2"/>
    <w:rsid w:val="0043435C"/>
    <w:rsid w:val="00434FD7"/>
    <w:rsid w:val="004434F6"/>
    <w:rsid w:val="00454EEA"/>
    <w:rsid w:val="00463658"/>
    <w:rsid w:val="004651EA"/>
    <w:rsid w:val="0046674E"/>
    <w:rsid w:val="00470DA9"/>
    <w:rsid w:val="00471118"/>
    <w:rsid w:val="00475BE0"/>
    <w:rsid w:val="00476899"/>
    <w:rsid w:val="0048439C"/>
    <w:rsid w:val="00491453"/>
    <w:rsid w:val="00491A98"/>
    <w:rsid w:val="00491F94"/>
    <w:rsid w:val="004A2BC4"/>
    <w:rsid w:val="004A3C4A"/>
    <w:rsid w:val="004A4576"/>
    <w:rsid w:val="004C00A1"/>
    <w:rsid w:val="004C217C"/>
    <w:rsid w:val="004C4DA8"/>
    <w:rsid w:val="004C56E2"/>
    <w:rsid w:val="004D502B"/>
    <w:rsid w:val="004E0024"/>
    <w:rsid w:val="00500F9A"/>
    <w:rsid w:val="00514D01"/>
    <w:rsid w:val="00516E7E"/>
    <w:rsid w:val="0052282B"/>
    <w:rsid w:val="00525FF8"/>
    <w:rsid w:val="00530826"/>
    <w:rsid w:val="0053291C"/>
    <w:rsid w:val="005405CE"/>
    <w:rsid w:val="00541B4A"/>
    <w:rsid w:val="00542FCF"/>
    <w:rsid w:val="0054456B"/>
    <w:rsid w:val="005463A7"/>
    <w:rsid w:val="005474C4"/>
    <w:rsid w:val="00550455"/>
    <w:rsid w:val="00550EC0"/>
    <w:rsid w:val="0056002E"/>
    <w:rsid w:val="00562315"/>
    <w:rsid w:val="00582235"/>
    <w:rsid w:val="005838A1"/>
    <w:rsid w:val="00583C08"/>
    <w:rsid w:val="005847C0"/>
    <w:rsid w:val="00597CF5"/>
    <w:rsid w:val="005A0F8B"/>
    <w:rsid w:val="005A238E"/>
    <w:rsid w:val="005C5AE2"/>
    <w:rsid w:val="005E3ECE"/>
    <w:rsid w:val="005E6640"/>
    <w:rsid w:val="005F25EB"/>
    <w:rsid w:val="006013F0"/>
    <w:rsid w:val="00602217"/>
    <w:rsid w:val="00613278"/>
    <w:rsid w:val="00617997"/>
    <w:rsid w:val="00622A07"/>
    <w:rsid w:val="0062697A"/>
    <w:rsid w:val="0063025A"/>
    <w:rsid w:val="00641EF1"/>
    <w:rsid w:val="006428A4"/>
    <w:rsid w:val="006452AD"/>
    <w:rsid w:val="00654135"/>
    <w:rsid w:val="0065509F"/>
    <w:rsid w:val="006A3D23"/>
    <w:rsid w:val="006A50E3"/>
    <w:rsid w:val="006A57A1"/>
    <w:rsid w:val="006B00BC"/>
    <w:rsid w:val="006B0ECF"/>
    <w:rsid w:val="006B5A0E"/>
    <w:rsid w:val="006C125F"/>
    <w:rsid w:val="006C1B97"/>
    <w:rsid w:val="006D507B"/>
    <w:rsid w:val="006E6C40"/>
    <w:rsid w:val="006F64BC"/>
    <w:rsid w:val="00706ABA"/>
    <w:rsid w:val="00717908"/>
    <w:rsid w:val="00724659"/>
    <w:rsid w:val="00724D9F"/>
    <w:rsid w:val="00747BA9"/>
    <w:rsid w:val="00753937"/>
    <w:rsid w:val="00760B42"/>
    <w:rsid w:val="007634C3"/>
    <w:rsid w:val="00771797"/>
    <w:rsid w:val="00774F8B"/>
    <w:rsid w:val="007763EF"/>
    <w:rsid w:val="00781D16"/>
    <w:rsid w:val="00787681"/>
    <w:rsid w:val="00790688"/>
    <w:rsid w:val="007978B2"/>
    <w:rsid w:val="00797EEE"/>
    <w:rsid w:val="007A6235"/>
    <w:rsid w:val="007A72F8"/>
    <w:rsid w:val="007B32D8"/>
    <w:rsid w:val="007B4493"/>
    <w:rsid w:val="007C1E6F"/>
    <w:rsid w:val="007C317F"/>
    <w:rsid w:val="007D513C"/>
    <w:rsid w:val="007D63A5"/>
    <w:rsid w:val="007E23C8"/>
    <w:rsid w:val="007F00D4"/>
    <w:rsid w:val="007F1BE3"/>
    <w:rsid w:val="007F2176"/>
    <w:rsid w:val="007F7110"/>
    <w:rsid w:val="00800348"/>
    <w:rsid w:val="00801E0E"/>
    <w:rsid w:val="00805383"/>
    <w:rsid w:val="00806BBA"/>
    <w:rsid w:val="00806D3E"/>
    <w:rsid w:val="00807049"/>
    <w:rsid w:val="00814D77"/>
    <w:rsid w:val="00816482"/>
    <w:rsid w:val="0082435F"/>
    <w:rsid w:val="00833E02"/>
    <w:rsid w:val="00833F59"/>
    <w:rsid w:val="0083536E"/>
    <w:rsid w:val="0083669E"/>
    <w:rsid w:val="0084771C"/>
    <w:rsid w:val="00854EC7"/>
    <w:rsid w:val="008553C6"/>
    <w:rsid w:val="0086718D"/>
    <w:rsid w:val="00872480"/>
    <w:rsid w:val="00880F2B"/>
    <w:rsid w:val="00883B18"/>
    <w:rsid w:val="00893D42"/>
    <w:rsid w:val="0089532F"/>
    <w:rsid w:val="00896964"/>
    <w:rsid w:val="008A3D30"/>
    <w:rsid w:val="008B3E42"/>
    <w:rsid w:val="008D01EF"/>
    <w:rsid w:val="008E1160"/>
    <w:rsid w:val="00901607"/>
    <w:rsid w:val="00903BE3"/>
    <w:rsid w:val="009054AC"/>
    <w:rsid w:val="0090577C"/>
    <w:rsid w:val="00917851"/>
    <w:rsid w:val="00920707"/>
    <w:rsid w:val="009276EA"/>
    <w:rsid w:val="009302B0"/>
    <w:rsid w:val="0093263B"/>
    <w:rsid w:val="0094005F"/>
    <w:rsid w:val="00940E51"/>
    <w:rsid w:val="00946E88"/>
    <w:rsid w:val="00950A10"/>
    <w:rsid w:val="00954469"/>
    <w:rsid w:val="00955DAD"/>
    <w:rsid w:val="00960457"/>
    <w:rsid w:val="00974164"/>
    <w:rsid w:val="00977700"/>
    <w:rsid w:val="00985C59"/>
    <w:rsid w:val="00995A20"/>
    <w:rsid w:val="009A09D3"/>
    <w:rsid w:val="009A43E4"/>
    <w:rsid w:val="009B091B"/>
    <w:rsid w:val="009B5A06"/>
    <w:rsid w:val="009C60EA"/>
    <w:rsid w:val="009D1890"/>
    <w:rsid w:val="009E2C33"/>
    <w:rsid w:val="009E4693"/>
    <w:rsid w:val="009E56FF"/>
    <w:rsid w:val="009E7AEB"/>
    <w:rsid w:val="009F2E84"/>
    <w:rsid w:val="009F5E28"/>
    <w:rsid w:val="00A00595"/>
    <w:rsid w:val="00A01381"/>
    <w:rsid w:val="00A0632E"/>
    <w:rsid w:val="00A07305"/>
    <w:rsid w:val="00A25DC7"/>
    <w:rsid w:val="00A3304A"/>
    <w:rsid w:val="00A353BF"/>
    <w:rsid w:val="00A37D15"/>
    <w:rsid w:val="00A4244A"/>
    <w:rsid w:val="00A43EF3"/>
    <w:rsid w:val="00A44A15"/>
    <w:rsid w:val="00A52ED1"/>
    <w:rsid w:val="00A5699C"/>
    <w:rsid w:val="00A60C3B"/>
    <w:rsid w:val="00A77663"/>
    <w:rsid w:val="00A77B50"/>
    <w:rsid w:val="00AA7519"/>
    <w:rsid w:val="00AA7BE1"/>
    <w:rsid w:val="00AB1970"/>
    <w:rsid w:val="00AE6394"/>
    <w:rsid w:val="00AF66FE"/>
    <w:rsid w:val="00B2434C"/>
    <w:rsid w:val="00B2583C"/>
    <w:rsid w:val="00B25CB0"/>
    <w:rsid w:val="00B346A1"/>
    <w:rsid w:val="00B43A63"/>
    <w:rsid w:val="00B65BF3"/>
    <w:rsid w:val="00B719B5"/>
    <w:rsid w:val="00B71BA5"/>
    <w:rsid w:val="00B81F56"/>
    <w:rsid w:val="00BA17F7"/>
    <w:rsid w:val="00BA33D0"/>
    <w:rsid w:val="00BA5CBC"/>
    <w:rsid w:val="00BB503D"/>
    <w:rsid w:val="00BC0328"/>
    <w:rsid w:val="00BC1E21"/>
    <w:rsid w:val="00BD0033"/>
    <w:rsid w:val="00BD4B48"/>
    <w:rsid w:val="00BE7242"/>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442D4"/>
    <w:rsid w:val="00C508BE"/>
    <w:rsid w:val="00C62234"/>
    <w:rsid w:val="00C80999"/>
    <w:rsid w:val="00C8200B"/>
    <w:rsid w:val="00C85120"/>
    <w:rsid w:val="00C93AB1"/>
    <w:rsid w:val="00CA491E"/>
    <w:rsid w:val="00CA4E25"/>
    <w:rsid w:val="00CA7CB5"/>
    <w:rsid w:val="00CB0A23"/>
    <w:rsid w:val="00CB4981"/>
    <w:rsid w:val="00CB6D79"/>
    <w:rsid w:val="00CB6E01"/>
    <w:rsid w:val="00CE2C4B"/>
    <w:rsid w:val="00CE5279"/>
    <w:rsid w:val="00CE770D"/>
    <w:rsid w:val="00CF70D6"/>
    <w:rsid w:val="00D054ED"/>
    <w:rsid w:val="00D102CF"/>
    <w:rsid w:val="00D1142B"/>
    <w:rsid w:val="00D202DE"/>
    <w:rsid w:val="00D4447A"/>
    <w:rsid w:val="00D47385"/>
    <w:rsid w:val="00D473F1"/>
    <w:rsid w:val="00D63EC2"/>
    <w:rsid w:val="00D641D0"/>
    <w:rsid w:val="00D66A1F"/>
    <w:rsid w:val="00D74E11"/>
    <w:rsid w:val="00D76E64"/>
    <w:rsid w:val="00D80791"/>
    <w:rsid w:val="00D83A53"/>
    <w:rsid w:val="00D933D8"/>
    <w:rsid w:val="00D96CAC"/>
    <w:rsid w:val="00D978FF"/>
    <w:rsid w:val="00DA0AA8"/>
    <w:rsid w:val="00DA11DC"/>
    <w:rsid w:val="00DA13E1"/>
    <w:rsid w:val="00DA268D"/>
    <w:rsid w:val="00DA28AF"/>
    <w:rsid w:val="00DA3197"/>
    <w:rsid w:val="00DC05C6"/>
    <w:rsid w:val="00DC2B07"/>
    <w:rsid w:val="00DD298E"/>
    <w:rsid w:val="00DD523F"/>
    <w:rsid w:val="00DF3D35"/>
    <w:rsid w:val="00E07175"/>
    <w:rsid w:val="00E16ACA"/>
    <w:rsid w:val="00E3777C"/>
    <w:rsid w:val="00E404C2"/>
    <w:rsid w:val="00E437A9"/>
    <w:rsid w:val="00E52B4A"/>
    <w:rsid w:val="00E55CDD"/>
    <w:rsid w:val="00E60DCE"/>
    <w:rsid w:val="00E660A1"/>
    <w:rsid w:val="00E6678A"/>
    <w:rsid w:val="00E70F4C"/>
    <w:rsid w:val="00E72738"/>
    <w:rsid w:val="00E80F8B"/>
    <w:rsid w:val="00E943E4"/>
    <w:rsid w:val="00E94FC9"/>
    <w:rsid w:val="00EA6BAB"/>
    <w:rsid w:val="00EA7A3D"/>
    <w:rsid w:val="00EA7D9E"/>
    <w:rsid w:val="00EE014C"/>
    <w:rsid w:val="00EF2CA4"/>
    <w:rsid w:val="00F0131E"/>
    <w:rsid w:val="00F03476"/>
    <w:rsid w:val="00F06F40"/>
    <w:rsid w:val="00F11844"/>
    <w:rsid w:val="00F20336"/>
    <w:rsid w:val="00F3308E"/>
    <w:rsid w:val="00F404A9"/>
    <w:rsid w:val="00F43FCB"/>
    <w:rsid w:val="00F44D9C"/>
    <w:rsid w:val="00F5214C"/>
    <w:rsid w:val="00F71E13"/>
    <w:rsid w:val="00F72847"/>
    <w:rsid w:val="00F846AF"/>
    <w:rsid w:val="00FA0004"/>
    <w:rsid w:val="00FA4107"/>
    <w:rsid w:val="00FA49D0"/>
    <w:rsid w:val="00FC5519"/>
    <w:rsid w:val="00FC6EFB"/>
    <w:rsid w:val="00FE3F13"/>
    <w:rsid w:val="00FE7217"/>
    <w:rsid w:val="00FF23D0"/>
    <w:rsid w:val="00FF4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848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nbt.4042"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footer" Target="footer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hyperlink" Target="https://cran.r-project.org/web/packages/tmod/vignettes/tmod.pdf" TargetMode="External"/><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than.lawlor03@gmail.com" TargetMode="External"/><Relationship Id="rId9" Type="http://schemas.openxmlformats.org/officeDocument/2006/relationships/hyperlink" Target="https://www.biorxiv.org/content/early/2017/06/18/15121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footer" Target="foot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yperlink" Target="https://www.bioconductor.org/packages/devel/bioc/html/iasva.html"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23</Pages>
  <Words>2362</Words>
  <Characters>13467</Characters>
  <Application>Microsoft Macintosh Word</Application>
  <DocSecurity>0</DocSecurity>
  <Lines>112</Lines>
  <Paragraphs>31</Paragraphs>
  <ScaleCrop>false</ScaleCrop>
  <Company>TJL</Company>
  <LinksUpToDate>false</LinksUpToDate>
  <CharactersWithSpaces>15798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380</cp:revision>
  <dcterms:created xsi:type="dcterms:W3CDTF">2018-03-20T15:31:00Z</dcterms:created>
  <dcterms:modified xsi:type="dcterms:W3CDTF">2018-08-14T13:56:00Z</dcterms:modified>
</cp:coreProperties>
</file>