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2AFE9" w14:textId="77777777" w:rsidR="00AF5870" w:rsidRPr="00AF5870" w:rsidRDefault="00AF5870" w:rsidP="00AF5870">
      <w:pPr>
        <w:rPr>
          <w:b/>
          <w:bCs/>
        </w:rPr>
      </w:pPr>
      <w:r w:rsidRPr="00AF5870">
        <w:rPr>
          <w:b/>
          <w:bCs/>
        </w:rPr>
        <w:t>Mastering Change: A Roadmap to Success - Key Elements to Watch for in an Effective Change Management Plan</w:t>
      </w:r>
    </w:p>
    <w:p w14:paraId="446E0B84" w14:textId="77777777" w:rsidR="006252A6" w:rsidRDefault="006252A6"/>
    <w:p w14:paraId="2971BEF6" w14:textId="77777777" w:rsidR="00AF5870" w:rsidRPr="00AF5870" w:rsidRDefault="00AF5870" w:rsidP="00AF5870">
      <w:r w:rsidRPr="00AF5870">
        <w:t xml:space="preserve">Embarking on a change initiative can be a complex and challenging process for any company. </w:t>
      </w:r>
    </w:p>
    <w:p w14:paraId="0BB79EF0" w14:textId="77777777" w:rsidR="00AF5870" w:rsidRPr="00AF5870" w:rsidRDefault="00AF5870" w:rsidP="00AF5870">
      <w:r w:rsidRPr="00AF5870">
        <w:t>There are several important factors to consider when increasing the likelihood of success. Here are some key things that a company should look out for:</w:t>
      </w:r>
    </w:p>
    <w:p w14:paraId="1E59202D" w14:textId="397D2D35" w:rsidR="00AF5870" w:rsidRPr="00AF5870" w:rsidRDefault="00AF5870" w:rsidP="00AF5870">
      <w:r w:rsidRPr="00AF5870">
        <w:drawing>
          <wp:inline distT="0" distB="0" distL="0" distR="0" wp14:anchorId="48456648" wp14:editId="2FC2F37E">
            <wp:extent cx="5731510" cy="1981835"/>
            <wp:effectExtent l="0" t="0" r="2540" b="0"/>
            <wp:docPr id="890877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64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420A8" w14:textId="77777777" w:rsidR="00AF5870" w:rsidRPr="00AF5870" w:rsidRDefault="00AF5870" w:rsidP="00AF5870">
      <w:r w:rsidRPr="00AF5870">
        <w:t xml:space="preserve">Change Management – Models, Processes &amp; Software | </w:t>
      </w:r>
      <w:proofErr w:type="spellStart"/>
      <w:proofErr w:type="gramStart"/>
      <w:r w:rsidRPr="00AF5870">
        <w:t>OTRSmag</w:t>
      </w:r>
      <w:proofErr w:type="spellEnd"/>
      <w:proofErr w:type="gramEnd"/>
    </w:p>
    <w:p w14:paraId="56D5C3B7" w14:textId="77777777" w:rsidR="00AF5870" w:rsidRPr="00AF5870" w:rsidRDefault="00AF5870" w:rsidP="00AF5870">
      <w:pPr>
        <w:numPr>
          <w:ilvl w:val="0"/>
          <w:numId w:val="1"/>
        </w:numPr>
      </w:pPr>
      <w:r w:rsidRPr="00AF5870">
        <w:rPr>
          <w:b/>
          <w:bCs/>
        </w:rPr>
        <w:t>Clear Vision and Goals</w:t>
      </w:r>
      <w:r w:rsidRPr="00AF5870">
        <w:t>: Clearly define the purpose of the change initiative, what you aim to achieve, and how it aligns with the company's overall strategy. Having a well-defined vision and specific goals will help guide the entire initiative.</w:t>
      </w:r>
    </w:p>
    <w:p w14:paraId="61C238E4" w14:textId="77777777" w:rsidR="00AF5870" w:rsidRPr="00AF5870" w:rsidRDefault="00AF5870" w:rsidP="00AF5870">
      <w:pPr>
        <w:numPr>
          <w:ilvl w:val="0"/>
          <w:numId w:val="1"/>
        </w:numPr>
      </w:pPr>
      <w:r w:rsidRPr="00AF5870">
        <w:rPr>
          <w:b/>
          <w:bCs/>
        </w:rPr>
        <w:t>Strong Leadership and Sponsorship</w:t>
      </w:r>
      <w:r w:rsidRPr="00AF5870">
        <w:t>: Effective leadership is crucial for guiding change. Leaders should champion the initiative, communicate its importance, and actively support and engage with employees throughout the process.</w:t>
      </w:r>
    </w:p>
    <w:p w14:paraId="730D74DE" w14:textId="77777777" w:rsidR="00AF5870" w:rsidRPr="00AF5870" w:rsidRDefault="00AF5870" w:rsidP="00AF5870">
      <w:pPr>
        <w:numPr>
          <w:ilvl w:val="0"/>
          <w:numId w:val="1"/>
        </w:numPr>
      </w:pPr>
      <w:r w:rsidRPr="00AF5870">
        <w:rPr>
          <w:b/>
          <w:bCs/>
        </w:rPr>
        <w:t>Stakeholder Engagement and Communication</w:t>
      </w:r>
      <w:r w:rsidRPr="00AF5870">
        <w:t>: Identify and involve key stakeholders who will be impacted by the change. Effective communication is essential to address concerns, build understanding, and gain buy-in from all levels of the organization.</w:t>
      </w:r>
    </w:p>
    <w:p w14:paraId="66495405" w14:textId="77777777" w:rsidR="00AF5870" w:rsidRPr="00AF5870" w:rsidRDefault="00AF5870" w:rsidP="00AF5870">
      <w:pPr>
        <w:numPr>
          <w:ilvl w:val="0"/>
          <w:numId w:val="1"/>
        </w:numPr>
      </w:pPr>
      <w:r w:rsidRPr="00AF5870">
        <w:rPr>
          <w:b/>
          <w:bCs/>
        </w:rPr>
        <w:t>Change Readiness Assessment</w:t>
      </w:r>
      <w:r w:rsidRPr="00AF5870">
        <w:t>: Evaluate the organization's readiness for change. Assess the current culture, capabilities, and resources to determine if the company is equipped to handle the proposed changes.</w:t>
      </w:r>
    </w:p>
    <w:p w14:paraId="262928E6" w14:textId="77777777" w:rsidR="00AF5870" w:rsidRPr="00AF5870" w:rsidRDefault="00AF5870" w:rsidP="00AF5870">
      <w:pPr>
        <w:numPr>
          <w:ilvl w:val="0"/>
          <w:numId w:val="1"/>
        </w:numPr>
      </w:pPr>
      <w:r w:rsidRPr="00AF5870">
        <w:rPr>
          <w:b/>
          <w:bCs/>
        </w:rPr>
        <w:t>Resource Allocation</w:t>
      </w:r>
      <w:r w:rsidRPr="00AF5870">
        <w:t>: Allocate the necessary resources, both in terms of finances and personnel, to support the change initiative. Insufficient resources can lead to delays, frustration, and ultimately, failure of the initiative.</w:t>
      </w:r>
    </w:p>
    <w:p w14:paraId="1412B44F" w14:textId="77777777" w:rsidR="00AF5870" w:rsidRPr="00AF5870" w:rsidRDefault="00AF5870" w:rsidP="00AF5870">
      <w:pPr>
        <w:numPr>
          <w:ilvl w:val="0"/>
          <w:numId w:val="1"/>
        </w:numPr>
      </w:pPr>
      <w:r w:rsidRPr="00AF5870">
        <w:rPr>
          <w:b/>
          <w:bCs/>
        </w:rPr>
        <w:t>Change Management Plan</w:t>
      </w:r>
      <w:r w:rsidRPr="00AF5870">
        <w:t xml:space="preserve">: Develop a comprehensive change management plan that outlines the steps, timeline, responsibilities, and milestones of the </w:t>
      </w:r>
      <w:r w:rsidRPr="00AF5870">
        <w:lastRenderedPageBreak/>
        <w:t>initiative. This plan should include strategies for addressing resistance and managing risks.</w:t>
      </w:r>
    </w:p>
    <w:p w14:paraId="2C9BE962" w14:textId="77777777" w:rsidR="00AF5870" w:rsidRPr="00AF5870" w:rsidRDefault="00AF5870" w:rsidP="00AF5870">
      <w:pPr>
        <w:numPr>
          <w:ilvl w:val="0"/>
          <w:numId w:val="1"/>
        </w:numPr>
      </w:pPr>
      <w:r w:rsidRPr="00AF5870">
        <w:rPr>
          <w:b/>
          <w:bCs/>
        </w:rPr>
        <w:t>Training and Skill Development</w:t>
      </w:r>
      <w:r w:rsidRPr="00AF5870">
        <w:t>: If the change requires new skills or knowledge, ensure that adequate training and development programs are in place to equip employees with the capabilities needed to succeed in the new environment.</w:t>
      </w:r>
    </w:p>
    <w:p w14:paraId="74550E4B" w14:textId="77777777" w:rsidR="00AF5870" w:rsidRPr="00AF5870" w:rsidRDefault="00AF5870" w:rsidP="00AF5870">
      <w:pPr>
        <w:numPr>
          <w:ilvl w:val="0"/>
          <w:numId w:val="1"/>
        </w:numPr>
      </w:pPr>
      <w:r w:rsidRPr="00AF5870">
        <w:rPr>
          <w:b/>
          <w:bCs/>
        </w:rPr>
        <w:t>Monitoring and Feedback Mechanisms</w:t>
      </w:r>
      <w:r w:rsidRPr="00AF5870">
        <w:t>: Establish mechanisms to monitor progress and gather feedback from employees. This can help identify challenges early on and make necessary adjustments to the initiative.</w:t>
      </w:r>
    </w:p>
    <w:p w14:paraId="7E124E33" w14:textId="77777777" w:rsidR="00AF5870" w:rsidRPr="00AF5870" w:rsidRDefault="00AF5870" w:rsidP="00AF5870">
      <w:pPr>
        <w:numPr>
          <w:ilvl w:val="0"/>
          <w:numId w:val="1"/>
        </w:numPr>
      </w:pPr>
      <w:r w:rsidRPr="00AF5870">
        <w:rPr>
          <w:b/>
          <w:bCs/>
        </w:rPr>
        <w:t>Mitigating Resistance</w:t>
      </w:r>
      <w:r w:rsidRPr="00AF5870">
        <w:t xml:space="preserve">: Expect resistance to </w:t>
      </w:r>
      <w:proofErr w:type="gramStart"/>
      <w:r w:rsidRPr="00AF5870">
        <w:t>change, and</w:t>
      </w:r>
      <w:proofErr w:type="gramEnd"/>
      <w:r w:rsidRPr="00AF5870">
        <w:t xml:space="preserve"> have strategies in place to address it. Engage in open dialogue, address concerns, and involve employees in decision-making whenever possible.</w:t>
      </w:r>
    </w:p>
    <w:p w14:paraId="1F4EFD94" w14:textId="77777777" w:rsidR="00AF5870" w:rsidRPr="00AF5870" w:rsidRDefault="00AF5870" w:rsidP="00AF5870">
      <w:pPr>
        <w:numPr>
          <w:ilvl w:val="0"/>
          <w:numId w:val="1"/>
        </w:numPr>
      </w:pPr>
      <w:r w:rsidRPr="00AF5870">
        <w:rPr>
          <w:b/>
          <w:bCs/>
        </w:rPr>
        <w:t>Celebrate Small Wins</w:t>
      </w:r>
      <w:r w:rsidRPr="00AF5870">
        <w:t>: Acknowledge and celebrate the small successes achieved throughout the change initiative. This helps maintain morale and motivation, especially during longer projects.</w:t>
      </w:r>
    </w:p>
    <w:p w14:paraId="3462E4C4" w14:textId="77777777" w:rsidR="00AF5870" w:rsidRPr="00AF5870" w:rsidRDefault="00AF5870" w:rsidP="00AF5870">
      <w:pPr>
        <w:numPr>
          <w:ilvl w:val="0"/>
          <w:numId w:val="1"/>
        </w:numPr>
      </w:pPr>
      <w:r w:rsidRPr="00AF5870">
        <w:rPr>
          <w:b/>
          <w:bCs/>
        </w:rPr>
        <w:t>Flexibility and Adaptability</w:t>
      </w:r>
      <w:r w:rsidRPr="00AF5870">
        <w:t>: Be prepared to adapt the change initiative based on feedback and changing circumstances. A rigid approach can hinder progress if unexpected challenges arise.</w:t>
      </w:r>
    </w:p>
    <w:p w14:paraId="50EF106A" w14:textId="77777777" w:rsidR="00AF5870" w:rsidRPr="00AF5870" w:rsidRDefault="00AF5870" w:rsidP="00AF5870">
      <w:pPr>
        <w:numPr>
          <w:ilvl w:val="0"/>
          <w:numId w:val="1"/>
        </w:numPr>
      </w:pPr>
      <w:r w:rsidRPr="00AF5870">
        <w:rPr>
          <w:b/>
          <w:bCs/>
        </w:rPr>
        <w:t>Continuous Learning and Improvement</w:t>
      </w:r>
      <w:r w:rsidRPr="00AF5870">
        <w:t xml:space="preserve">: Treat the change initiative as a learning opportunity. Regularly assess what's working and what's </w:t>
      </w:r>
      <w:proofErr w:type="gramStart"/>
      <w:r w:rsidRPr="00AF5870">
        <w:t>not, and</w:t>
      </w:r>
      <w:proofErr w:type="gramEnd"/>
      <w:r w:rsidRPr="00AF5870">
        <w:t xml:space="preserve"> make improvements accordingly.</w:t>
      </w:r>
    </w:p>
    <w:p w14:paraId="7E558AD8" w14:textId="77777777" w:rsidR="00AF5870" w:rsidRPr="00AF5870" w:rsidRDefault="00AF5870" w:rsidP="00AF5870">
      <w:pPr>
        <w:numPr>
          <w:ilvl w:val="0"/>
          <w:numId w:val="1"/>
        </w:numPr>
      </w:pPr>
      <w:r w:rsidRPr="00AF5870">
        <w:rPr>
          <w:b/>
          <w:bCs/>
        </w:rPr>
        <w:t>Sustainability and Integration</w:t>
      </w:r>
      <w:r w:rsidRPr="00AF5870">
        <w:t>: Ensure that the changes become a part of the company's new normal. Integrate the changes into the culture, processes, and systems to prevent a relapse into old ways of doing things.</w:t>
      </w:r>
    </w:p>
    <w:p w14:paraId="32BC8697" w14:textId="77777777" w:rsidR="00AF5870" w:rsidRPr="00AF5870" w:rsidRDefault="00AF5870" w:rsidP="00AF5870">
      <w:pPr>
        <w:numPr>
          <w:ilvl w:val="0"/>
          <w:numId w:val="1"/>
        </w:numPr>
      </w:pPr>
      <w:r w:rsidRPr="00AF5870">
        <w:rPr>
          <w:b/>
          <w:bCs/>
        </w:rPr>
        <w:t>Feedback Loop and Evaluation</w:t>
      </w:r>
      <w:r w:rsidRPr="00AF5870">
        <w:t xml:space="preserve">: After the change has been implemented, establish a feedback loop to gather insights on the impact of the change. Regularly evaluate whether the intended outcomes have been achieved. </w:t>
      </w:r>
    </w:p>
    <w:p w14:paraId="05842E18" w14:textId="77777777" w:rsidR="00AF5870" w:rsidRPr="00AF5870" w:rsidRDefault="00AF5870" w:rsidP="00AF5870">
      <w:r w:rsidRPr="00AF5870">
        <w:rPr>
          <w:b/>
          <w:bCs/>
        </w:rPr>
        <w:t>About Me</w:t>
      </w:r>
    </w:p>
    <w:p w14:paraId="3AE8FD06" w14:textId="77777777" w:rsidR="00AF5870" w:rsidRPr="00AF5870" w:rsidRDefault="00AF5870" w:rsidP="00AF5870">
      <w:r w:rsidRPr="00AF5870">
        <w:t>Montwedi ‘Monty’ Bakwena is a change management and digital transformation professional focusing on customer experience strategy, digital operations integration, channel migration, and public-private partnerships.</w:t>
      </w:r>
    </w:p>
    <w:p w14:paraId="173FB2C3" w14:textId="77777777" w:rsidR="00AF5870" w:rsidRPr="00AF5870" w:rsidRDefault="00AF5870" w:rsidP="00AF5870">
      <w:hyperlink r:id="rId6" w:tgtFrame="_self" w:history="1">
        <w:r w:rsidRPr="00AF5870">
          <w:rPr>
            <w:rStyle w:val="Hyperlink"/>
          </w:rPr>
          <w:t>Montwedibakwena@changemasters.co.bw</w:t>
        </w:r>
      </w:hyperlink>
    </w:p>
    <w:p w14:paraId="01B9A5AE" w14:textId="77777777" w:rsidR="00AF5870" w:rsidRPr="00AF5870" w:rsidRDefault="00AF5870" w:rsidP="00AF5870">
      <w:r w:rsidRPr="00AF5870">
        <w:t>info@changemasters.co.bw</w:t>
      </w:r>
    </w:p>
    <w:p w14:paraId="4A15B896" w14:textId="77777777" w:rsidR="00AF5870" w:rsidRPr="00AF5870" w:rsidRDefault="00AF5870" w:rsidP="00AF5870">
      <w:r w:rsidRPr="00AF5870">
        <w:t>+26774987072</w:t>
      </w:r>
    </w:p>
    <w:p w14:paraId="732386E8" w14:textId="77777777" w:rsidR="00AF5870" w:rsidRDefault="00AF5870"/>
    <w:sectPr w:rsidR="00AF5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BF2C51"/>
    <w:multiLevelType w:val="multilevel"/>
    <w:tmpl w:val="976A6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2961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70"/>
    <w:rsid w:val="006252A6"/>
    <w:rsid w:val="00AF5870"/>
    <w:rsid w:val="00B0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025D5"/>
  <w15:chartTrackingRefBased/>
  <w15:docId w15:val="{DB54F8CC-2536-4F37-9239-4EC79BF6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252A6"/>
    <w:pPr>
      <w:keepNext/>
      <w:keepLines/>
      <w:spacing w:before="360" w:after="80"/>
      <w:outlineLvl w:val="0"/>
    </w:pPr>
    <w:rPr>
      <w:rFonts w:ascii="Poppins" w:eastAsiaTheme="majorEastAsia" w:hAnsi="Poppins" w:cstheme="majorBidi"/>
      <w:b/>
      <w:color w:val="000000" w:themeColor="text1"/>
      <w:sz w:val="2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8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8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8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8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8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8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2A6"/>
    <w:rPr>
      <w:rFonts w:ascii="Poppins" w:eastAsiaTheme="majorEastAsia" w:hAnsi="Poppins" w:cstheme="majorBidi"/>
      <w:b/>
      <w:color w:val="000000" w:themeColor="text1"/>
      <w:sz w:val="2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8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8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8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8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8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8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8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8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8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8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8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8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8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8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8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8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87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58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8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50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1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ntwedibakwena@changemasters.co.bw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565</Words>
  <Characters>3223</Characters>
  <Application>Microsoft Office Word</Application>
  <DocSecurity>0</DocSecurity>
  <Lines>26</Lines>
  <Paragraphs>7</Paragraphs>
  <ScaleCrop>false</ScaleCrop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Scelo Hlope</dc:creator>
  <cp:keywords/>
  <dc:description/>
  <cp:lastModifiedBy>Scelo Hlope</cp:lastModifiedBy>
  <cp:revision>2</cp:revision>
  <dcterms:created xsi:type="dcterms:W3CDTF">2024-03-23T05:26:00Z</dcterms:created>
  <dcterms:modified xsi:type="dcterms:W3CDTF">2024-03-23T05:26:00Z</dcterms:modified>
</cp:coreProperties>
</file>