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A2A4F"/>
          <w:sz w:val="56"/>
          <w:szCs w:val="56"/>
        </w:rPr>
        <w:t xml:space="preserve">META BLUEPRINT</w:t>
      </w:r>
    </w:p>
    <w:p>
      <w:pPr>
        <w:spacing w:after="240"/>
        <w:jc w:val="center"/>
      </w:pPr>
      <w:r>
        <w:rPr>
          <w:b/>
          <w:bCs/>
          <w:color w:val="2E6CB5"/>
          <w:sz w:val="32"/>
          <w:szCs w:val="32"/>
        </w:rPr>
        <w:t xml:space="preserve">Professional Sertifikatlar — To'liq O'quv Materiali</w:t>
      </w:r>
    </w:p>
    <w:p>
      <w:pPr>
        <w:spacing w:after="120"/>
        <w:jc w:val="center"/>
      </w:pPr>
      <w:r>
        <w:rPr>
          <w:color w:val="555555"/>
          <w:sz w:val="26"/>
          <w:szCs w:val="26"/>
        </w:rPr>
        <w:t xml:space="preserve">4 ta professional yo'nalish bo'yicha o'zbek tilidagi qo'llanma</w:t>
      </w:r>
    </w:p>
    <w:p>
      <w:pPr>
        <w:spacing w:after="600"/>
        <w:jc w:val="center"/>
      </w:pPr>
      <w:r>
        <w:rPr>
          <w:b/>
          <w:bCs/>
          <w:color w:val="1A2A4F"/>
          <w:sz w:val="24"/>
          <w:szCs w:val="24"/>
        </w:rPr>
        <w:t xml:space="preserve">200-101  •  300-101  •  400-101  •  410-101</w:t>
      </w:r>
    </w:p>
    <w:p>
      <w:pPr>
        <w:spacing w:before="1200"/>
        <w:jc w:val="center"/>
      </w:pPr>
      <w:r>
        <w:rPr>
          <w:b/>
          <w:bCs/>
          <w:color w:val="555555"/>
          <w:sz w:val="24"/>
          <w:szCs w:val="24"/>
        </w:rPr>
        <w:t xml:space="preserve">Vision Group — Performance Marketing va Target kursi</w:t>
      </w:r>
    </w:p>
    <w:p>
      <w:pPr>
        <w:jc w:val="center"/>
      </w:pPr>
      <w:r>
        <w:rPr>
          <w:color w:val="555555"/>
          <w:sz w:val="22"/>
          <w:szCs w:val="22"/>
        </w:rPr>
        <w:t xml:space="preserve">2026</w:t>
      </w:r>
    </w:p>
    <w:p>
      <w:r>
        <w:br w:type="page"/>
      </w:r>
    </w:p>
    <w:p>
      <w:pPr>
        <w:pStyle w:val="Heading1"/>
      </w:pPr>
      <w:r>
        <w:t xml:space="preserve">Mundarija</w:t>
      </w:r>
    </w:p>
    <w:sdt>
      <w:sdtPr>
        <w:alias w:val="Mundarija"/>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Kirish: Meta Blueprint sertifikatlari haqida</w:t>
      </w:r>
    </w:p>
    <w:p>
      <w:pPr>
        <w:spacing w:after="120"/>
      </w:pPr>
      <w:r>
        <w:t xml:space="preserve">Meta Blueprint — Facebook, Instagram va Messenger platformalarida reklama qilishni o'rgatadigan Meta kompaniyasining rasmiy o'quv tizimi. O'quv materiallari (study guide va kurslar) bepul, lekin rasmiy sertifikat olish uchun pullik imtihon topshiriladi.</w:t>
      </w:r>
    </w:p>
    <w:p>
      <w:pPr>
        <w:spacing w:after="120"/>
      </w:pPr>
      <w:r>
        <w:t xml:space="preserve">Sertifikatlar ikki darajaga bo'linadi. Birinchisi — boshlang'ich Associate (100-101) darajasi. Undan keyin to'rtta professional yo'nalish keladi. Quyidagi qo'llanmada aynan shu to'rtta professional yo'nalishning rasmiy imtihon mavzulari to'liq o'zbek tilida yoritilgan.</w:t>
      </w:r>
    </w:p>
    <w:p>
      <w:pPr>
        <w:pStyle w:val="Heading3"/>
      </w:pPr>
      <w:r>
        <w:t xml:space="preserve">Umumiy taqqoslash jadvali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2400"/>
        <w:gridCol w:w="2200"/>
      </w:tblGrid>
      <w:tr>
        <w:trPr>
          <w:tblHeader/>
        </w:trPr>
        <w:tc>
          <w:tcPr>
            <w:tcW w:type="dxa" w:w="1400"/>
            <w:tcBorders>
              <w:top w:val="single" w:color="C9D3E0" w:sz="1"/>
              <w:left w:val="single" w:color="C9D3E0" w:sz="1"/>
              <w:bottom w:val="single" w:color="C9D3E0" w:sz="1"/>
              <w:right w:val="single" w:color="C9D3E0" w:sz="1"/>
            </w:tcBorders>
            <w:shd w:fill="1A2A4F" w:val="clear"/>
            <w:tcMar>
              <w:top w:type="dxa" w:w="80"/>
              <w:left w:type="dxa" w:w="120"/>
              <w:bottom w:type="dxa" w:w="80"/>
              <w:right w:type="dxa" w:w="120"/>
            </w:tcMar>
          </w:tcPr>
          <w:p>
            <w:r>
              <w:rPr>
                <w:b/>
                <w:bCs/>
                <w:color w:val="FFFFFF"/>
              </w:rPr>
              <w:t xml:space="preserve">Kod</w:t>
            </w:r>
          </w:p>
        </w:tc>
        <w:tc>
          <w:tcPr>
            <w:tcW w:type="dxa" w:w="3360"/>
            <w:tcBorders>
              <w:top w:val="single" w:color="C9D3E0" w:sz="1"/>
              <w:left w:val="single" w:color="C9D3E0" w:sz="1"/>
              <w:bottom w:val="single" w:color="C9D3E0" w:sz="1"/>
              <w:right w:val="single" w:color="C9D3E0" w:sz="1"/>
            </w:tcBorders>
            <w:shd w:fill="1A2A4F" w:val="clear"/>
            <w:tcMar>
              <w:top w:type="dxa" w:w="80"/>
              <w:left w:type="dxa" w:w="120"/>
              <w:bottom w:type="dxa" w:w="80"/>
              <w:right w:type="dxa" w:w="120"/>
            </w:tcMar>
          </w:tcPr>
          <w:p>
            <w:r>
              <w:rPr>
                <w:b/>
                <w:bCs/>
                <w:color w:val="FFFFFF"/>
              </w:rPr>
              <w:t xml:space="preserve">Yo'nalish</w:t>
            </w:r>
          </w:p>
        </w:tc>
        <w:tc>
          <w:tcPr>
            <w:tcW w:type="dxa" w:w="2400"/>
            <w:tcBorders>
              <w:top w:val="single" w:color="C9D3E0" w:sz="1"/>
              <w:left w:val="single" w:color="C9D3E0" w:sz="1"/>
              <w:bottom w:val="single" w:color="C9D3E0" w:sz="1"/>
              <w:right w:val="single" w:color="C9D3E0" w:sz="1"/>
            </w:tcBorders>
            <w:shd w:fill="1A2A4F" w:val="clear"/>
            <w:tcMar>
              <w:top w:type="dxa" w:w="80"/>
              <w:left w:type="dxa" w:w="120"/>
              <w:bottom w:type="dxa" w:w="80"/>
              <w:right w:type="dxa" w:w="120"/>
            </w:tcMar>
          </w:tcPr>
          <w:p>
            <w:r>
              <w:rPr>
                <w:b/>
                <w:bCs/>
                <w:color w:val="FFFFFF"/>
              </w:rPr>
              <w:t xml:space="preserve">Fokus</w:t>
            </w:r>
          </w:p>
        </w:tc>
        <w:tc>
          <w:tcPr>
            <w:tcW w:type="dxa" w:w="2200"/>
            <w:tcBorders>
              <w:top w:val="single" w:color="C9D3E0" w:sz="1"/>
              <w:left w:val="single" w:color="C9D3E0" w:sz="1"/>
              <w:bottom w:val="single" w:color="C9D3E0" w:sz="1"/>
              <w:right w:val="single" w:color="C9D3E0" w:sz="1"/>
            </w:tcBorders>
            <w:shd w:fill="1A2A4F" w:val="clear"/>
            <w:tcMar>
              <w:top w:type="dxa" w:w="80"/>
              <w:left w:type="dxa" w:w="120"/>
              <w:bottom w:type="dxa" w:w="80"/>
              <w:right w:type="dxa" w:w="120"/>
            </w:tcMar>
          </w:tcPr>
          <w:p>
            <w:r>
              <w:rPr>
                <w:b/>
                <w:bCs/>
                <w:color w:val="FFFFFF"/>
              </w:rPr>
              <w:t xml:space="preserve">Imtihon</w:t>
            </w:r>
          </w:p>
        </w:tc>
      </w:tr>
      <w:tr>
        <w:tc>
          <w:tcPr>
            <w:tcW w:type="dxa" w:w="14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bCs/>
                <w:color w:val="1A2A4F"/>
              </w:rPr>
              <w:t xml:space="preserve">200-101</w:t>
            </w:r>
          </w:p>
        </w:tc>
        <w:tc>
          <w:tcPr>
            <w:tcW w:type="dxa" w:w="336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Marketing Science Professional</w:t>
            </w:r>
          </w:p>
        </w:tc>
        <w:tc>
          <w:tcPr>
            <w:tcW w:type="dxa" w:w="24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Ma'lumot, o'lchov, attribution</w:t>
            </w:r>
          </w:p>
        </w:tc>
        <w:tc>
          <w:tcPr>
            <w:tcW w:type="dxa" w:w="22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105 daqiqa, ~$150</w:t>
            </w:r>
          </w:p>
        </w:tc>
      </w:tr>
      <w:tr>
        <w:tc>
          <w:tcPr>
            <w:tcW w:type="dxa" w:w="14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bCs/>
                <w:color w:val="1A2A4F"/>
              </w:rPr>
              <w:t xml:space="preserve">300-101</w:t>
            </w:r>
          </w:p>
        </w:tc>
        <w:tc>
          <w:tcPr>
            <w:tcW w:type="dxa" w:w="336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Creative Strategy Professional</w:t>
            </w:r>
          </w:p>
        </w:tc>
        <w:tc>
          <w:tcPr>
            <w:tcW w:type="dxa" w:w="24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Kreativ strategiya va brief</w:t>
            </w:r>
          </w:p>
        </w:tc>
        <w:tc>
          <w:tcPr>
            <w:tcW w:type="dxa" w:w="22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~$150</w:t>
            </w:r>
          </w:p>
        </w:tc>
      </w:tr>
      <w:tr>
        <w:tc>
          <w:tcPr>
            <w:tcW w:type="dxa" w:w="14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bCs/>
                <w:color w:val="1A2A4F"/>
              </w:rPr>
              <w:t xml:space="preserve">400-101</w:t>
            </w:r>
          </w:p>
        </w:tc>
        <w:tc>
          <w:tcPr>
            <w:tcW w:type="dxa" w:w="336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Media Planning Professional</w:t>
            </w:r>
          </w:p>
        </w:tc>
        <w:tc>
          <w:tcPr>
            <w:tcW w:type="dxa" w:w="24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Media rejalashtirish, byudjet</w:t>
            </w:r>
          </w:p>
        </w:tc>
        <w:tc>
          <w:tcPr>
            <w:tcW w:type="dxa" w:w="22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~$150</w:t>
            </w:r>
          </w:p>
        </w:tc>
      </w:tr>
      <w:tr>
        <w:tc>
          <w:tcPr>
            <w:tcW w:type="dxa" w:w="14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bCs/>
                <w:color w:val="1A2A4F"/>
              </w:rPr>
              <w:t xml:space="preserve">410-101</w:t>
            </w:r>
          </w:p>
        </w:tc>
        <w:tc>
          <w:tcPr>
            <w:tcW w:type="dxa" w:w="336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Media Buying Professional</w:t>
            </w:r>
          </w:p>
        </w:tc>
        <w:tc>
          <w:tcPr>
            <w:tcW w:type="dxa" w:w="24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Kampaniya sozlash, optimizatsiya</w:t>
            </w:r>
          </w:p>
        </w:tc>
        <w:tc>
          <w:tcPr>
            <w:tcW w:type="dxa" w:w="2200"/>
            <w:tcBorders>
              <w:top w:val="single" w:color="C9D3E0" w:sz="1"/>
              <w:left w:val="single" w:color="C9D3E0" w:sz="1"/>
              <w:bottom w:val="single" w:color="C9D3E0" w:sz="1"/>
              <w:right w:val="single" w:color="C9D3E0" w:sz="1"/>
            </w:tcBorders>
            <w:tcMar>
              <w:top w:type="dxa" w:w="80"/>
              <w:left w:type="dxa" w:w="120"/>
              <w:bottom w:type="dxa" w:w="80"/>
              <w:right w:type="dxa" w:w="120"/>
            </w:tcMar>
          </w:tcPr>
          <w:p>
            <w:r>
              <w:rPr>
                <w:b w:val="false"/>
                <w:bCs w:val="false"/>
                <w:color w:val="000000"/>
              </w:rPr>
              <w:t xml:space="preserve">60 savol, 105 daqiqa, ~$150</w:t>
            </w:r>
          </w:p>
        </w:tc>
      </w:tr>
    </w:tbl>
    <w:p>
      <w:r>
        <w:br w:type="page"/>
      </w:r>
    </w:p>
    <w:p>
      <w:pPr>
        <w:pStyle w:val="Heading1"/>
      </w:pPr>
      <w:r>
        <w:t xml:space="preserve">1. Marketing Science Professional (200-101)</w:t>
      </w:r>
    </w:p>
    <w:p>
      <w:pPr>
        <w:spacing w:after="120"/>
      </w:pPr>
      <w:r>
        <w:t xml:space="preserve">Bu yo'nalish ma'lumot, o'lchov (measurement), tahlil va attribution bo'yicha chuqur bilimni baholaydi. U ma'lumotlar olimi, marketing olimi, miqdoriy tadqiqotchi yoki ma'lumot tahlilchilari uchun mo'ljallangan. Tavsiya etilgan tajriba — o'lchov strategiyalari bo'yicha 3+ yil ish staji.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Imtihon davomiyligi</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105 daqiqa, ko'p tanlovli savollar</w:t>
            </w:r>
          </w:p>
        </w:tc>
      </w:tr>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Narxi</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~$150</w:t>
            </w:r>
          </w:p>
        </w:tc>
      </w:tr>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Daraja</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Professional (ilg'or)</w:t>
            </w:r>
          </w:p>
        </w:tc>
      </w:tr>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Format</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Qisqa keyslar, grafiklar, jadvallar — eng mantiqiy talqin/harakatni tanlash</w:t>
            </w:r>
          </w:p>
        </w:tc>
      </w:tr>
    </w:tbl>
    <w:p>
      <w:pPr>
        <w:pStyle w:val="Heading2"/>
      </w:pPr>
      <w:r>
        <w:t xml:space="preserve">1.1. Ma'lumot va o'lchov strategiyasi (Data &amp; Measurement Strategy)</w:t>
      </w:r>
    </w:p>
    <w:p>
      <w:pPr>
        <w:pStyle w:val="ListParagraph"/>
        <w:numPr>
          <w:ilvl w:val="0"/>
          <w:numId w:val="2"/>
        </w:numPr>
        <w:spacing w:after="40"/>
      </w:pPr>
      <w:r>
        <w:rPr>
          <w:b/>
          <w:bCs/>
        </w:rPr>
        <w:t xml:space="preserve">Biznes maqsadini KPI bilan moslash: </w:t>
      </w:r>
      <w:r>
        <w:t xml:space="preserve">aniq biznes maqsadlarini o'lchanadigan KPI va tahlil rejasiga bog'lash</w:t>
      </w:r>
    </w:p>
    <w:p>
      <w:pPr>
        <w:pStyle w:val="ListParagraph"/>
        <w:numPr>
          <w:ilvl w:val="0"/>
          <w:numId w:val="2"/>
        </w:numPr>
        <w:spacing w:after="40"/>
      </w:pPr>
      <w:r>
        <w:rPr>
          <w:b/>
          <w:bCs/>
        </w:rPr>
        <w:t xml:space="preserve">Ma'lumot manbalarini inventarizatsiya qilish: </w:t>
      </w:r>
      <w:r>
        <w:t xml:space="preserve">mavjud ma'lumot manbalarini sanab chiqish va kuzatib borish konsepsiyalari</w:t>
      </w:r>
    </w:p>
    <w:p>
      <w:pPr>
        <w:pStyle w:val="ListParagraph"/>
        <w:numPr>
          <w:ilvl w:val="0"/>
          <w:numId w:val="2"/>
        </w:numPr>
        <w:spacing w:after="40"/>
      </w:pPr>
      <w:r>
        <w:rPr>
          <w:b/>
          <w:bCs/>
        </w:rPr>
        <w:t xml:space="preserve">Maxfiylikni hisobga olgan strategiya: </w:t>
      </w:r>
      <w:r>
        <w:t xml:space="preserve">privacy-aware data strategiyalari — foydalanuvchi maxfiyligini buzmasdan o'lchash</w:t>
      </w:r>
    </w:p>
    <w:p>
      <w:pPr>
        <w:pStyle w:val="Heading2"/>
      </w:pPr>
      <w:r>
        <w:t xml:space="preserve">1.2. O'lchov metodologiyalari (Measurement Methodologies)</w:t>
      </w:r>
    </w:p>
    <w:p>
      <w:pPr>
        <w:pStyle w:val="ListParagraph"/>
        <w:numPr>
          <w:ilvl w:val="0"/>
          <w:numId w:val="2"/>
        </w:numPr>
        <w:spacing w:after="40"/>
      </w:pPr>
      <w:r>
        <w:rPr>
          <w:b/>
          <w:bCs/>
        </w:rPr>
        <w:t xml:space="preserve">Kanallararo farqlar: </w:t>
      </w:r>
      <w:r>
        <w:t xml:space="preserve">turli kanallardagi o'lchov usullari farqini baholash</w:t>
      </w:r>
    </w:p>
    <w:p>
      <w:pPr>
        <w:pStyle w:val="ListParagraph"/>
        <w:numPr>
          <w:ilvl w:val="0"/>
          <w:numId w:val="2"/>
        </w:numPr>
        <w:spacing w:after="40"/>
      </w:pPr>
      <w:r>
        <w:rPr>
          <w:b/>
          <w:bCs/>
        </w:rPr>
        <w:t xml:space="preserve">Taxminlarni aniqlash: </w:t>
      </w:r>
      <w:r>
        <w:t xml:space="preserve">vaziyatni baholab, asosiy taxminlarni (assumptions) aniqlash va tushuntirish</w:t>
      </w:r>
    </w:p>
    <w:p>
      <w:pPr>
        <w:pStyle w:val="ListParagraph"/>
        <w:numPr>
          <w:ilvl w:val="0"/>
          <w:numId w:val="2"/>
        </w:numPr>
        <w:spacing w:after="40"/>
      </w:pPr>
      <w:r>
        <w:rPr>
          <w:b/>
          <w:bCs/>
        </w:rPr>
        <w:t xml:space="preserve">Ma'lumot sifati: </w:t>
      </w:r>
      <w:r>
        <w:t xml:space="preserve">ma'lumotlar sifatini (data quality) tekshirish va tasdiqlash</w:t>
      </w:r>
    </w:p>
    <w:p>
      <w:pPr>
        <w:pStyle w:val="Heading2"/>
      </w:pPr>
      <w:r>
        <w:t xml:space="preserve">1.3. Eksperiment dizayni va gipotezalar</w:t>
      </w:r>
    </w:p>
    <w:p>
      <w:pPr>
        <w:pStyle w:val="ListParagraph"/>
        <w:numPr>
          <w:ilvl w:val="0"/>
          <w:numId w:val="2"/>
        </w:numPr>
        <w:spacing w:after="40"/>
      </w:pPr>
      <w:r>
        <w:rPr>
          <w:b/>
          <w:bCs/>
        </w:rPr>
        <w:t xml:space="preserve">Test o'zgaruvchisi: </w:t>
      </w:r>
      <w:r>
        <w:t xml:space="preserve">test qilish uchun o'zgaruvchini (variable) aniqlash</w:t>
      </w:r>
    </w:p>
    <w:p>
      <w:pPr>
        <w:pStyle w:val="ListParagraph"/>
        <w:numPr>
          <w:ilvl w:val="0"/>
          <w:numId w:val="2"/>
        </w:numPr>
        <w:spacing w:after="40"/>
      </w:pPr>
      <w:r>
        <w:rPr>
          <w:b/>
          <w:bCs/>
        </w:rPr>
        <w:t xml:space="preserve">O'lchov yondashuvi: </w:t>
      </w:r>
      <w:r>
        <w:t xml:space="preserve">tegishli o'lchov yondashuvini tanlash</w:t>
      </w:r>
    </w:p>
    <w:p>
      <w:pPr>
        <w:pStyle w:val="ListParagraph"/>
        <w:numPr>
          <w:ilvl w:val="0"/>
          <w:numId w:val="2"/>
        </w:numPr>
        <w:spacing w:after="40"/>
      </w:pPr>
      <w:r>
        <w:rPr>
          <w:b/>
          <w:bCs/>
        </w:rPr>
        <w:t xml:space="preserve">Gipoteza shakllantirish: </w:t>
      </w:r>
      <w:r>
        <w:t xml:space="preserve">isbotlanadigan yoki rad etiladigan gipotezani tuzish konsepsiyalari</w:t>
      </w:r>
    </w:p>
    <w:p>
      <w:pPr>
        <w:pStyle w:val="ListParagraph"/>
        <w:numPr>
          <w:ilvl w:val="0"/>
          <w:numId w:val="2"/>
        </w:numPr>
        <w:spacing w:after="40"/>
      </w:pPr>
      <w:r>
        <w:rPr>
          <w:b/>
          <w:bCs/>
        </w:rPr>
        <w:t xml:space="preserve">Keyingi qadamlar: </w:t>
      </w:r>
      <w:r>
        <w:t xml:space="preserve">gipoteza tasdiqlangan yoki rad etilganiga qarab harakat va keyingi qadamlarni belgilash</w:t>
      </w:r>
    </w:p>
    <w:p>
      <w:pPr>
        <w:pStyle w:val="Heading2"/>
      </w:pPr>
      <w:r>
        <w:t xml:space="preserve">1.4. Asosiy konsepsiyalar</w:t>
      </w:r>
    </w:p>
    <w:p>
      <w:pPr>
        <w:pStyle w:val="ListParagraph"/>
        <w:numPr>
          <w:ilvl w:val="0"/>
          <w:numId w:val="2"/>
        </w:numPr>
        <w:spacing w:after="40"/>
      </w:pPr>
      <w:r>
        <w:rPr>
          <w:b/>
          <w:bCs/>
        </w:rPr>
        <w:t xml:space="preserve">Lift measurement: </w:t>
      </w:r>
      <w:r>
        <w:t xml:space="preserve">reklamaning haqiqiy qo'shimcha ta'sirini (incremental lift) o'lchash — A/B test orqali reklama ko'rgan va ko'rmagan guruhlarni solishtirish</w:t>
      </w:r>
    </w:p>
    <w:p>
      <w:pPr>
        <w:pStyle w:val="ListParagraph"/>
        <w:numPr>
          <w:ilvl w:val="0"/>
          <w:numId w:val="2"/>
        </w:numPr>
        <w:spacing w:after="40"/>
      </w:pPr>
      <w:r>
        <w:rPr>
          <w:b/>
          <w:bCs/>
        </w:rPr>
        <w:t xml:space="preserve">Multi-touch attribution: </w:t>
      </w:r>
      <w:r>
        <w:t xml:space="preserve">mijoz yo'lidagi bir nechta teginishlar (touchpoints) o'rtasida natijani taqsimlash</w:t>
      </w:r>
    </w:p>
    <w:p>
      <w:pPr>
        <w:pStyle w:val="ListParagraph"/>
        <w:numPr>
          <w:ilvl w:val="0"/>
          <w:numId w:val="2"/>
        </w:numPr>
        <w:spacing w:after="40"/>
      </w:pPr>
      <w:r>
        <w:rPr>
          <w:b/>
          <w:bCs/>
        </w:rPr>
        <w:t xml:space="preserve">Privacy-aware o'lchov: </w:t>
      </w:r>
      <w:r>
        <w:t xml:space="preserve">Conversions API, modellashtirilgan konversiyalar va agregatlangan ma'lumotlar</w:t>
      </w:r>
    </w:p>
    <w:p>
      <w:r>
        <w:br w:type="page"/>
      </w:r>
    </w:p>
    <w:p>
      <w:pPr>
        <w:pStyle w:val="Heading1"/>
      </w:pPr>
      <w:r>
        <w:t xml:space="preserve">2. Creative Strategy Professional (300-101)</w:t>
      </w:r>
    </w:p>
    <w:p>
      <w:pPr>
        <w:spacing w:after="120"/>
      </w:pPr>
      <w:r>
        <w:t xml:space="preserve">Bu yo'nalish insightga asoslangan kreativ brieflar tuzish, mobil kreativ ta'sirini oshirish va Facebook, Instagram, Messenger'da yaxshiroq natijaga erishish bo'yicha ilg'or strategik ko'nikmalarni baholaydi. Brendlar uchun kreativ reklama strategiyasini ishlab chiqish tajribasiga ega mutaxassislarga mo'ljallangan.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Daraja</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Professional (ilg'or)</w:t>
            </w:r>
          </w:p>
        </w:tc>
      </w:tr>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Narxi</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~$150</w:t>
            </w:r>
          </w:p>
        </w:tc>
      </w:tr>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Fokus</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Mobil kreativ, kreativ brief, A/B test, video best practice</w:t>
            </w:r>
          </w:p>
        </w:tc>
      </w:tr>
    </w:tbl>
    <w:p>
      <w:pPr>
        <w:pStyle w:val="Heading2"/>
      </w:pPr>
      <w:r>
        <w:t xml:space="preserve">2.1. Mobil kreativ strategiya (Mobile Creative Strategy)</w:t>
      </w:r>
    </w:p>
    <w:p>
      <w:pPr>
        <w:spacing w:after="120"/>
      </w:pPr>
      <w:r>
        <w:t xml:space="preserve">Dunyo bo'ylab mobil video iste'moli o'sib bormoqda. Shu sababli kreativni mobil qurilmalar uchun optimallashtirish zarur.</w:t>
      </w:r>
    </w:p>
    <w:p>
      <w:pPr>
        <w:pStyle w:val="ListParagraph"/>
        <w:numPr>
          <w:ilvl w:val="0"/>
          <w:numId w:val="2"/>
        </w:numPr>
        <w:spacing w:after="40"/>
      </w:pPr>
      <w:r>
        <w:rPr>
          <w:b/>
          <w:bCs/>
        </w:rPr>
        <w:t xml:space="preserve">Aspect ratio (nisbat): </w:t>
      </w:r>
      <w:r>
        <w:t xml:space="preserve">vertikal 9:16 nisbat Stories va Reels uchun tavsiya etiladi — odamlar telefonni vertikal ushlaydi, ekranni to'liq egallaydi</w:t>
      </w:r>
    </w:p>
    <w:p>
      <w:pPr>
        <w:pStyle w:val="ListParagraph"/>
        <w:numPr>
          <w:ilvl w:val="0"/>
          <w:numId w:val="2"/>
        </w:numPr>
        <w:spacing w:after="40"/>
      </w:pPr>
      <w:r>
        <w:rPr>
          <w:b/>
          <w:bCs/>
        </w:rPr>
        <w:t xml:space="preserve">Ilk soniyalar: </w:t>
      </w:r>
      <w:r>
        <w:t xml:space="preserve">mobil foydalanuvchi e'tiborini birinchi 3 soniyada ushlash (hook)</w:t>
      </w:r>
    </w:p>
    <w:p>
      <w:pPr>
        <w:pStyle w:val="ListParagraph"/>
        <w:numPr>
          <w:ilvl w:val="0"/>
          <w:numId w:val="2"/>
        </w:numPr>
        <w:spacing w:after="40"/>
      </w:pPr>
      <w:r>
        <w:rPr>
          <w:b/>
          <w:bCs/>
        </w:rPr>
        <w:t xml:space="preserve">Formatga moslik: </w:t>
      </w:r>
      <w:r>
        <w:t xml:space="preserve">har bir joylashuv (placement) uchun mos format tanlash</w:t>
      </w:r>
    </w:p>
    <w:p>
      <w:pPr>
        <w:pStyle w:val="Heading2"/>
      </w:pPr>
      <w:r>
        <w:t xml:space="preserve">2.2. Video reklama best practice</w:t>
      </w:r>
    </w:p>
    <w:p>
      <w:pPr>
        <w:pStyle w:val="ListParagraph"/>
        <w:numPr>
          <w:ilvl w:val="0"/>
          <w:numId w:val="2"/>
        </w:numPr>
        <w:spacing w:after="40"/>
      </w:pPr>
      <w:r>
        <w:rPr>
          <w:b/>
          <w:bCs/>
        </w:rPr>
        <w:t xml:space="preserve">Ovozli va ovozsiz: </w:t>
      </w:r>
      <w:r>
        <w:t xml:space="preserve">reklama ovoz yoqilgan ham, o'chirilgan ham holatda samarali bo'lishi kerak</w:t>
      </w:r>
    </w:p>
    <w:p>
      <w:pPr>
        <w:pStyle w:val="ListParagraph"/>
        <w:numPr>
          <w:ilvl w:val="0"/>
          <w:numId w:val="2"/>
        </w:numPr>
        <w:spacing w:after="40"/>
      </w:pPr>
      <w:r>
        <w:rPr>
          <w:b/>
          <w:bCs/>
        </w:rPr>
        <w:t xml:space="preserve">Tipografiya va grafika: </w:t>
      </w:r>
      <w:r>
        <w:t xml:space="preserve">ovozsiz tomosha qiluvchilar uchun matn (typographic treatment) va grafika foydali</w:t>
      </w:r>
    </w:p>
    <w:p>
      <w:pPr>
        <w:pStyle w:val="ListParagraph"/>
        <w:numPr>
          <w:ilvl w:val="0"/>
          <w:numId w:val="2"/>
        </w:numPr>
        <w:spacing w:after="40"/>
      </w:pPr>
      <w:r>
        <w:rPr>
          <w:b/>
          <w:bCs/>
        </w:rPr>
        <w:t xml:space="preserve">Subtitrlar: </w:t>
      </w:r>
      <w:r>
        <w:t xml:space="preserve">reklamaga subtitr qo'shish tushunarlilikni oshiradi</w:t>
      </w:r>
    </w:p>
    <w:p>
      <w:pPr>
        <w:pStyle w:val="Heading2"/>
      </w:pPr>
      <w:r>
        <w:t xml:space="preserve">2.3. Kreativ brief (Creative Brief)</w:t>
      </w:r>
    </w:p>
    <w:p>
      <w:pPr>
        <w:pStyle w:val="ListParagraph"/>
        <w:numPr>
          <w:ilvl w:val="0"/>
          <w:numId w:val="2"/>
        </w:numPr>
        <w:spacing w:after="40"/>
      </w:pPr>
      <w:r>
        <w:rPr>
          <w:b/>
          <w:bCs/>
        </w:rPr>
        <w:t xml:space="preserve">Insight asosida: </w:t>
      </w:r>
      <w:r>
        <w:t xml:space="preserve">reklama strategiyasini yo'naltiradigan, mijoz insightiga asoslangan brief tuzish</w:t>
      </w:r>
    </w:p>
    <w:p>
      <w:pPr>
        <w:pStyle w:val="ListParagraph"/>
        <w:numPr>
          <w:ilvl w:val="0"/>
          <w:numId w:val="2"/>
        </w:numPr>
        <w:spacing w:after="40"/>
      </w:pPr>
      <w:r>
        <w:rPr>
          <w:b/>
          <w:bCs/>
        </w:rPr>
        <w:t xml:space="preserve">Maqsad va xabar: </w:t>
      </w:r>
      <w:r>
        <w:t xml:space="preserve">kreativ maqsad, asosiy xabar (message) va harakatga chaqiriqni (CTA) aniq belgilash</w:t>
      </w:r>
    </w:p>
    <w:p>
      <w:pPr>
        <w:pStyle w:val="Heading2"/>
      </w:pPr>
      <w:r>
        <w:t xml:space="preserve">2.4. A/B testing</w:t>
      </w:r>
    </w:p>
    <w:p>
      <w:pPr>
        <w:pStyle w:val="ListParagraph"/>
        <w:numPr>
          <w:ilvl w:val="0"/>
          <w:numId w:val="2"/>
        </w:numPr>
        <w:spacing w:after="40"/>
      </w:pPr>
      <w:r>
        <w:rPr>
          <w:b/>
          <w:bCs/>
        </w:rPr>
        <w:t xml:space="preserve">Variantlarni sinash: </w:t>
      </w:r>
      <w:r>
        <w:t xml:space="preserve">reklamaning turli versiyalarini sinab, qaysi biri yaxshi ishlashini aniqlash</w:t>
      </w:r>
    </w:p>
    <w:p>
      <w:pPr>
        <w:pStyle w:val="ListParagraph"/>
        <w:numPr>
          <w:ilvl w:val="0"/>
          <w:numId w:val="2"/>
        </w:numPr>
        <w:spacing w:after="40"/>
      </w:pPr>
      <w:r>
        <w:rPr>
          <w:b/>
          <w:bCs/>
        </w:rPr>
        <w:t xml:space="preserve">Kelajakdagi kampaniyalar: </w:t>
      </w:r>
      <w:r>
        <w:t xml:space="preserve">test natijalaridan kelgusi kampaniyalarni yaxshilashda foydalanish</w:t>
      </w:r>
    </w:p>
    <w:p>
      <w:r>
        <w:br w:type="page"/>
      </w:r>
    </w:p>
    <w:p>
      <w:pPr>
        <w:pStyle w:val="Heading1"/>
      </w:pPr>
      <w:r>
        <w:t xml:space="preserve">3. Media Planning Professional (400-101)</w:t>
      </w:r>
    </w:p>
    <w:p>
      <w:pPr>
        <w:spacing w:after="120"/>
      </w:pPr>
      <w:r>
        <w:t xml:space="preserve">Bu yo'nalish biznes maqsadlariga mos media tavsiyalar berish bo'yicha ilg'or kompetensiyani baholaydi. Bunga ma'lumot, insight va o'tgan natijalarni tahlil qilib reklama maqsadi, auditoriya, joylashuv, format, byudjet va o'lchov tizimini tavsiya qilish kiradi (Facebook ilovasi, Messenger,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Daraja</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Professional (ilg'or)</w:t>
            </w:r>
          </w:p>
        </w:tc>
      </w:tr>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Narxi</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~$150</w:t>
            </w:r>
          </w:p>
        </w:tc>
      </w:tr>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Amaliyot</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30 savollik amaliy test mavjud</w:t>
            </w:r>
          </w:p>
        </w:tc>
      </w:tr>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Fokus</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Maqsad tanlash, format/joylashuv, byudjet, o'lchov tizimi</w:t>
            </w:r>
          </w:p>
        </w:tc>
      </w:tr>
    </w:tbl>
    <w:p>
      <w:pPr>
        <w:pStyle w:val="Heading2"/>
      </w:pPr>
      <w:r>
        <w:t xml:space="preserve">3.1. Biznes maqsadini tushunish</w:t>
      </w:r>
    </w:p>
    <w:p>
      <w:pPr>
        <w:pStyle w:val="ListParagraph"/>
        <w:numPr>
          <w:ilvl w:val="0"/>
          <w:numId w:val="2"/>
        </w:numPr>
        <w:spacing w:after="40"/>
      </w:pPr>
      <w:r>
        <w:rPr>
          <w:b/>
          <w:bCs/>
        </w:rPr>
        <w:t xml:space="preserve">Marketing maqsadini moslash: </w:t>
      </w:r>
      <w:r>
        <w:t xml:space="preserve">biznes ehtiyojiga mos eng yaxshi Facebook marketing maqsadini (objective) tanlash</w:t>
      </w:r>
    </w:p>
    <w:p>
      <w:pPr>
        <w:pStyle w:val="ListParagraph"/>
        <w:numPr>
          <w:ilvl w:val="0"/>
          <w:numId w:val="2"/>
        </w:numPr>
        <w:spacing w:after="40"/>
      </w:pPr>
      <w:r>
        <w:rPr>
          <w:b/>
          <w:bCs/>
        </w:rPr>
        <w:t xml:space="preserve">Muvaffaqiyatni o'lchash: </w:t>
      </w:r>
      <w:r>
        <w:t xml:space="preserve">maqsadga erishilganini qanday o'lchashni oldindan belgilash</w:t>
      </w:r>
    </w:p>
    <w:p>
      <w:pPr>
        <w:pStyle w:val="Heading2"/>
      </w:pPr>
      <w:r>
        <w:t xml:space="preserve">3.2. Insightlarni rejalashtirish jarayoniga tatbiq etish</w:t>
      </w:r>
    </w:p>
    <w:p>
      <w:pPr>
        <w:pStyle w:val="ListParagraph"/>
        <w:numPr>
          <w:ilvl w:val="0"/>
          <w:numId w:val="2"/>
        </w:numPr>
        <w:spacing w:after="40"/>
      </w:pPr>
      <w:r>
        <w:rPr>
          <w:b/>
          <w:bCs/>
        </w:rPr>
        <w:t xml:space="preserve">Ma'lumotdan reja: </w:t>
      </w:r>
      <w:r>
        <w:t xml:space="preserve">ma'lumot va insightlarni o'rganib, kampaniya rejasiga tatbiq etish</w:t>
      </w:r>
    </w:p>
    <w:p>
      <w:pPr>
        <w:pStyle w:val="ListParagraph"/>
        <w:numPr>
          <w:ilvl w:val="0"/>
          <w:numId w:val="2"/>
        </w:numPr>
        <w:spacing w:after="40"/>
      </w:pPr>
      <w:r>
        <w:rPr>
          <w:b/>
          <w:bCs/>
        </w:rPr>
        <w:t xml:space="preserve">O'tgan natijalar: </w:t>
      </w:r>
      <w:r>
        <w:t xml:space="preserve">oldingi kampaniya natijalaridan kelajak rejasi uchun xulosa chiqarish</w:t>
      </w:r>
    </w:p>
    <w:p>
      <w:pPr>
        <w:pStyle w:val="Heading2"/>
      </w:pPr>
      <w:r>
        <w:t xml:space="preserve">3.3. Media tavsiyalar (formatlar va joylashuvlar)</w:t>
      </w:r>
    </w:p>
    <w:p>
      <w:pPr>
        <w:pStyle w:val="ListParagraph"/>
        <w:numPr>
          <w:ilvl w:val="0"/>
          <w:numId w:val="2"/>
        </w:numPr>
        <w:spacing w:after="40"/>
      </w:pPr>
      <w:r>
        <w:rPr>
          <w:b/>
          <w:bCs/>
        </w:rPr>
        <w:t xml:space="preserve">Barcha formatlar: </w:t>
      </w:r>
      <w:r>
        <w:t xml:space="preserve">kampaniya rejalashtirishda mavjud barcha reklama formatlari va joylashuvlarini bilish</w:t>
      </w:r>
    </w:p>
    <w:p>
      <w:pPr>
        <w:pStyle w:val="ListParagraph"/>
        <w:numPr>
          <w:ilvl w:val="0"/>
          <w:numId w:val="2"/>
        </w:numPr>
        <w:spacing w:after="40"/>
      </w:pPr>
      <w:r>
        <w:rPr>
          <w:b/>
          <w:bCs/>
        </w:rPr>
        <w:t xml:space="preserve">Joylashuvlar birgalikda: </w:t>
      </w:r>
      <w:r>
        <w:t xml:space="preserve">joylashuvlar (placements) qanday birgalikda ishlab, odamlarga samaraliroq yetib borishini tushunish</w:t>
      </w:r>
    </w:p>
    <w:p>
      <w:pPr>
        <w:pStyle w:val="ListParagraph"/>
        <w:numPr>
          <w:ilvl w:val="0"/>
          <w:numId w:val="2"/>
        </w:numPr>
        <w:spacing w:after="40"/>
      </w:pPr>
      <w:r>
        <w:rPr>
          <w:b/>
          <w:bCs/>
        </w:rPr>
        <w:t xml:space="preserve">Auditoriya strategiyasi: </w:t>
      </w:r>
      <w:r>
        <w:t xml:space="preserve">maqsadli auditoriyani aniqlash va segmentlash</w:t>
      </w:r>
    </w:p>
    <w:p>
      <w:pPr>
        <w:pStyle w:val="Heading2"/>
      </w:pPr>
      <w:r>
        <w:t xml:space="preserve">3.4. O'lchov tizimi (Measurement Framework)</w:t>
      </w:r>
    </w:p>
    <w:p>
      <w:pPr>
        <w:pStyle w:val="ListParagraph"/>
        <w:numPr>
          <w:ilvl w:val="0"/>
          <w:numId w:val="2"/>
        </w:numPr>
        <w:spacing w:after="40"/>
      </w:pPr>
      <w:r>
        <w:rPr>
          <w:b/>
          <w:bCs/>
        </w:rPr>
        <w:t xml:space="preserve">Meta o'lchov yondashuvi: </w:t>
      </w:r>
      <w:r>
        <w:t xml:space="preserve">Meta'ning o'lchov yondashuvi, birinchi va uchinchi tomon (first/third-party) o'lchov yechimlari</w:t>
      </w:r>
    </w:p>
    <w:p>
      <w:pPr>
        <w:pStyle w:val="ListParagraph"/>
        <w:numPr>
          <w:ilvl w:val="0"/>
          <w:numId w:val="2"/>
        </w:numPr>
        <w:spacing w:after="40"/>
      </w:pPr>
      <w:r>
        <w:rPr>
          <w:b/>
          <w:bCs/>
        </w:rPr>
        <w:t xml:space="preserve">Ads Manager: </w:t>
      </w:r>
      <w:r>
        <w:t xml:space="preserve">Ads Manager'da harakatlanish va hisobot (reporting) funksiyasidan foydalanish</w:t>
      </w:r>
    </w:p>
    <w:p>
      <w:pPr>
        <w:pStyle w:val="ListParagraph"/>
        <w:numPr>
          <w:ilvl w:val="0"/>
          <w:numId w:val="2"/>
        </w:numPr>
        <w:spacing w:after="40"/>
      </w:pPr>
      <w:r>
        <w:rPr>
          <w:b/>
          <w:bCs/>
        </w:rPr>
        <w:t xml:space="preserve">Natijani kuzatish: </w:t>
      </w:r>
      <w:r>
        <w:t xml:space="preserve">kampaniya samaradorligini monitoring qilish</w:t>
      </w:r>
    </w:p>
    <w:p>
      <w:r>
        <w:br w:type="page"/>
      </w:r>
    </w:p>
    <w:p>
      <w:pPr>
        <w:pStyle w:val="Heading1"/>
      </w:pPr>
      <w:r>
        <w:t xml:space="preserve">4. Media Buying Professional (410-101)</w:t>
      </w:r>
    </w:p>
    <w:p>
      <w:pPr>
        <w:spacing w:after="120"/>
      </w:pPr>
      <w:r>
        <w:t xml:space="preserve">Bu yo'nalish reklamani boshqarish, yaratish va sotib olish bo'yicha ilg'or amaliy kompetensiyani baholaydi. Aynan shu sertifikat Meta Certified Performance Marketing Specialist nishoniga olib boradi — shuning uchun performance marketing uchun eng muhim yo'nalish hisoblanadi.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Imtihon</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60 ta ko'p tanlovli savol, 105 daqiqa</w:t>
            </w:r>
          </w:p>
        </w:tc>
      </w:tr>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Narxi</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~$150</w:t>
            </w:r>
          </w:p>
        </w:tc>
      </w:tr>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Natija</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Performance Marketing Specialist nishoniga yo'l ochadi</w:t>
            </w:r>
          </w:p>
        </w:tc>
      </w:tr>
      <w:tr>
        <w:tc>
          <w:tcPr>
            <w:tcW w:type="dxa" w:w="3000"/>
            <w:tcBorders>
              <w:top w:val="single" w:color="C9D3E0" w:sz="1"/>
              <w:left w:val="single" w:color="C9D3E0" w:sz="1"/>
              <w:bottom w:val="single" w:color="C9D3E0" w:sz="1"/>
              <w:right w:val="single" w:color="C9D3E0" w:sz="1"/>
            </w:tcBorders>
            <w:shd w:fill="E8EEF7" w:val="clear"/>
            <w:tcMar>
              <w:top w:type="dxa" w:w="80"/>
              <w:left w:type="dxa" w:w="120"/>
              <w:bottom w:type="dxa" w:w="80"/>
              <w:right w:type="dxa" w:w="120"/>
            </w:tcMar>
          </w:tcPr>
          <w:p>
            <w:r>
              <w:rPr>
                <w:b/>
                <w:bCs/>
                <w:color w:val="1A2A4F"/>
              </w:rPr>
              <w:t xml:space="preserve">Fokus</w:t>
            </w:r>
          </w:p>
        </w:tc>
        <w:tc>
          <w:tcPr>
            <w:tcW w:type="dxa" w:w="6360"/>
            <w:tcBorders>
              <w:top w:val="single" w:color="C9D3E0" w:sz="1"/>
              <w:left w:val="single" w:color="C9D3E0" w:sz="1"/>
              <w:bottom w:val="single" w:color="C9D3E0" w:sz="1"/>
              <w:right w:val="single" w:color="C9D3E0" w:sz="1"/>
            </w:tcBorders>
            <w:tcMar>
              <w:top w:type="dxa" w:w="80"/>
              <w:left w:type="dxa" w:w="120"/>
              <w:bottom w:type="dxa" w:w="80"/>
              <w:right w:type="dxa" w:w="120"/>
            </w:tcMar>
          </w:tcPr>
          <w:p>
            <w:r>
              <w:t xml:space="preserve">Kampaniya sozlash, auksion, optimizatsiya, o'lchov</w:t>
            </w:r>
          </w:p>
        </w:tc>
      </w:tr>
    </w:tbl>
    <w:p>
      <w:pPr>
        <w:pStyle w:val="Heading2"/>
      </w:pPr>
      <w:r>
        <w:t xml:space="preserve">4.1. Reklamani boshqarish, yaratish va sotib olish</w:t>
      </w:r>
    </w:p>
    <w:p>
      <w:pPr>
        <w:pStyle w:val="ListParagraph"/>
        <w:numPr>
          <w:ilvl w:val="0"/>
          <w:numId w:val="2"/>
        </w:numPr>
        <w:spacing w:after="40"/>
      </w:pPr>
      <w:r>
        <w:rPr>
          <w:b/>
          <w:bCs/>
        </w:rPr>
        <w:t xml:space="preserve">Ad buying turlari: </w:t>
      </w:r>
      <w:r>
        <w:t xml:space="preserve">reklama sotib olish turlarini (buying types) tushunish va to'g'ri tanlash</w:t>
      </w:r>
    </w:p>
    <w:p>
      <w:pPr>
        <w:pStyle w:val="ListParagraph"/>
        <w:numPr>
          <w:ilvl w:val="0"/>
          <w:numId w:val="2"/>
        </w:numPr>
        <w:spacing w:after="40"/>
      </w:pPr>
      <w:r>
        <w:rPr>
          <w:b/>
          <w:bCs/>
        </w:rPr>
        <w:t xml:space="preserve">Ads Manager va Business Manager: </w:t>
      </w:r>
      <w:r>
        <w:t xml:space="preserve">kampaniyalarni yaratish va boshqarish vositalari</w:t>
      </w:r>
    </w:p>
    <w:p>
      <w:pPr>
        <w:pStyle w:val="ListParagraph"/>
        <w:numPr>
          <w:ilvl w:val="0"/>
          <w:numId w:val="2"/>
        </w:numPr>
        <w:spacing w:after="40"/>
      </w:pPr>
      <w:r>
        <w:rPr>
          <w:b/>
          <w:bCs/>
        </w:rPr>
        <w:t xml:space="preserve">Reklama maqsadlari: </w:t>
      </w:r>
      <w:r>
        <w:t xml:space="preserve">kampaniya maqsadlarini sozlash</w:t>
      </w:r>
    </w:p>
    <w:p>
      <w:pPr>
        <w:pStyle w:val="Heading2"/>
      </w:pPr>
      <w:r>
        <w:t xml:space="preserve">4.2. Auksion va yetkazib berish (Auction &amp; Delivery)</w:t>
      </w:r>
    </w:p>
    <w:p>
      <w:pPr>
        <w:pStyle w:val="ListParagraph"/>
        <w:numPr>
          <w:ilvl w:val="0"/>
          <w:numId w:val="2"/>
        </w:numPr>
        <w:spacing w:after="40"/>
      </w:pPr>
      <w:r>
        <w:rPr>
          <w:b/>
          <w:bCs/>
        </w:rPr>
        <w:t xml:space="preserve">Reklama auksioni: </w:t>
      </w:r>
      <w:r>
        <w:t xml:space="preserve">ad auction orqali samaradorlik va yetkazib berishni (delivery) yaxshilash</w:t>
      </w:r>
    </w:p>
    <w:p>
      <w:pPr>
        <w:pStyle w:val="ListParagraph"/>
        <w:numPr>
          <w:ilvl w:val="0"/>
          <w:numId w:val="2"/>
        </w:numPr>
        <w:spacing w:after="40"/>
      </w:pPr>
      <w:r>
        <w:rPr>
          <w:b/>
          <w:bCs/>
        </w:rPr>
        <w:t xml:space="preserve">Muammolarni bartaraf etish: </w:t>
      </w:r>
      <w:r>
        <w:t xml:space="preserve">reklama bilan bog'liq muammolarni (troubleshooting) aniqlash va hal qilish</w:t>
      </w:r>
    </w:p>
    <w:p>
      <w:pPr>
        <w:pStyle w:val="Heading2"/>
      </w:pPr>
      <w:r>
        <w:t xml:space="preserve">4.3. Format, auditoriya va maqsad</w:t>
      </w:r>
    </w:p>
    <w:p>
      <w:pPr>
        <w:pStyle w:val="ListParagraph"/>
        <w:numPr>
          <w:ilvl w:val="0"/>
          <w:numId w:val="2"/>
        </w:numPr>
        <w:spacing w:after="40"/>
      </w:pPr>
      <w:r>
        <w:rPr>
          <w:b/>
          <w:bCs/>
        </w:rPr>
        <w:t xml:space="preserve">Format va maqsad: </w:t>
      </w:r>
      <w:r>
        <w:t xml:space="preserve">reklama formatlarini reklama maqsadlariga moslash</w:t>
      </w:r>
    </w:p>
    <w:p>
      <w:pPr>
        <w:pStyle w:val="ListParagraph"/>
        <w:numPr>
          <w:ilvl w:val="0"/>
          <w:numId w:val="2"/>
        </w:numPr>
        <w:spacing w:after="40"/>
      </w:pPr>
      <w:r>
        <w:rPr>
          <w:b/>
          <w:bCs/>
        </w:rPr>
        <w:t xml:space="preserve">Auditoriya targeting: </w:t>
      </w:r>
      <w:r>
        <w:t xml:space="preserve">Core, Custom va Lookalike auditoriyalarni qo'llash</w:t>
      </w:r>
    </w:p>
    <w:p>
      <w:pPr>
        <w:pStyle w:val="ListParagraph"/>
        <w:numPr>
          <w:ilvl w:val="0"/>
          <w:numId w:val="2"/>
        </w:numPr>
        <w:spacing w:after="40"/>
      </w:pPr>
      <w:r>
        <w:rPr>
          <w:b/>
          <w:bCs/>
        </w:rPr>
        <w:t xml:space="preserve">KPI va maqsad: </w:t>
      </w:r>
      <w:r>
        <w:t xml:space="preserve">KPI'larni sotib olish maqsadlariga (buying objectives) bog'lash</w:t>
      </w:r>
    </w:p>
    <w:p>
      <w:pPr>
        <w:pStyle w:val="Heading2"/>
      </w:pPr>
      <w:r>
        <w:t xml:space="preserve">4.4. O'lchov va piksel</w:t>
      </w:r>
    </w:p>
    <w:p>
      <w:pPr>
        <w:pStyle w:val="ListParagraph"/>
        <w:numPr>
          <w:ilvl w:val="0"/>
          <w:numId w:val="2"/>
        </w:numPr>
        <w:spacing w:after="40"/>
      </w:pPr>
      <w:r>
        <w:rPr>
          <w:b/>
          <w:bCs/>
        </w:rPr>
        <w:t xml:space="preserve">Meta Pixel va SDK: </w:t>
      </w:r>
      <w:r>
        <w:t xml:space="preserve">Meta pixel, SDK va offline konversiyalarni tushunish va sinash</w:t>
      </w:r>
    </w:p>
    <w:p>
      <w:pPr>
        <w:pStyle w:val="ListParagraph"/>
        <w:numPr>
          <w:ilvl w:val="0"/>
          <w:numId w:val="2"/>
        </w:numPr>
        <w:spacing w:after="40"/>
      </w:pPr>
      <w:r>
        <w:rPr>
          <w:b/>
          <w:bCs/>
        </w:rPr>
        <w:t xml:space="preserve">Kampaniya o'lchovi: </w:t>
      </w:r>
      <w:r>
        <w:t xml:space="preserve">campaign measurement va hisobot (reporting)</w:t>
      </w:r>
    </w:p>
    <w:p>
      <w:r>
        <w:br w:type="page"/>
      </w:r>
    </w:p>
    <w:p>
      <w:pPr>
        <w:pStyle w:val="Heading1"/>
      </w:pPr>
      <w:r>
        <w:t xml:space="preserve">5. Tavsiya etilgan o'rganish ketma-ketligi</w:t>
      </w:r>
    </w:p>
    <w:p>
      <w:pPr>
        <w:spacing w:after="120"/>
      </w:pPr>
      <w:r>
        <w:t xml:space="preserve">To'rtta yo'nalishni quyidagi tartibda o'rganish tavsiya etiladi. Avval umumiy asos, keyin amaliy va strategik yo'nalishlar.</w:t>
      </w:r>
    </w:p>
    <w:p>
      <w:pPr>
        <w:pStyle w:val="ListParagraph"/>
        <w:numPr>
          <w:ilvl w:val="0"/>
          <w:numId w:val="2"/>
        </w:numPr>
        <w:spacing w:after="40"/>
      </w:pPr>
      <w:r>
        <w:rPr>
          <w:b/>
          <w:bCs/>
        </w:rPr>
        <w:t xml:space="preserve">1-qadam: </w:t>
      </w:r>
      <w:r>
        <w:t xml:space="preserve">100-101 Associate (bepul) — barcha professional yo'nalishlar uchun poydevor</w:t>
      </w:r>
    </w:p>
    <w:p>
      <w:pPr>
        <w:pStyle w:val="ListParagraph"/>
        <w:numPr>
          <w:ilvl w:val="0"/>
          <w:numId w:val="2"/>
        </w:numPr>
        <w:spacing w:after="40"/>
      </w:pPr>
      <w:r>
        <w:rPr>
          <w:b/>
          <w:bCs/>
        </w:rPr>
        <w:t xml:space="preserve">2-qadam: </w:t>
      </w:r>
      <w:r>
        <w:t xml:space="preserve">410-101 Media Buying — amaliy reklama sotib olish (Performance Marketing yadrosi)</w:t>
      </w:r>
    </w:p>
    <w:p>
      <w:pPr>
        <w:pStyle w:val="ListParagraph"/>
        <w:numPr>
          <w:ilvl w:val="0"/>
          <w:numId w:val="2"/>
        </w:numPr>
        <w:spacing w:after="40"/>
      </w:pPr>
      <w:r>
        <w:rPr>
          <w:b/>
          <w:bCs/>
        </w:rPr>
        <w:t xml:space="preserve">3-qadam: </w:t>
      </w:r>
      <w:r>
        <w:t xml:space="preserve">400-101 Media Planning — strategik rejalashtirish va byudjet</w:t>
      </w:r>
    </w:p>
    <w:p>
      <w:pPr>
        <w:pStyle w:val="ListParagraph"/>
        <w:numPr>
          <w:ilvl w:val="0"/>
          <w:numId w:val="2"/>
        </w:numPr>
        <w:spacing w:after="40"/>
      </w:pPr>
      <w:r>
        <w:rPr>
          <w:b/>
          <w:bCs/>
        </w:rPr>
        <w:t xml:space="preserve">4-qadam: </w:t>
      </w:r>
      <w:r>
        <w:t xml:space="preserve">300-101 Creative Strategy — kreativ va kontent ta'sirini oshirish</w:t>
      </w:r>
    </w:p>
    <w:p>
      <w:pPr>
        <w:pStyle w:val="ListParagraph"/>
        <w:numPr>
          <w:ilvl w:val="0"/>
          <w:numId w:val="2"/>
        </w:numPr>
        <w:spacing w:after="40"/>
      </w:pPr>
      <w:r>
        <w:rPr>
          <w:b/>
          <w:bCs/>
        </w:rPr>
        <w:t xml:space="preserve">5-qadam: </w:t>
      </w:r>
      <w:r>
        <w:t xml:space="preserve">200-101 Marketing Science — ilg'or o'lchov va tahlil (eng murakkab)</w:t>
      </w:r>
    </w:p>
    <w:p>
      <w:pPr>
        <w:spacing w:after="120"/>
      </w:pPr>
      <w:r>
        <w:t xml:space="preserve"/>
      </w:r>
    </w:p>
    <w:p>
      <w:pPr>
        <w:spacing w:after="120"/>
      </w:pPr>
      <w:r>
        <w:rPr>
          <w:i/>
          <w:iCs/>
          <w:color w:val="555555"/>
        </w:rPr>
        <w:t xml:space="preserve">Eslatma: o'quv materiallari (study guide va kurslar) Meta Blueprint saytida bepul. Faqat sertifikat imtihoni pullik. Narx va shartlar 2026-yil holatiga ko'ra; rasmiy saytdan tekshirib turish tavsiya etiladi.</w:t>
      </w:r>
    </w:p>
    <w:p>
      <w:pPr>
        <w:pStyle w:val="Heading3"/>
      </w:pPr>
      <w:r>
        <w:t xml:space="preserve">Rasmiy havolalar</w:t>
      </w:r>
    </w:p>
    <w:p>
      <w:pPr>
        <w:pStyle w:val="ListParagraph"/>
        <w:numPr>
          <w:ilvl w:val="0"/>
          <w:numId w:val="2"/>
        </w:numPr>
        <w:spacing w:after="40"/>
      </w:pPr>
      <w:r>
        <w:t xml:space="preserve">Meta sertifikatlar (umumiy): </w:t>
      </w:r>
      <w:hyperlink w:history="1" r:id="rIdx-qb9g1ta0p8-qvzcfox-">
        <w:r>
          <w:rPr>
            <w:rStyle w:val="Hyperlink"/>
          </w:rPr>
          <w:t xml:space="preserve">https://www.facebook.com/business/learn/certification</w:t>
        </w:r>
      </w:hyperlink>
    </w:p>
    <w:p>
      <w:pPr>
        <w:pStyle w:val="ListParagraph"/>
        <w:numPr>
          <w:ilvl w:val="0"/>
          <w:numId w:val="2"/>
        </w:numPr>
        <w:spacing w:after="40"/>
      </w:pPr>
      <w:r>
        <w:t xml:space="preserve">200-101 imtihon sahifasi: </w:t>
      </w:r>
      <w:hyperlink w:history="1" r:id="rIdiyqlwhetospdk0whruyzz">
        <w:r>
          <w:rPr>
            <w:rStyle w:val="Hyperlink"/>
          </w:rPr>
          <w:t xml:space="preserve">https://www.facebook.com/business/learn/certification/exams/200-101-exam</w:t>
        </w:r>
      </w:hyperlink>
    </w:p>
    <w:p>
      <w:pPr>
        <w:pStyle w:val="ListParagraph"/>
        <w:numPr>
          <w:ilvl w:val="0"/>
          <w:numId w:val="2"/>
        </w:numPr>
        <w:spacing w:after="40"/>
      </w:pPr>
      <w:r>
        <w:t xml:space="preserve">300-101 imtihon sahifasi: </w:t>
      </w:r>
      <w:hyperlink w:history="1" r:id="rIdehzm1vdofowm_swomn6n9">
        <w:r>
          <w:rPr>
            <w:rStyle w:val="Hyperlink"/>
          </w:rPr>
          <w:t xml:space="preserve">https://www.facebook.com/business/learn/certification/exams/300-101-exam</w:t>
        </w:r>
      </w:hyperlink>
    </w:p>
    <w:p>
      <w:pPr>
        <w:pStyle w:val="ListParagraph"/>
        <w:numPr>
          <w:ilvl w:val="0"/>
          <w:numId w:val="2"/>
        </w:numPr>
        <w:spacing w:after="40"/>
      </w:pPr>
      <w:r>
        <w:t xml:space="preserve">400-101 imtihon sahifasi: </w:t>
      </w:r>
      <w:hyperlink w:history="1" r:id="rIdmuyv7xoojoopgfmehduyx">
        <w:r>
          <w:rPr>
            <w:rStyle w:val="Hyperlink"/>
          </w:rPr>
          <w:t xml:space="preserve">https://www.facebook.com/business/learn/certification/exams/400-101-exam</w:t>
        </w:r>
      </w:hyperlink>
    </w:p>
    <w:p>
      <w:pPr>
        <w:pStyle w:val="ListParagraph"/>
        <w:numPr>
          <w:ilvl w:val="0"/>
          <w:numId w:val="2"/>
        </w:numPr>
        <w:spacing w:after="40"/>
      </w:pPr>
      <w:r>
        <w:t xml:space="preserve">410-101 imtihon sahifasi: </w:t>
      </w:r>
      <w:hyperlink w:history="1" r:id="rId3hywlrwifzyg0gn0rfcg2">
        <w:r>
          <w:rPr>
            <w:rStyle w:val="Hyperlink"/>
          </w:rPr>
          <w:t xml:space="preserve">https://www.facebook.com/business/learn/certification/exams/410-101-exam</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Meta Blueprint — Vision Group  |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2A4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6CB5"/>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A2A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qb9g1ta0p8-qvzcfox-" Type="http://schemas.openxmlformats.org/officeDocument/2006/relationships/hyperlink" Target="https://www.facebook.com/business/learn/certification" TargetMode="External"/><Relationship Id="rIdiyqlwhetospdk0whruyzz" Type="http://schemas.openxmlformats.org/officeDocument/2006/relationships/hyperlink" Target="https://www.facebook.com/business/learn/certification/exams/200-101-exam" TargetMode="External"/><Relationship Id="rIdehzm1vdofowm_swomn6n9" Type="http://schemas.openxmlformats.org/officeDocument/2006/relationships/hyperlink" Target="https://www.facebook.com/business/learn/certification/exams/300-101-exam" TargetMode="External"/><Relationship Id="rIdmuyv7xoojoopgfmehduyx" Type="http://schemas.openxmlformats.org/officeDocument/2006/relationships/hyperlink" Target="https://www.facebook.com/business/learn/certification/exams/400-101-exam" TargetMode="External"/><Relationship Id="rId3hywlrwifzyg0gn0rfcg2" Type="http://schemas.openxmlformats.org/officeDocument/2006/relationships/hyperlink" Target="https://www.facebook.com/business/learn/certification/exams/410-101-exa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2026-06-21T20:06:38.853Z</dcterms:created>
  <dcterms:modified xsi:type="dcterms:W3CDTF">2026-06-21T20:06:38.853Z</dcterms:modified>
</cp:coreProperties>
</file>

<file path=docProps/custom.xml><?xml version="1.0" encoding="utf-8"?>
<Properties xmlns="http://schemas.openxmlformats.org/officeDocument/2006/custom-properties" xmlns:vt="http://schemas.openxmlformats.org/officeDocument/2006/docPropsVTypes"/>
</file>