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51.0" w:type="dxa"/>
        <w:jc w:val="center"/>
        <w:tblLayout w:type="fixed"/>
        <w:tblLook w:val="0000"/>
      </w:tblPr>
      <w:tblGrid>
        <w:gridCol w:w="4285"/>
        <w:gridCol w:w="5466"/>
        <w:tblGridChange w:id="0">
          <w:tblGrid>
            <w:gridCol w:w="4285"/>
            <w:gridCol w:w="5466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«УТВЕРЖДЕНО»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30j0zll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протоколом общего собрания полных партнеров коммандитного товарищества “WAY II FUND KOMMANDIT SHIRKAT” от № 1 от 23 августа 2024 г.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  <w:rtl w:val="0"/>
        </w:rPr>
        <w:t xml:space="preserve">УЧРЕДИТЕЛЬНЫЙ ДОГОВОР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  <w:rtl w:val="0"/>
        </w:rPr>
        <w:t xml:space="preserve">“WAY II FUND KOMMANDIT SHIRKAT”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  <w:rtl w:val="0"/>
        </w:rPr>
        <w:t xml:space="preserve">(В новой редакции)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Ташкент-2024 г.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1fob9te" w:id="2"/>
      <w:bookmarkEnd w:id="2"/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ОБЩИЕ ПРАВИЛА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Коммандитное товарищество “WAY II FUND KOMMANDIT SHIRKAT”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(далее по тексту-“Товарищество”) является юридическим лицом, учрежденным в соответствии с законодательством Республики Узбекистан, и осуществляет деятельность на этой основе.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Официальное полное фирменное наименование Товарищества: </w:t>
      </w:r>
    </w:p>
    <w:tbl>
      <w:tblPr>
        <w:tblStyle w:val="Table2"/>
        <w:tblW w:w="9179.0" w:type="dxa"/>
        <w:jc w:val="left"/>
        <w:tblInd w:w="601.0000000000001" w:type="dxa"/>
        <w:tblLayout w:type="fixed"/>
        <w:tblLook w:val="0000"/>
      </w:tblPr>
      <w:tblGrid>
        <w:gridCol w:w="2234"/>
        <w:gridCol w:w="6945"/>
        <w:tblGridChange w:id="0">
          <w:tblGrid>
            <w:gridCol w:w="2234"/>
            <w:gridCol w:w="69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44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 узбекском языке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75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“Way II Fund Kommandit Shirkat” коммандит ширкати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44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 русском языке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75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Коммандитное Товарищество “Way II Fund Kommandit Shirkat”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44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 английском языке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75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“Way II Fund Kommandit Shirkat” limited Partnership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44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75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Деятельность Товарищества и почтовый адрес: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Республика Узбекистан, г. Ташкент, Яшнабадский район, ул. Махтумкули (Тараккиёт) 64/2.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Правовой статус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является юридическим лицом Республики Узбекистан.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Правовой статус Товарищества: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считается юридическим лицом с момента его государственной регистрации.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имеет круглую печать с полным фирменным наименованием и территорией, в которой она расположена, на государственном языке;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участвует в гражданских правоотношениях через свои официальные бланки с указанием фирменного наименования и адреса;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является субъектом частной собственности, владеет, пользуется и распоряжается частной собственностью, возникающей в установленном законодательством порядке, имеет право владеть объектами интеллектуальной собственности, зарегистрированными в установленном порядке.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вправе заключать от своего имени и за свой счет все виды договоров и соглашений, приобретать имущественные и неимущественные права, совершать юридически значимые действия и участвовать в качестве истца, ответчика и третьей стороны в судах по экономическим, административным и гражданским делам, арбитражных судах и международных арбитражных судах на территории Республики Узбекистан и за ее пределами.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имеет самостоятельный баланс, имеет право открывать в банковских учреждениях основные и второстепенные счета, в том числе счета в иностранной валюте.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осуществляет свою деятельность по владению имуществом, его покупке и продаже, осуществлению инвестиционной деятельности и всех финансовых операций на основе полного хозяйственного учета в соответствии с законодательством, на основе самофинансирования и самозанятости.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вправе создавать свои структурные подразделения, зависимые и дочерние общества (юридические лица), филиалы и представительства. Структурные подразделения Товарищества, зависимые и дочерние общества, филиалы и представительства действуют на основании уставов и положений, утверждаемых решениями общего собрания полных товариществ.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создано на неопределенный срок.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Приостановление деятельности общества производится в соответствии с решением общего собрания полных партнеров Товарищества или на основании вступившего в законную силу решения суда.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Полные партнеры вправе принять решение об ограничении срока деятельности Товарищества с указанием конкретного срока.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Учредительные документы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Учредительным документом Товарищества является учредительный договор (далее по тексту-"Учредительный договор"), который подписывают полные партнеры.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Учредительный договор Товарищества подписывается полными партнерами и подлежит государственной регистрации после его утверждения решением общего собрания полных партнеров.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Внесение изменений и дополнений в учредительный договор осуществляется путем подписания новой редакции учредительного договора в соответствии с решениями общего собрания полных партнеров Товарищества.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Полные партнеры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Полными партнерами Товарищества могут быть физические и юридические лица, осуществляющие предпринимательскую деятельность от имени Товарищества и отвечающие по обязательствам общества всем своим имуществом.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Перечень полных партнеров Товарищества указывается в приложении к учредительному договору.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отвечает по своим обязательствам всем имуществом, принадлежащим полным партнерам, а также имуществом, образованным в рамках вкладов вкладчика (коммандитчика).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Сфера деятельности, цели Товарищества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Основным направлением деятельности Товарищества является коммерческая деятельность и консультирование по вопросам управления.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Основной целью Товарищества является получение прибыли в виде дивидендов путем приобретения части долей в его уставном фонде (уставном капитале) или долевого участия в их уставном фонде (уставном капитале) путем инвестирования принадлежащего ему имущества и инвестиционных средств в юридические лица в порядке, установленном законодательством Республики Узбекистан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может заниматься любой другой деятельностью, не запрещенной законодательством, не указанной в настоящем Учредительном договоре. Оно также имеет право заниматься видами деятельности, требующими получения уведомления или специального разрешения или лицензии в случаях, предусмотренных законодательством, после получения необходимого разрешения, лицензии или направления уведомлении.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Объекты инвестиционной деятельности и формы осуществления инвестиций, выбираемые Товариществом, полностью реализуются в соответствии с решением общего собрания полных партнеров.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Вкладчики Товарищества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соответствии с Законом Республики Узбекистан "О хозяйственных Товариществах" вкладчиками в Товарищество могут быть граждане Республики Узбекистан, индивидуальные предприниматели и юридические лица, международные организации и иностранные юридические лица и граждане, а также лица без гражданства.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Вкладчиками Товарищества являются юридические и физические лица (Коммандитчики), которые несут ответственность за убытки, связанные с деятельностью Товарищества, в пределах своих вкладов и не участвуют в осуществлении Товариществом предпринимательской деятельности.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Наименование вкладчиков Товарищества, номер соответствующего вклада и вид процентов указываются в приложении к учредительному договору Товарищества.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Вкладчики Товарищества самостоятельно распоряжаются принадлежащими им товарищескими взносами.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Уставный фонд Товарищества и порядок его формирования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Уставный фонд Товарищества будет состоять из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номинальной стоимости долей полных партнеров в уставном фонде Товарищества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номинальной стоимости вкладов вкладчиков в уставный фонд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Номинальная сумма уставного фонда Товарищества составляет 34 686 000 000 (тридцать четыре миллиарда шестьсот восемьдесят шесть миллионов) сумов.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Общее распределение полных участников и вкладчиков Товарищества и долей в уставном фонде Товарищества следующее:</w:t>
      </w:r>
    </w:p>
    <w:tbl>
      <w:tblPr>
        <w:tblStyle w:val="Table3"/>
        <w:tblW w:w="985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98"/>
        <w:gridCol w:w="3625"/>
        <w:gridCol w:w="1691"/>
        <w:gridCol w:w="2172"/>
        <w:gridCol w:w="1767"/>
        <w:tblGridChange w:id="0">
          <w:tblGrid>
            <w:gridCol w:w="598"/>
            <w:gridCol w:w="3625"/>
            <w:gridCol w:w="1691"/>
            <w:gridCol w:w="2172"/>
            <w:gridCol w:w="1767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Распределение участников Товарищества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Общее количество участников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Номинальная стоимость доли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Процентная доля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Доля полных партнеров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21 000 000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0,06%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Вкладчики (коммандисты)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34 665 000 000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99,94%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Жами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34 686 000 000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709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Номинальная стоимость и процентное соотношение вкладов полных партнеров и вкладчиков в уставный фонд Товарищества определяются приложением к учредительному договору.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 даты внесения вкладов вкладчиками в уставный фонд (уставный капитал) Товарищества, включая дату приобретения, если вкладчик не может продать свой вклад третьим лицам и другим вкладчикам, Товарищество получает право на обратную продажу через год.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Полные товарищи могут быть образованы путем внесения в уставный фонд Товарищества долей денежных средств, объектов недвижимости, ценных бумаг, долей в хозяйственных обществах, имущественных прав и имущества и имущественных прав, которые могут быть переданы другому лицу, имеющему денежную оценку.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Стоимость имущества или имущественных прав, вносимых полным партнером и его вкладчиками, утверждается решением общего собрания полных партнеров.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Тот факт, что вклады вкладчиков были внесены в полном объеме, что вкладчик стал вкладчиком в результате приобретения соответствующего вклада, подтверждается свидетельством, выдаваемым Товариществом по форме и в порядке, утверждаемом решением общего собрания полных партнеров.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Увеличение и уменьшение уставного фонда Товарищества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Увеличение уставного фонда (уставного капитала) Товарищества допускается после его полного формирования.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Увеличение уставного фонда Товарищества может производиться за счет имущества Товарищества, за счет дополнительных взносов участников Товарищества или за счет взносов новых вкладчиков, принимаемых в Товарищество.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Увеличение уставного фонда Товарищества производится по решению общего собрания полных товариществ.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Решение об увеличении уставного фонда общества за счет имущества Товарищества может быть принято только на основании данных бухгалтерской отчетности Товарищества за год, предшествующий году принятия такого решения.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Уставный фонд Товарищества, сумма, увеличиваемая за счет имущества Товарищества, не должна превышать разницу между стоимостью чистых активов Товарищества и суммой уставного фонда (уставного капитала).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вправе уменьшить свой уставный фонд в соответствии с действующим законодательством.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Права и обязанности вкладчиков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Вкладчики Товарищества имеют следующие права: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получение части прибыли Товарищества, пропорциональной его вкладу в уставный фонд, в порядке, предусмотренном учредительным договором;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ознакомление с годовыми отчетами и балансами Товарищества;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выход из Товарищества по окончании финансового года и получение взноса в порядке, предусмотренном учредительным договором;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передача доли или ее части в уставном фонде другому вкладчику или третьему лицу.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Вкладчики Товарищества несут следующие обязанности: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все операции, связанные с собственными вкладами (их частью) и иные процессы отказа в пользу других лиц, осуществляются через электронную площадку «WAY Invest».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Продажа и покупка вкладов в уставный фонд Товарищества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Вкладчики Товарищества имеют право продать свой вклад или его часть одному или нескольким вкладчикам Товарищества, а также третьим лицам или иным образом отказаться от него в их пользу. При этом все вышеперечисленные процессы, связанные с взносами или их частью, выполняются через электронную платформу "WAY Invest"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Товарищество не вправе получать свой вклад в уставный фонд или его часть, за исключением случаев, предусмотренных законодательством.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Органы управления Товарищества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Органы управления Товарищества следующие: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Общее собрание полных партнеров;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Директор.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120" w:before="0" w:line="240" w:lineRule="auto"/>
        <w:ind w:left="1209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Общее собрание полных партнеров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Общее собрание полных партнеров является высшим органом управления Товариществом. Управление деятельностью Товарищества осуществляется полноправными партнерами.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Членом общего собрания полных партнеров могут быть только полные партнеры.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Вкладчики не вправе иным образом вести дела от его имени без доверенности на участие в управлении Товариществом и ведении его дел. Вкладчики не вправе оспаривать поведение полных партнеров по управлению Товариществом и ведению его дел.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Полномочия общего собрания полных партнеров: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определение основных направлений деятельности Товарищества;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реорганизация и ликвидация Товарищества;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внесение изменений и дополнений в учредительный договор;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принятие решения о распределении прибыли (убытков) Товарищества между ним и вкладчиками;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принятие решений об увеличении и уменьшении уставного фонда Товарищества;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проверка годовых отчетов и годовых балансов;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решение иных вопросов, предусмотренных договором Товарищества.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Управление деятельностью Товарищества осуществляется по общему соглашению всех его полных партнеров. Решение общего собрания полных партнеров Товарищества принимается единогласно всеми полными партнерами Товарищества.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ДИРЕКТОР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Исполнительным органом Товарищества является директор, который руководит текущей деятельностью Товарищества.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Директор назначается на бессрочный срок на основании решения общего собрания полных товарищей и освобождается от обязанностей в таком порядке. 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Директор действует от имени Товарищества без доверенности на основании настоящего учредительного договора и в пределах полномочий, предоставленных общим собранием полных партнеров, в том числе представляет его интересы во всех республиканских и зарубежных государственных органах, фирмах и организациях, совершает сделки, выдает доверенности, открывает счета и иные счета в банках, оформляет прием и увольнение сотрудников, осуществляет контроль за всеми видами деятельности Товарищества, в том числе отдает приказы и распоряжения, обязательные для сотрудников.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Директор может быть освобожден от должности на основании решения общего собрания полных партнеров.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Директор Товарищества: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Организует подготовку и исполнение решений общего собрания полных партнеров и представляет отчеты об их исполнении на общем собрание полных партнеров;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отвечает за предоставление отчетов;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выполняет другие функции, возложенные на общее собрание полных партнеров;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предоставляет информации о результатах деятельности Товарищества на основе обращений вкладчиков;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Использование и распоряжение имуществом Товарищества в интересах полных партнеров и вкладчиков.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Директор подотчетен общему собранию полных партнеров Товарищества и несет ответственность за осуществление деятельности Товарищества и выполнение возложенных на него задач и функций.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Распределение прибыли Товарищества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Решение об определении части прибыли, распределяемой между вкладчиками (коммандитчиками), принимается Общим собранием полных партнеров.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Дивидендный доход распределяется два раза в год. Вкладчики получают дивиденды, распределяемые в течение четырех месяцев со дня представления полугодовой и годовой бухгалтерской отчетности, пропорционально процентному соотношению их вкладов вкладчиков (коммандитчиков) в уставный фонд (уставный капитал) Товарищества к уставному фонду Товарищества.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Дивидендный доход каждого вкладчика формируется по формуле: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ДД=(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Размер взноса вкладчика (командитчика) * ДДС * срок владения вкладом в течение каждого финансового года / 365 дней) – Дополнительный дивидендный доход полного партнера.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Где: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ДД – Дивидендный доход;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ДДС – ставка дивидендного дохода, определяемая по результатам бухгалтерской отчетности;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Период владения вкладом в течение каждого финансового года – это период владения вкладом в течение каждого финансового года в результате его приобретения или внесения в уставный фонд (уставный капитал) общества. Каждый 1-й и 15-й день месяца;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Дополнительный дивидендный доход полного партнера – сумма, составляющая до 20 (двадцати) процентов от сумм дивидендного дохода вкладчика (коммандитчика).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 этом полные партнеры за первый год от вкладчиков (коммандитчиков) получают дополнительный доход в размере 0%. Полные партнеры могут увеличить процент дополнительного дохода на последующие годы. Увеличенный дополнительный дивидендный доход полных партнеров не может превышать 20 (двадцать) процентов.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Конфликтные ситуации в деятельности Товарищества и порядок их разрешения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Настоящий учредительный договор, разъяснения к нему и любые вытекающие из него или связанные с ним договорные обязательства регулируются в соответствии с законодательством Республики Узбекистан.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ff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Стороны обязуются рассматривать и разрешать все споры, связанные с настоящим учредительным договором, в соответствии с настоящим учредительным договором.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Все споры, возникающие в рамках настоящего учредительного договора, в том числе споры о признании настоящего договора недействительным, должны проходить обязательную процедуру медиации в соответствии с Законом Республики Узбекистан "О медиации". Считается, что процесс посредничества начался с подачи жалобы от одной стороны к другой.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случае невозможности достижения взаимопонимания или разрешения спора, вытекающего из учредительного договора или связанного с ним, в том числе, но не ограничиваясь, по любому вопросу, касающемуся его существования, действительности и прекращения, а также ущерба, причиненного его нарушением или прекращением, будет рассмотрен в Арбитражном суде, постоянно действующем при НКО "Правовая помощь потребителям", и должен быть подан для окончательного решения.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ЗАКЛЮЧИТЕЛЬНОЕ ПОЛОЖЕНИЕ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8"/>
          <w:szCs w:val="28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Настоящий Договор вступает в силу с момента его государственной регистрации в порядке, установленном законодательством Республики Узбекистан.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2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ПРИЛОЖЕНИЕ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2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УЧРЕДИТЕЛЬНОМУ ДОГОВОРУ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2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“WAY II FUND KOMMANDIT SHIRKAT”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2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НАИМЕНОВАНИЕ ПОЛНЫХ ПАРТНЕРОВ И ВКЛАДЧИКОВ В УСТАВНОМ ФОНДЕ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“WAY II FUND KOMMANDIT SHIRKAT”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НОМИНАЛЬНАЯ СТОИМОСТЬ И ПРОЦЕНТНОЕ СООТНОШЕНИЕ ИХ ДОЛЕЙ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ПОЛНЫЕ ПАРТНЕРЫ: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27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4"/>
        <w:gridCol w:w="3686"/>
        <w:gridCol w:w="3118"/>
        <w:gridCol w:w="2119"/>
        <w:tblGridChange w:id="0">
          <w:tblGrid>
            <w:gridCol w:w="704"/>
            <w:gridCol w:w="3686"/>
            <w:gridCol w:w="3118"/>
            <w:gridCol w:w="211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Наименование полного партнера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Номинальная стоимость доли (сум)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Размер доли (в процентах)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120" w:lineRule="auto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{#kt_first_table} {no}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{project_name}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after="120" w:lineRule="auto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{amount}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after="120" w:lineRule="auto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{/kt_first_table}{percen}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Итого: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after="120" w:lineRule="auto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{total_sum}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ВКЛАДЧИКИ:</w:t>
      </w:r>
      <w:r w:rsidDel="00000000" w:rsidR="00000000" w:rsidRPr="00000000">
        <w:rPr>
          <w:rtl w:val="0"/>
        </w:rPr>
      </w:r>
    </w:p>
    <w:tbl>
      <w:tblPr>
        <w:tblStyle w:val="Table5"/>
        <w:tblW w:w="9627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4"/>
        <w:gridCol w:w="3686"/>
        <w:gridCol w:w="3118"/>
        <w:gridCol w:w="2119"/>
        <w:tblGridChange w:id="0">
          <w:tblGrid>
            <w:gridCol w:w="704"/>
            <w:gridCol w:w="3686"/>
            <w:gridCol w:w="3118"/>
            <w:gridCol w:w="211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Наеменование вкладчиков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Денежная стоимость вкладов (сум)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Сумма вклада (в процентах)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F">
            <w:pPr>
              <w:spacing w:after="120" w:lineRule="auto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highlight w:val="white"/>
                <w:rtl w:val="0"/>
              </w:rPr>
              <w:t xml:space="preserve">{#kt_second_table} {no}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0">
            <w:pPr>
              <w:spacing w:after="120" w:lineRule="auto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highlight w:val="white"/>
                <w:rtl w:val="0"/>
              </w:rPr>
              <w:t xml:space="preserve">{name}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1">
            <w:pPr>
              <w:spacing w:after="120" w:lineRule="auto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highlight w:val="white"/>
                <w:rtl w:val="0"/>
              </w:rPr>
              <w:t xml:space="preserve">{paid_amount}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2">
            <w:pPr>
              <w:spacing w:after="120" w:lineRule="auto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{/kt_second_table}</w:t>
            </w:r>
            <w:r w:rsidDel="00000000" w:rsidR="00000000" w:rsidRPr="00000000">
              <w:rPr>
                <w:sz w:val="28"/>
                <w:szCs w:val="28"/>
                <w:highlight w:val="white"/>
                <w:rtl w:val="0"/>
              </w:rPr>
              <w:t xml:space="preserve">{percent}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Итого: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spacing w:after="120" w:lineRule="auto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highlight w:val="white"/>
                <w:rtl w:val="0"/>
              </w:rPr>
              <w:t xml:space="preserve">{total_amount}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851" w:top="851" w:left="1418" w:right="851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209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b w:val="1"/>
        <w:vertAlign w:val="baseline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b w:val="0"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b w:val="1"/>
        <w:vertAlign w:val="baseline"/>
      </w:rPr>
    </w:lvl>
    <w:lvl w:ilvl="3">
      <w:start w:val="1"/>
      <w:numFmt w:val="decimal"/>
      <w:lvlText w:val="%1.%2.%3.%4."/>
      <w:lvlJc w:val="left"/>
      <w:pPr>
        <w:ind w:left="1080" w:hanging="720"/>
      </w:pPr>
      <w:rPr>
        <w:b w:val="1"/>
        <w:vertAlign w:val="baseli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b w:val="1"/>
        <w:vertAlign w:val="baseline"/>
      </w:rPr>
    </w:lvl>
    <w:lvl w:ilvl="5">
      <w:start w:val="1"/>
      <w:numFmt w:val="decimal"/>
      <w:lvlText w:val="%1.%2.%3.%4.%5.%6."/>
      <w:lvlJc w:val="left"/>
      <w:pPr>
        <w:ind w:left="1440" w:hanging="1080"/>
      </w:pPr>
      <w:rPr>
        <w:b w:val="1"/>
        <w:vertAlign w:val="baseli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b w:val="1"/>
        <w:vertAlign w:val="baseline"/>
      </w:rPr>
    </w:lvl>
    <w:lvl w:ilvl="7">
      <w:start w:val="1"/>
      <w:numFmt w:val="decimal"/>
      <w:lvlText w:val="%1.%2.%3.%4.%5.%6.%7.%8."/>
      <w:lvlJc w:val="left"/>
      <w:pPr>
        <w:ind w:left="1800" w:hanging="1440"/>
      </w:pPr>
      <w:rPr>
        <w:b w:val="1"/>
        <w:vertAlign w:val="baseline"/>
      </w:rPr>
    </w:lvl>
    <w:lvl w:ilvl="8">
      <w:start w:val="1"/>
      <w:numFmt w:val="decimal"/>
      <w:lvlText w:val="%1.%2.%3.%4.%5.%6.%7.%8.%9."/>
      <w:lvlJc w:val="left"/>
      <w:pPr>
        <w:ind w:left="2160" w:hanging="1800"/>
      </w:pPr>
      <w:rPr>
        <w:b w:val="1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uz-Cyrl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57.0" w:type="dxa"/>
        <w:bottom w:w="0.0" w:type="dxa"/>
        <w:right w:w="57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