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tbl>
      <w:tblPr>
        <w:tblStyle w:val="Table1"/>
        <w:tblW w:w="9751.0" w:type="dxa"/>
        <w:jc w:val="center"/>
        <w:tblLayout w:type="fixed"/>
        <w:tblLook w:val="0000"/>
      </w:tblPr>
      <w:tblGrid>
        <w:gridCol w:w="4285"/>
        <w:gridCol w:w="5466"/>
        <w:tblGridChange w:id="0">
          <w:tblGrid>
            <w:gridCol w:w="4285"/>
            <w:gridCol w:w="5466"/>
          </w:tblGrid>
        </w:tblGridChange>
      </w:tblGrid>
      <w:tr>
        <w:trPr>
          <w:cantSplit w:val="0"/>
          <w:tblHeader w:val="0"/>
        </w:trPr>
        <w:tc>
          <w:tcPr>
            <w:vAlign w:val="top"/>
          </w:tcPr>
          <w:p w:rsidR="00000000" w:rsidDel="00000000" w:rsidP="00000000" w:rsidRDefault="00000000" w:rsidRPr="00000000" w14:paraId="00000002">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i w:val="0"/>
                <w:smallCaps w:val="0"/>
                <w:strike w:val="0"/>
                <w:color w:val="000000"/>
                <w:sz w:val="28"/>
                <w:szCs w:val="28"/>
                <w:u w:val="none"/>
                <w:shd w:fill="auto" w:val="clear"/>
                <w:vertAlign w:val="baseline"/>
              </w:rPr>
            </w:pPr>
            <w:bookmarkStart w:colFirst="0" w:colLast="0" w:name="_gjdgxs" w:id="0"/>
            <w:bookmarkEnd w:id="0"/>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«APPROVED»</w:t>
            </w:r>
            <w:r w:rsidDel="00000000" w:rsidR="00000000" w:rsidRPr="00000000">
              <w:rPr>
                <w:rtl w:val="0"/>
              </w:rPr>
            </w:r>
          </w:p>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by minutes of the General meeting of partners of the limited partnership WAY II FUND KOMMANDIT SHIRKAT </w:t>
            </w:r>
            <w:r w:rsidDel="00000000" w:rsidR="00000000" w:rsidRPr="00000000">
              <w:rPr>
                <w:rtl w:val="0"/>
              </w:rPr>
            </w:r>
          </w:p>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dated August 23, </w:t>
            </w:r>
            <w:r w:rsidDel="00000000" w:rsidR="00000000" w:rsidRPr="00000000">
              <w:rPr>
                <w:b w:val="1"/>
                <w:sz w:val="28"/>
                <w:szCs w:val="28"/>
                <w:rtl w:val="0"/>
              </w:rPr>
              <w:t xml:space="preserve">2025</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1"/>
          <w:i w:val="0"/>
          <w:smallCaps w:val="0"/>
          <w:strike w:val="0"/>
          <w:color w:val="000000"/>
          <w:sz w:val="44"/>
          <w:szCs w:val="44"/>
          <w:u w:val="none"/>
          <w:shd w:fill="auto" w:val="clear"/>
          <w:vertAlign w:val="baseline"/>
          <w:rtl w:val="0"/>
        </w:rPr>
        <w:t xml:space="preserve">THE FOUNDING AGREEMENT</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1"/>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1"/>
          <w:i w:val="0"/>
          <w:smallCaps w:val="0"/>
          <w:strike w:val="0"/>
          <w:color w:val="000000"/>
          <w:sz w:val="44"/>
          <w:szCs w:val="44"/>
          <w:u w:val="none"/>
          <w:shd w:fill="auto" w:val="clear"/>
          <w:vertAlign w:val="baseline"/>
          <w:rtl w:val="0"/>
        </w:rPr>
        <w:t xml:space="preserve">“WAY II FUND KOMMANDIT SHIRKAT”</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1"/>
          <w:i w:val="0"/>
          <w:smallCaps w:val="0"/>
          <w:strike w:val="0"/>
          <w:color w:val="000000"/>
          <w:sz w:val="44"/>
          <w:szCs w:val="44"/>
          <w:u w:val="none"/>
          <w:shd w:fill="auto" w:val="clear"/>
          <w:vertAlign w:val="baseline"/>
          <w:rtl w:val="0"/>
        </w:rPr>
        <w:t xml:space="preserve">(</w:t>
      </w:r>
      <w:r w:rsidDel="00000000" w:rsidR="00000000" w:rsidRPr="00000000">
        <w:rPr>
          <w:rFonts w:ascii="Calibri" w:cs="Calibri" w:eastAsia="Calibri" w:hAnsi="Calibri"/>
          <w:b w:val="1"/>
          <w:i w:val="1"/>
          <w:smallCaps w:val="0"/>
          <w:strike w:val="0"/>
          <w:color w:val="000000"/>
          <w:sz w:val="44"/>
          <w:szCs w:val="44"/>
          <w:u w:val="none"/>
          <w:shd w:fill="auto" w:val="clear"/>
          <w:vertAlign w:val="baseline"/>
          <w:rtl w:val="0"/>
        </w:rPr>
        <w:t xml:space="preserve">new edition</w:t>
      </w:r>
      <w:r w:rsidDel="00000000" w:rsidR="00000000" w:rsidRPr="00000000">
        <w:rPr>
          <w:rFonts w:ascii="Calibri" w:cs="Calibri" w:eastAsia="Calibri" w:hAnsi="Calibri"/>
          <w:b w:val="1"/>
          <w:i w:val="0"/>
          <w:smallCaps w:val="0"/>
          <w:strike w:val="0"/>
          <w:color w:val="000000"/>
          <w:sz w:val="44"/>
          <w:szCs w:val="4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Tashkent-2024</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br w:type="page"/>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GENERAL PROVISIONS</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0"/>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The limited partnership WAY II FUND KOMMANDIT SHIRKAT</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(hereinafter referred to as the “Partnership”) is a legal entity established in accordance with the legislation of the Republic of Uzbekistan and operates on this basis.</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0"/>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The official full corporate name of the partnership: </w:t>
      </w:r>
      <w:r w:rsidDel="00000000" w:rsidR="00000000" w:rsidRPr="00000000">
        <w:rPr>
          <w:rtl w:val="0"/>
        </w:rPr>
      </w:r>
    </w:p>
    <w:tbl>
      <w:tblPr>
        <w:tblStyle w:val="Table2"/>
        <w:tblW w:w="9179.0" w:type="dxa"/>
        <w:jc w:val="left"/>
        <w:tblInd w:w="601.0000000000001" w:type="dxa"/>
        <w:tblLayout w:type="fixed"/>
        <w:tblLook w:val="0000"/>
      </w:tblPr>
      <w:tblGrid>
        <w:gridCol w:w="2234"/>
        <w:gridCol w:w="6945"/>
        <w:tblGridChange w:id="0">
          <w:tblGrid>
            <w:gridCol w:w="2234"/>
            <w:gridCol w:w="6945"/>
          </w:tblGrid>
        </w:tblGridChange>
      </w:tblGrid>
      <w:tr>
        <w:trPr>
          <w:cantSplit w:val="0"/>
          <w:tblHeader w:val="0"/>
        </w:trPr>
        <w:tc>
          <w:tcPr>
            <w:vAlign w:val="center"/>
          </w:tcPr>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In Uzbek</w:t>
            </w:r>
            <w:r w:rsidDel="00000000" w:rsidR="00000000" w:rsidRPr="00000000">
              <w:rPr>
                <w:rtl w:val="0"/>
              </w:rPr>
            </w:r>
          </w:p>
        </w:tc>
        <w:tc>
          <w:tcPr>
            <w:vAlign w:val="top"/>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“Way II Fund Kommandit Shirkat” коммандит ширкати</w:t>
            </w:r>
          </w:p>
        </w:tc>
      </w:tr>
      <w:tr>
        <w:trPr>
          <w:cantSplit w:val="0"/>
          <w:tblHeader w:val="0"/>
        </w:trPr>
        <w:tc>
          <w:tcPr>
            <w:vAlign w:val="center"/>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In Russian</w:t>
            </w:r>
            <w:r w:rsidDel="00000000" w:rsidR="00000000" w:rsidRPr="00000000">
              <w:rPr>
                <w:rtl w:val="0"/>
              </w:rPr>
            </w:r>
          </w:p>
        </w:tc>
        <w:tc>
          <w:tcPr>
            <w:vAlign w:val="top"/>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Коммандитное товарищество “Way II Fund Kommandit Shirkat” </w:t>
            </w:r>
          </w:p>
        </w:tc>
      </w:tr>
      <w:tr>
        <w:trPr>
          <w:cantSplit w:val="0"/>
          <w:tblHeader w:val="0"/>
        </w:trPr>
        <w:tc>
          <w:tcPr>
            <w:vAlign w:val="center"/>
          </w:tcPr>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In English</w:t>
            </w:r>
            <w:r w:rsidDel="00000000" w:rsidR="00000000" w:rsidRPr="00000000">
              <w:rPr>
                <w:rtl w:val="0"/>
              </w:rPr>
            </w:r>
          </w:p>
        </w:tc>
        <w:tc>
          <w:tcPr>
            <w:vAlign w:val="top"/>
          </w:tcPr>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“Way II Fund Kommandit Shirkat” limited Partnership </w:t>
            </w:r>
          </w:p>
        </w:tc>
      </w:tr>
      <w:tr>
        <w:trPr>
          <w:cantSplit w:val="0"/>
          <w:tblHeader w:val="0"/>
        </w:trPr>
        <w:tc>
          <w:tcPr>
            <w:vAlign w:val="center"/>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02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0"/>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The partnership's activities and postal address: </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Republic of Uzbekistan, Tashkent, Yashnabad district, Makhtumkuli str. (Tarakkiyot) 64/2.</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0"/>
        <w:jc w:val="center"/>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The legal status of the partnership</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0"/>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The Partnership is a legal entity of the Republic of Uzbekistan.</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0"/>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The legal status of the partnership:</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A partnership is considered a legal entity from the moment of its state registration.</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The partnership has a round seal with the full corporate name and the territory in which it is located, in the state language;</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The partnership participates in civil legal relations through its official letterheads indicating the company name and address;</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The Partnership is a subject of private property, owns, uses and disposes of private property arising in accordance with the procedure established by law, has the right to own intellectual property objects registered in accordance with the established procedure.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The Partnership has the right to conclude on its own behalf and at its own expense all types of contracts and agreements, acquire property and non-property rights, perform legally significant actions and participate as a plaintiff, defendant and third party in economic, administrative and civil courts, arbitration courts and international arbitration courts in the territory of the Republic of Uzbekistan and beyond.</w:t>
      </w:r>
    </w:p>
    <w:p w:rsidR="00000000" w:rsidDel="00000000" w:rsidP="00000000" w:rsidRDefault="00000000" w:rsidRPr="00000000" w14:paraId="0000003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The Partnership has an independent balance sheet and has the right to open main and secondary accounts in banking institutions, including accounts in foreign currency. </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The Partnership carries out its activities on the ownership of property, its purchase and sale, investment activities and all financial transactions on the basis of full economic accounting in accordance with the law, on the basis of self-financing and self-employment.</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The partnership has the right to create its own structural divisions, dependent and subsidiary companies (legal entities), branches and representative offices. The structural divisions of the partnership, affiliated and affiliated companies, branches and representative offices operate on the basis of charters and regulations approved by decisions of the general meeting of general partnerships.</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The partnership was established for an indefinite period.</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The suspension of the company's activities is carried out in accordance with the decision of the general meeting of the general partners of the Partnership or on the basis of a court decision that has entered into force.</w:t>
      </w:r>
    </w:p>
    <w:p w:rsidR="00000000" w:rsidDel="00000000" w:rsidP="00000000" w:rsidRDefault="00000000" w:rsidRPr="00000000" w14:paraId="0000003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0"/>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Full partners have the right to make a decision on limiting the term of the partnership's activity, specifying a specific period.</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0"/>
        <w:jc w:val="center"/>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Founding documents of the partnership</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The founding document of the partnership is the founding agreement (hereinafter referred to as the "Founding Agreement"), which is signed by the full partners.</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The founding agreement of the partnership is signed by full partners and is subject to state registration after its approval by a decision of the general meeting of full partners.</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Amendments and additions to the foundation agreement are made by signing a new version of the foundation agreement in accordance with the decisions of the general meeting of the full partners of the partnership.</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Full partners of the Partnership</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Full partners of the Partnership may be individuals and legal entities engaged in entrepreneurial activities on behalf of the partnership and responsible for the obligations of the company with all their property.</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The list of full partners of the partnership is indicated in the appendix to the founding agreement.</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The partnership is liable for its obligations with all property belonging to full partners, as well as property formed within the framework of the depositor's (limited partner's) contributions.</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The scope of the partnership's activities, goals</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The main activity of the partnership is commercial activity and management consulting.</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The main purpose of the partnership is to receive profit in the form of dividends by acquiring a part of shares in its authorized fund (authorized capital) or equity participation in their authorized fund (authorized capital) by investing its property and investment funds in legal entities in accordance with the procedure established by the legislation of the Republic of Uzbekistan.</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The Partnership may engage in any other activity not prohibited by law, not specified in this Founding Agreement. It also has the right to engage in activities that require notification or special permission or license in cases provided for by law, after obtaining the necessary permission, license or notification.</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The objects of investment activity and the forms of investment chosen by the partnership are fully implemented in accordance with the decision of the general meeting of full partners.</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Contributors of the partnership</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0"/>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In accordance with the Law of the Republic of Uzbekistan "On Business Partnerships", investors in a partnership can be citizens of the Republic of Uzbekistan, individual entrepreneurs and legal entities, international organizations and foreign legal entities and citizens, as well as stateless persons.</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0"/>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The depositors of the partnership are legal entities and individuals (Limited partners) who are responsible for losses related to the activities of the partnership within the limits of their deposits and do not participate in the implementation of entrepreneurial activities by the partnership.</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0"/>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The name of the depositors of the partnership, the number of the corresponding deposit and the type of interest are indicated in the appendix to the founding agreement of the partnership.</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0"/>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The depositors of the partnership independently dispose of the partnership contributions belonging to them.</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The authorized fund of the partnership and the procedure for its formation</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0"/>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The authorized fund of the partnership will consist of the nominal value of the shares of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full partners in the authorized fund of the partnership and the nominal value of the contributions of depositors to the authorized fund</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of the partnership</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0"/>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The nominal amount of the authorized capital of the partnership is 34,686,000,000 (thirty-four billion six hundred and eighty-six million) soums.</w:t>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The general distribution of the full participants and contributors of the partnership and shares in the authorized fund of the partnership is as follows:</w:t>
      </w:r>
    </w:p>
    <w:tbl>
      <w:tblPr>
        <w:tblStyle w:val="Table3"/>
        <w:tblW w:w="985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4"/>
        <w:gridCol w:w="3875"/>
        <w:gridCol w:w="1643"/>
        <w:gridCol w:w="2198"/>
        <w:gridCol w:w="1523"/>
        <w:tblGridChange w:id="0">
          <w:tblGrid>
            <w:gridCol w:w="614"/>
            <w:gridCol w:w="3875"/>
            <w:gridCol w:w="1643"/>
            <w:gridCol w:w="2198"/>
            <w:gridCol w:w="1523"/>
          </w:tblGrid>
        </w:tblGridChange>
      </w:tblGrid>
      <w:tr>
        <w:trPr>
          <w:cantSplit w:val="0"/>
          <w:tblHeader w:val="0"/>
        </w:trPr>
        <w:tc>
          <w:tcPr>
            <w:vAlign w:val="center"/>
          </w:tcPr>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0"/>
              <w:jc w:val="center"/>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w:t>
            </w:r>
            <w:r w:rsidDel="00000000" w:rsidR="00000000" w:rsidRPr="00000000">
              <w:rPr>
                <w:rtl w:val="0"/>
              </w:rPr>
            </w:r>
          </w:p>
        </w:tc>
        <w:tc>
          <w:tcPr>
            <w:vAlign w:val="center"/>
          </w:tcPr>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0"/>
              <w:jc w:val="center"/>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Distribution of partnership participants</w:t>
            </w:r>
            <w:r w:rsidDel="00000000" w:rsidR="00000000" w:rsidRPr="00000000">
              <w:rPr>
                <w:rtl w:val="0"/>
              </w:rPr>
            </w:r>
          </w:p>
        </w:tc>
        <w:tc>
          <w:tcPr>
            <w:vAlign w:val="center"/>
          </w:tcPr>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0"/>
              <w:jc w:val="center"/>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Total number of participants</w:t>
            </w:r>
            <w:r w:rsidDel="00000000" w:rsidR="00000000" w:rsidRPr="00000000">
              <w:rPr>
                <w:rtl w:val="0"/>
              </w:rPr>
            </w:r>
          </w:p>
        </w:tc>
        <w:tc>
          <w:tcPr>
            <w:vAlign w:val="center"/>
          </w:tcPr>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0"/>
              <w:jc w:val="center"/>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Nominal value of the share</w:t>
            </w:r>
            <w:r w:rsidDel="00000000" w:rsidR="00000000" w:rsidRPr="00000000">
              <w:rPr>
                <w:rtl w:val="0"/>
              </w:rPr>
            </w:r>
          </w:p>
        </w:tc>
        <w:tc>
          <w:tcPr>
            <w:vAlign w:val="center"/>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0"/>
              <w:jc w:val="center"/>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Percentage share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1</w:t>
            </w:r>
          </w:p>
        </w:tc>
        <w:tc>
          <w:tcPr>
            <w:vAlign w:val="top"/>
          </w:tcPr>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Share of full partners</w:t>
            </w:r>
          </w:p>
        </w:tc>
        <w:tc>
          <w:tcPr>
            <w:vAlign w:val="center"/>
          </w:tcPr>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2</w:t>
            </w:r>
          </w:p>
        </w:tc>
        <w:tc>
          <w:tcPr>
            <w:vAlign w:val="center"/>
          </w:tcPr>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21 000 000</w:t>
            </w:r>
          </w:p>
        </w:tc>
        <w:tc>
          <w:tcPr>
            <w:vAlign w:val="center"/>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0,06%</w:t>
            </w:r>
          </w:p>
        </w:tc>
      </w:tr>
      <w:tr>
        <w:trPr>
          <w:cantSplit w:val="0"/>
          <w:tblHeader w:val="0"/>
        </w:trPr>
        <w:tc>
          <w:tcPr>
            <w:vAlign w:val="top"/>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2</w:t>
            </w:r>
          </w:p>
        </w:tc>
        <w:tc>
          <w:tcPr>
            <w:vAlign w:val="top"/>
          </w:tcPr>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Contributors (commandos)</w:t>
            </w:r>
          </w:p>
        </w:tc>
        <w:tc>
          <w:tcPr>
            <w:vAlign w:val="center"/>
          </w:tcPr>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2</w:t>
            </w:r>
          </w:p>
        </w:tc>
        <w:tc>
          <w:tcPr>
            <w:vAlign w:val="center"/>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34 665 000 000</w:t>
            </w:r>
          </w:p>
        </w:tc>
        <w:tc>
          <w:tcPr>
            <w:vAlign w:val="center"/>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99,94%</w:t>
            </w:r>
          </w:p>
        </w:tc>
      </w:tr>
      <w:tr>
        <w:trPr>
          <w:cantSplit w:val="0"/>
          <w:tblHeader w:val="0"/>
        </w:trPr>
        <w:tc>
          <w:tcPr>
            <w:gridSpan w:val="2"/>
            <w:vAlign w:val="top"/>
          </w:tcPr>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0"/>
              <w:jc w:val="center"/>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Total</w:t>
            </w:r>
            <w:r w:rsidDel="00000000" w:rsidR="00000000" w:rsidRPr="00000000">
              <w:rPr>
                <w:rtl w:val="0"/>
              </w:rPr>
            </w:r>
          </w:p>
        </w:tc>
        <w:tc>
          <w:tcPr>
            <w:vAlign w:val="top"/>
          </w:tcPr>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0"/>
              <w:jc w:val="center"/>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4</w:t>
            </w:r>
            <w:r w:rsidDel="00000000" w:rsidR="00000000" w:rsidRPr="00000000">
              <w:rPr>
                <w:rtl w:val="0"/>
              </w:rPr>
            </w:r>
          </w:p>
        </w:tc>
        <w:tc>
          <w:tcPr>
            <w:vAlign w:val="top"/>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0"/>
              <w:jc w:val="center"/>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34 686 000 000</w:t>
            </w:r>
            <w:r w:rsidDel="00000000" w:rsidR="00000000" w:rsidRPr="00000000">
              <w:rPr>
                <w:rtl w:val="0"/>
              </w:rPr>
            </w:r>
          </w:p>
        </w:tc>
        <w:tc>
          <w:tcPr>
            <w:vAlign w:val="top"/>
          </w:tcPr>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0"/>
              <w:jc w:val="center"/>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100%</w:t>
            </w:r>
            <w:r w:rsidDel="00000000" w:rsidR="00000000" w:rsidRPr="00000000">
              <w:rPr>
                <w:rtl w:val="0"/>
              </w:rPr>
            </w:r>
          </w:p>
        </w:tc>
      </w:tr>
    </w:tbl>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0"/>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The nominal value and percentage ratio of the contributions of full partners and depositors to the authorized fund of the partnership are determined by the appendix to the founding agreement.</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0"/>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From the date of depositors' contributions to the authorized fund (authorized capital) of the partnership, including the date of acquisition, if the depositor cannot sell his contribution to third parties and other depositors, the partnership receives the right to sell back a year later.</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0"/>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General partners can be formed by depositing shares of cash, real estate, securities, shares in business companies, property rights and property and property rights to the authorized fund of the partnership, which can be transferred to another person with a monetary valuation.</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0"/>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The value of the property or property rights contributed by the full partner and its contributors is approved by a decision of the general meeting of full partners.</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0"/>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The fact that the depositors' deposits were made in full, that the depositor became a depositor as a result of the acquisition of the relevant deposit, is confirmed by a certificate issued by the partnership in the form and in the manner approved by the decision of the general meeting of full partners.</w:t>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Increase and decrease in the authorized capital of the partnership</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0"/>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An increase in the authorized capital of the partnership is allowed after its full formation.</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0"/>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The increase in the authorized fund of the partnership may be made at the expense of the property of the partnership, at the expense of additional contributions from the participants of the partnership or at the expense of contributions from new depositors accepted into the partnership.</w:t>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ab/>
        <w:t xml:space="preserve">The increase in the authorized capital of the partnership is made by decision of the general meeting of general partnerships.</w:t>
      </w:r>
    </w:p>
    <w:p w:rsidR="00000000" w:rsidDel="00000000" w:rsidP="00000000" w:rsidRDefault="00000000" w:rsidRPr="00000000" w14:paraId="0000007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0"/>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The decision to increase the authorized capital of the company at the expense of the property of the partnership can be made only on the basis of the accounting statements of the partnership for the year preceding the year of such a decision.</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0"/>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The authorized fund of the partnership, the amount increased at the expense of the property of the partnership, should not exceed the difference between the value of the net assets of the partnership and the amount of the authorized fund (authorized capital).</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0"/>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The Partnership has the right to reduce its authorized capital in accordance with the current legislation.</w:t>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Rights and obligations of depositors</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0"/>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The depositors of the partnership have the following rights:</w:t>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Receipt of a part of the partnership's profit, in proportion to its contribution to the authorized capital, in accordance with the procedure provided for in the founding agreement;</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familiarization with the annual reports and balance sheets of the partnership;</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withdrawal from the partnership at the end of the financial year and receipt of a contribution in accordance with the procedure provided for in the founding agreement;</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transfer of a share or part of it in the authorized capital to another contributor or a third party.</w:t>
      </w:r>
    </w:p>
    <w:p w:rsidR="00000000" w:rsidDel="00000000" w:rsidP="00000000" w:rsidRDefault="00000000" w:rsidRPr="00000000" w14:paraId="0000007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0"/>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The depositors of the partnership have the following responsibilities:</w:t>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all transactions related to own deposits (part of them) and other processes of refusal in favor of other persons are carried out through the electronic platform "WAY Invest".</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Sale and purchase of contributions to the authorized fund of the partnership</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0"/>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The depositors of the partnership have the right to sell their contribution or part of it to one or more depositors of the partnership, as well as to third parties, or otherwise abandon it in their favor. At the same time, all of the above processes related to contributions or part of them are carried out through the electronic platform "WAY Invest".</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0"/>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The Partnership is not entitled to receive its contribution to the authorized capital or part of it, except in cases provided for by law.</w:t>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Management bodies of the partnership</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0"/>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The management bodies of the partnership are as follows:</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General Meeting of Full Partners;</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Director.</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120" w:before="0" w:line="240" w:lineRule="auto"/>
        <w:ind w:left="1209" w:right="0" w:hanging="36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General Meeting of Full Partners</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0"/>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The General Meeting of Full Partners is the supreme governing body of the partnership. The partnership's activities are managed by full-fledged partners.</w:t>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Only full partners can be a member of the general meeting of full partners. </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Depositors are not entitled to conduct business on his behalf in any other way without a power of attorney to participate in the management of the partnership and conduct its affairs. Depositors have no right to challenge the conduct of full partners in the management of the partnership and the conduct of its affairs.</w:t>
      </w:r>
    </w:p>
    <w:p w:rsidR="00000000" w:rsidDel="00000000" w:rsidP="00000000" w:rsidRDefault="00000000" w:rsidRPr="00000000" w14:paraId="0000008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0"/>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Powers of the General Meeting of full partners:</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definition of the main activities of the partnership;</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reorganization and liquidation of the partnership;</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amendments and additions to the founding agreement;</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making a decision on the distribution of profits (losses) of the partnership between it and depositors;</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making decisions on increasing and decreasing the authorized capital of the partnership;</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checking annual reports and annual balance sheets;</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resolution of other issues stipulated by the partnership agreement.</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0"/>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The management of the partnership's activities is carried out by general agreement of all its full partners. The decision of the general meeting of full partners of the partnership is adopted unanimously by all full partners of the partnership.</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DIRECTOR</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0"/>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The executive body of the Partnership is the director, who manages the current activities of the partnership.</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0"/>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The Director is appointed for an indefinite period on the basis of a decision of the general meeting of general associates and is relieved of duties in this order.  </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0"/>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The Director acts on behalf of the partnership without a power of attorney on the basis of this founding agreement and within the limits of the powers granted by the general meeting of full partners, including representing its interests in all republican and foreign government bodies, firms and organizations, makes transactions, issues power of attorney, opens accounts and other bank accounts, prepares the admission and dismissal of employees, monitors all types of activities of the partnership, including giving orders and orders that are mandatory for employees.</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0"/>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The Director may be dismissed on the basis of a decision of the general meeting of full partners. </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0"/>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Director of the partnership:</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Organizes the preparation and execution of decisions of the general meeting of full partners and submits reports on their execution to the general meeting of full partners;</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responsible for providing reports;</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performs other functions assigned to the general meeting of full partners;</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provides information on the results of the partnership's activities based on requests from depositors;</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The use and disposal of the property of the partnership in the interests of full partners and depositors.</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0"/>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The Director is accountable to the general meeting of the general partners of the partnership and is responsible for the implementation of the activities of the partnership and the fulfillment of the tasks and functions assigned to it.</w:t>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Distribution of the partnership's profits</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0"/>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The decision on determining the part of the profit to be distributed among depositors (limited contributors) is made by the General Meeting of Full Partners.</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0"/>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The dividend income is distributed twice a year. Depositors receive dividends distributed within four months from the date of submission of semi-annual and annual financial statements, in proportion to the percentage of their contributions of depositors (limited depositors) to the authorized fund (authorized capital) of the partnership to the authorized fund of the partnership.</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0"/>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The dividend income of each depositor is formed according to the formula:</w:t>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DI= (The amount of the contribution of the depositor (contributor) * DDS * the term of ownership of the deposit during each financial year / 365 days) – Additional dividend income of the full partner.</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Here:</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DI – dividend income;</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DDR – the rate of dividend income determined based on the results of accounting statements;</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The period of ownership of a deposit during each financial year is the period of ownership of a deposit during each financial year as a result of its acquisition or contribution to the authorized fund (authorized capital) of the company. Every 1st and 15th day of the month;</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Additional dividend income of a full partner is an amount amounting to up to 20 (twenty) percent of the amount of the depositor's (limited partner's) dividend income. </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At the same time, full partners receive additional income in the amount of 0% from depositors (committers) for the first year. Full partners can increase the percentage of additional income for subsequent years. The increased additional dividend income of full partners may not exceed 20 (twenty) percent.</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Conflict situations in the activities of the partnership and the procedure for their resolution</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0"/>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This founding agreement, its clarifications and any contractual obligations arising from it or related to it are regulated in accordance with the legislation of the Republic of Uzbekistan. </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0"/>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The Parties undertake to consider and resolve all disputes related to this founding agreement in accordance with this founding agreement. </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0"/>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All disputes arising under this founding agreement, including disputes on the invalidation of this agreement, must undergo a mandatory mediation procedure in accordance with the Law of the Republic of Uzbekistan "On Mediation". It is believed that the mediation process began with the filing of a complaint from one party to the other. </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0"/>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If it is impossible to reach mutual understanding or resolve a dispute arising from or related to the founding agreement, including, but not limited to, any issue related to its existence, validity and termination, as well as damage caused by its violation or termination, it will be considered in the Arbitration Court permanently operating under the NGO "Legal consumer assistance", and must be submitted for a final decision.</w:t>
      </w: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FINAL PROVISIONS</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0"/>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This Agreement shall enter into force from the moment of its state registration in accordance with the procedure established by the legislation of the Republic of Uzbekistan.</w:t>
      </w: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20" w:right="0" w:firstLine="0"/>
        <w:jc w:val="center"/>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br w:type="page"/>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APPENDIX </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20" w:right="0" w:firstLine="0"/>
        <w:jc w:val="center"/>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TO THE FOUNDING AGREEMENT</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20" w:right="0" w:firstLine="0"/>
        <w:jc w:val="center"/>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“WAY II FUND KOMMANDIT SHIRKAT” </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20" w:right="0" w:firstLine="0"/>
        <w:jc w:val="center"/>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THE NAME OF FULL PARTNERS AND DEPOSITORS IN THE AUTHORIZED FUND "WAY II FUND KOMMANDIT SHIRKAT", THE NOMINAL VALUE AND PERCENTAGE OF THEIR SHARES</w:t>
      </w: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0" w:before="0" w:line="259"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FULL PARTNERS:</w:t>
      </w: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tbl>
      <w:tblPr>
        <w:tblStyle w:val="Table4"/>
        <w:tblW w:w="962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4"/>
        <w:gridCol w:w="3686"/>
        <w:gridCol w:w="3118"/>
        <w:gridCol w:w="2119"/>
        <w:tblGridChange w:id="0">
          <w:tblGrid>
            <w:gridCol w:w="704"/>
            <w:gridCol w:w="3686"/>
            <w:gridCol w:w="3118"/>
            <w:gridCol w:w="2119"/>
          </w:tblGrid>
        </w:tblGridChange>
      </w:tblGrid>
      <w:tr>
        <w:trPr>
          <w:cantSplit w:val="0"/>
          <w:tblHeader w:val="0"/>
        </w:trPr>
        <w:tc>
          <w:tcPr>
            <w:vAlign w:val="center"/>
          </w:tcPr>
          <w:p w:rsidR="00000000" w:rsidDel="00000000" w:rsidP="00000000" w:rsidRDefault="00000000" w:rsidRPr="00000000" w14:paraId="000000BD">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w:t>
            </w:r>
            <w:r w:rsidDel="00000000" w:rsidR="00000000" w:rsidRPr="00000000">
              <w:rPr>
                <w:rtl w:val="0"/>
              </w:rPr>
            </w:r>
          </w:p>
        </w:tc>
        <w:tc>
          <w:tcPr>
            <w:vAlign w:val="center"/>
          </w:tcPr>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Name of the full partner</w:t>
            </w:r>
            <w:r w:rsidDel="00000000" w:rsidR="00000000" w:rsidRPr="00000000">
              <w:rPr>
                <w:rtl w:val="0"/>
              </w:rPr>
            </w:r>
          </w:p>
        </w:tc>
        <w:tc>
          <w:tcPr>
            <w:vAlign w:val="center"/>
          </w:tcPr>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Nominal value of the share (sum)</w:t>
            </w:r>
            <w:r w:rsidDel="00000000" w:rsidR="00000000" w:rsidRPr="00000000">
              <w:rPr>
                <w:rtl w:val="0"/>
              </w:rPr>
            </w:r>
          </w:p>
        </w:tc>
        <w:tc>
          <w:tcPr>
            <w:vAlign w:val="center"/>
          </w:tcPr>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Share size (in percent)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1">
            <w:pPr>
              <w:spacing w:after="120" w:lineRule="auto"/>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sz w:val="28"/>
                <w:szCs w:val="28"/>
                <w:rtl w:val="0"/>
              </w:rPr>
              <w:t xml:space="preserve">{#kt_first_table} {no}</w:t>
            </w:r>
            <w:r w:rsidDel="00000000" w:rsidR="00000000" w:rsidRPr="00000000">
              <w:rPr>
                <w:rtl w:val="0"/>
              </w:rPr>
            </w:r>
          </w:p>
        </w:tc>
        <w:tc>
          <w:tcPr>
            <w:vAlign w:val="top"/>
          </w:tcPr>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sz w:val="28"/>
                <w:szCs w:val="28"/>
                <w:rtl w:val="0"/>
              </w:rPr>
              <w:t xml:space="preserve">{project_name}</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w:t>
            </w:r>
          </w:p>
        </w:tc>
        <w:tc>
          <w:tcPr>
            <w:vAlign w:val="top"/>
          </w:tcPr>
          <w:p w:rsidR="00000000" w:rsidDel="00000000" w:rsidP="00000000" w:rsidRDefault="00000000" w:rsidRPr="00000000" w14:paraId="000000C3">
            <w:pPr>
              <w:spacing w:after="120" w:lineRule="auto"/>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sz w:val="28"/>
                <w:szCs w:val="28"/>
                <w:rtl w:val="0"/>
              </w:rPr>
              <w:t xml:space="preserve">{amount}</w:t>
            </w:r>
            <w:r w:rsidDel="00000000" w:rsidR="00000000" w:rsidRPr="00000000">
              <w:rPr>
                <w:rtl w:val="0"/>
              </w:rPr>
            </w:r>
          </w:p>
        </w:tc>
        <w:tc>
          <w:tcPr>
            <w:vAlign w:val="top"/>
          </w:tcPr>
          <w:p w:rsidR="00000000" w:rsidDel="00000000" w:rsidP="00000000" w:rsidRDefault="00000000" w:rsidRPr="00000000" w14:paraId="000000C4">
            <w:pPr>
              <w:spacing w:after="120" w:lineRule="auto"/>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sz w:val="28"/>
                <w:szCs w:val="28"/>
                <w:rtl w:val="0"/>
              </w:rPr>
              <w:t xml:space="preserve">{/kt_first_table}{percen}</w:t>
            </w: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righ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Total:</w:t>
            </w:r>
            <w:r w:rsidDel="00000000" w:rsidR="00000000" w:rsidRPr="00000000">
              <w:rPr>
                <w:rtl w:val="0"/>
              </w:rPr>
            </w:r>
          </w:p>
        </w:tc>
        <w:tc>
          <w:tcPr>
            <w:vAlign w:val="top"/>
          </w:tcPr>
          <w:p w:rsidR="00000000" w:rsidDel="00000000" w:rsidP="00000000" w:rsidRDefault="00000000" w:rsidRPr="00000000" w14:paraId="000000C7">
            <w:pPr>
              <w:spacing w:after="120" w:lineRule="auto"/>
              <w:rPr>
                <w:sz w:val="28"/>
                <w:szCs w:val="28"/>
              </w:rPr>
            </w:pPr>
            <w:r w:rsidDel="00000000" w:rsidR="00000000" w:rsidRPr="00000000">
              <w:rPr>
                <w:sz w:val="28"/>
                <w:szCs w:val="28"/>
                <w:rtl w:val="0"/>
              </w:rPr>
              <w:t xml:space="preserve">{total_sum}</w:t>
            </w:r>
          </w:p>
        </w:tc>
        <w:tc>
          <w:tcPr>
            <w:vAlign w:val="top"/>
          </w:tcPr>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100%</w:t>
            </w:r>
          </w:p>
        </w:tc>
      </w:tr>
    </w:tbl>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12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DEPOSITORS:</w:t>
      </w:r>
      <w:r w:rsidDel="00000000" w:rsidR="00000000" w:rsidRPr="00000000">
        <w:rPr>
          <w:rtl w:val="0"/>
        </w:rPr>
      </w:r>
    </w:p>
    <w:tbl>
      <w:tblPr>
        <w:tblStyle w:val="Table5"/>
        <w:tblW w:w="962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4"/>
        <w:gridCol w:w="3686"/>
        <w:gridCol w:w="3118"/>
        <w:gridCol w:w="2119"/>
        <w:tblGridChange w:id="0">
          <w:tblGrid>
            <w:gridCol w:w="704"/>
            <w:gridCol w:w="3686"/>
            <w:gridCol w:w="3118"/>
            <w:gridCol w:w="2119"/>
          </w:tblGrid>
        </w:tblGridChange>
      </w:tblGrid>
      <w:tr>
        <w:trPr>
          <w:cantSplit w:val="0"/>
          <w:tblHeader w:val="0"/>
        </w:trPr>
        <w:tc>
          <w:tcPr>
            <w:vAlign w:val="center"/>
          </w:tcPr>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w:t>
            </w:r>
            <w:r w:rsidDel="00000000" w:rsidR="00000000" w:rsidRPr="00000000">
              <w:rPr>
                <w:rtl w:val="0"/>
              </w:rPr>
            </w:r>
          </w:p>
        </w:tc>
        <w:tc>
          <w:tcPr>
            <w:vAlign w:val="center"/>
          </w:tcPr>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Depositors' insurance</w:t>
            </w:r>
            <w:r w:rsidDel="00000000" w:rsidR="00000000" w:rsidRPr="00000000">
              <w:rPr>
                <w:rtl w:val="0"/>
              </w:rPr>
            </w:r>
          </w:p>
        </w:tc>
        <w:tc>
          <w:tcPr>
            <w:vAlign w:val="center"/>
          </w:tcPr>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Monetary value of deposits (sum)</w:t>
            </w:r>
            <w:r w:rsidDel="00000000" w:rsidR="00000000" w:rsidRPr="00000000">
              <w:rPr>
                <w:rtl w:val="0"/>
              </w:rPr>
            </w:r>
          </w:p>
        </w:tc>
        <w:tc>
          <w:tcPr>
            <w:vAlign w:val="center"/>
          </w:tcPr>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Deposit amount (as a percentage)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F">
            <w:pPr>
              <w:spacing w:after="120" w:lineRule="auto"/>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sz w:val="28"/>
                <w:szCs w:val="28"/>
                <w:highlight w:val="white"/>
                <w:rtl w:val="0"/>
              </w:rPr>
              <w:t xml:space="preserve">{#kt_second_table} {no}</w:t>
            </w:r>
            <w:r w:rsidDel="00000000" w:rsidR="00000000" w:rsidRPr="00000000">
              <w:rPr>
                <w:rtl w:val="0"/>
              </w:rPr>
            </w:r>
          </w:p>
        </w:tc>
        <w:tc>
          <w:tcPr>
            <w:vAlign w:val="top"/>
          </w:tcPr>
          <w:p w:rsidR="00000000" w:rsidDel="00000000" w:rsidP="00000000" w:rsidRDefault="00000000" w:rsidRPr="00000000" w14:paraId="000000D0">
            <w:pPr>
              <w:spacing w:after="120" w:lineRule="auto"/>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sz w:val="28"/>
                <w:szCs w:val="28"/>
                <w:highlight w:val="white"/>
                <w:rtl w:val="0"/>
              </w:rPr>
              <w:t xml:space="preserve">{name}</w:t>
            </w:r>
            <w:r w:rsidDel="00000000" w:rsidR="00000000" w:rsidRPr="00000000">
              <w:rPr>
                <w:rtl w:val="0"/>
              </w:rPr>
            </w:r>
          </w:p>
        </w:tc>
        <w:tc>
          <w:tcPr>
            <w:vAlign w:val="top"/>
          </w:tcPr>
          <w:p w:rsidR="00000000" w:rsidDel="00000000" w:rsidP="00000000" w:rsidRDefault="00000000" w:rsidRPr="00000000" w14:paraId="000000D1">
            <w:pPr>
              <w:spacing w:after="120" w:lineRule="auto"/>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sz w:val="28"/>
                <w:szCs w:val="28"/>
                <w:highlight w:val="white"/>
                <w:rtl w:val="0"/>
              </w:rPr>
              <w:t xml:space="preserve">{paid_amount}</w:t>
            </w:r>
            <w:r w:rsidDel="00000000" w:rsidR="00000000" w:rsidRPr="00000000">
              <w:rPr>
                <w:rtl w:val="0"/>
              </w:rPr>
            </w:r>
          </w:p>
        </w:tc>
        <w:tc>
          <w:tcPr>
            <w:vAlign w:val="top"/>
          </w:tcPr>
          <w:p w:rsidR="00000000" w:rsidDel="00000000" w:rsidP="00000000" w:rsidRDefault="00000000" w:rsidRPr="00000000" w14:paraId="000000D2">
            <w:pPr>
              <w:spacing w:after="120" w:lineRule="auto"/>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sz w:val="28"/>
                <w:szCs w:val="28"/>
                <w:rtl w:val="0"/>
              </w:rPr>
              <w:t xml:space="preserve">{/kt_second_table}</w:t>
            </w:r>
            <w:r w:rsidDel="00000000" w:rsidR="00000000" w:rsidRPr="00000000">
              <w:rPr>
                <w:sz w:val="28"/>
                <w:szCs w:val="28"/>
                <w:highlight w:val="white"/>
                <w:rtl w:val="0"/>
              </w:rPr>
              <w:t xml:space="preserve">{percent}</w:t>
            </w: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righ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Total:</w:t>
            </w:r>
            <w:r w:rsidDel="00000000" w:rsidR="00000000" w:rsidRPr="00000000">
              <w:rPr>
                <w:rtl w:val="0"/>
              </w:rPr>
            </w:r>
          </w:p>
        </w:tc>
        <w:tc>
          <w:tcPr>
            <w:vAlign w:val="top"/>
          </w:tcPr>
          <w:p w:rsidR="00000000" w:rsidDel="00000000" w:rsidP="00000000" w:rsidRDefault="00000000" w:rsidRPr="00000000" w14:paraId="000000D5">
            <w:pPr>
              <w:spacing w:after="120" w:lineRule="auto"/>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sz w:val="28"/>
                <w:szCs w:val="28"/>
                <w:highlight w:val="white"/>
                <w:rtl w:val="0"/>
              </w:rPr>
              <w:t xml:space="preserve">{total_amount}</w:t>
            </w:r>
            <w:r w:rsidDel="00000000" w:rsidR="00000000" w:rsidRPr="00000000">
              <w:rPr>
                <w:rtl w:val="0"/>
              </w:rPr>
            </w:r>
          </w:p>
        </w:tc>
        <w:tc>
          <w:tcPr>
            <w:vAlign w:val="top"/>
          </w:tcPr>
          <w:p w:rsidR="00000000" w:rsidDel="00000000" w:rsidP="00000000" w:rsidRDefault="00000000" w:rsidRPr="00000000" w14:paraId="000000D6">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100%</w:t>
            </w:r>
          </w:p>
        </w:tc>
      </w:tr>
    </w:tbl>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sectPr>
      <w:headerReference r:id="rId6" w:type="default"/>
      <w:pgSz w:h="16838" w:w="11906" w:orient="portrait"/>
      <w:pgMar w:bottom="851" w:top="851" w:left="1418" w:right="851"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209"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upperRoman"/>
      <w:lvlText w:val="%1."/>
      <w:lvlJc w:val="right"/>
      <w:pPr>
        <w:ind w:left="720" w:hanging="360"/>
      </w:pPr>
      <w:rPr>
        <w:b w:val="1"/>
        <w:vertAlign w:val="baseline"/>
      </w:rPr>
    </w:lvl>
    <w:lvl w:ilvl="1">
      <w:start w:val="1"/>
      <w:numFmt w:val="decimal"/>
      <w:lvlText w:val="%1.%2."/>
      <w:lvlJc w:val="left"/>
      <w:pPr>
        <w:ind w:left="720" w:hanging="360"/>
      </w:pPr>
      <w:rPr>
        <w:b w:val="0"/>
        <w:vertAlign w:val="baseline"/>
      </w:rPr>
    </w:lvl>
    <w:lvl w:ilvl="2">
      <w:start w:val="1"/>
      <w:numFmt w:val="decimal"/>
      <w:lvlText w:val="%1.%2.%3."/>
      <w:lvlJc w:val="left"/>
      <w:pPr>
        <w:ind w:left="1080" w:hanging="720"/>
      </w:pPr>
      <w:rPr>
        <w:b w:val="1"/>
        <w:vertAlign w:val="baseline"/>
      </w:rPr>
    </w:lvl>
    <w:lvl w:ilvl="3">
      <w:start w:val="1"/>
      <w:numFmt w:val="decimal"/>
      <w:lvlText w:val="%1.%2.%3.%4."/>
      <w:lvlJc w:val="left"/>
      <w:pPr>
        <w:ind w:left="1080" w:hanging="720"/>
      </w:pPr>
      <w:rPr>
        <w:b w:val="1"/>
        <w:vertAlign w:val="baseline"/>
      </w:rPr>
    </w:lvl>
    <w:lvl w:ilvl="4">
      <w:start w:val="1"/>
      <w:numFmt w:val="decimal"/>
      <w:lvlText w:val="%1.%2.%3.%4.%5."/>
      <w:lvlJc w:val="left"/>
      <w:pPr>
        <w:ind w:left="1440" w:hanging="1080"/>
      </w:pPr>
      <w:rPr>
        <w:b w:val="1"/>
        <w:vertAlign w:val="baseline"/>
      </w:rPr>
    </w:lvl>
    <w:lvl w:ilvl="5">
      <w:start w:val="1"/>
      <w:numFmt w:val="decimal"/>
      <w:lvlText w:val="%1.%2.%3.%4.%5.%6."/>
      <w:lvlJc w:val="left"/>
      <w:pPr>
        <w:ind w:left="1440" w:hanging="1080"/>
      </w:pPr>
      <w:rPr>
        <w:b w:val="1"/>
        <w:vertAlign w:val="baseline"/>
      </w:rPr>
    </w:lvl>
    <w:lvl w:ilvl="6">
      <w:start w:val="1"/>
      <w:numFmt w:val="decimal"/>
      <w:lvlText w:val="%1.%2.%3.%4.%5.%6.%7."/>
      <w:lvlJc w:val="left"/>
      <w:pPr>
        <w:ind w:left="1800" w:hanging="1440"/>
      </w:pPr>
      <w:rPr>
        <w:b w:val="1"/>
        <w:vertAlign w:val="baseline"/>
      </w:rPr>
    </w:lvl>
    <w:lvl w:ilvl="7">
      <w:start w:val="1"/>
      <w:numFmt w:val="decimal"/>
      <w:lvlText w:val="%1.%2.%3.%4.%5.%6.%7.%8."/>
      <w:lvlJc w:val="left"/>
      <w:pPr>
        <w:ind w:left="1800" w:hanging="1440"/>
      </w:pPr>
      <w:rPr>
        <w:b w:val="1"/>
        <w:vertAlign w:val="baseline"/>
      </w:rPr>
    </w:lvl>
    <w:lvl w:ilvl="8">
      <w:start w:val="1"/>
      <w:numFmt w:val="decimal"/>
      <w:lvlText w:val="%1.%2.%3.%4.%5.%6.%7.%8.%9."/>
      <w:lvlJc w:val="left"/>
      <w:pPr>
        <w:ind w:left="2160" w:hanging="1800"/>
      </w:pPr>
      <w:rPr>
        <w:b w:val="1"/>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uz-Cyrl"/>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57.0" w:type="dxa"/>
        <w:bottom w:w="0.0" w:type="dxa"/>
        <w:right w:w="57.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