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jc w:val="both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9636.0" w:type="dxa"/>
        <w:jc w:val="center"/>
        <w:tblLayout w:type="fixed"/>
        <w:tblLook w:val="0000"/>
      </w:tblPr>
      <w:tblGrid>
        <w:gridCol w:w="4233"/>
        <w:gridCol w:w="5403"/>
        <w:tblGridChange w:id="0">
          <w:tblGrid>
            <w:gridCol w:w="4233"/>
            <w:gridCol w:w="540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2">
            <w:pPr>
              <w:widowControl w:val="0"/>
              <w:spacing w:after="12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3">
            <w:pPr>
              <w:widowControl w:val="0"/>
              <w:jc w:val="center"/>
              <w:rPr/>
            </w:pPr>
            <w:bookmarkStart w:colFirst="0" w:colLast="0" w:name="_30j0zll" w:id="1"/>
            <w:bookmarkEnd w:id="1"/>
            <w:r w:rsidDel="00000000" w:rsidR="00000000" w:rsidRPr="00000000">
              <w:rPr>
                <w:b w:val="1"/>
                <w:rtl w:val="0"/>
              </w:rPr>
              <w:t xml:space="preserve">На основании протокола общего собрания полных партнеров коммандитного товарищества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«WAYLL FUND KOMMANDIT SHIRKAT KOMMANDIT SHIRKAT»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 {pdf_number} от {day} {month} 2025 г.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УЧРЕДИТЕЛЬНЫЙ ДОГОВОР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КОММАНДИТНОГО ТОВАРИЩЕСТВА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«WAY II MANAGEMENT VA KOMPANIYA KOMMANDIT SHIRKAT»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0" w:lineRule="auto"/>
        <w:jc w:val="center"/>
        <w:rPr/>
      </w:pPr>
      <w:r w:rsidDel="00000000" w:rsidR="00000000" w:rsidRPr="00000000">
        <w:rPr>
          <w:b w:val="1"/>
          <w:rtl w:val="0"/>
        </w:rPr>
        <w:t xml:space="preserve">(В новой редакции)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0" w:lineRule="auto"/>
        <w:jc w:val="center"/>
        <w:rPr/>
      </w:pPr>
      <w:r w:rsidDel="00000000" w:rsidR="00000000" w:rsidRPr="00000000">
        <w:rPr>
          <w:rtl w:val="0"/>
        </w:rPr>
        <w:t xml:space="preserve">Ташкент-2024 г.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before="0" w:line="276" w:lineRule="auto"/>
        <w:jc w:val="center"/>
        <w:rPr/>
      </w:pPr>
      <w:r w:rsidDel="00000000" w:rsidR="00000000" w:rsidRPr="00000000">
        <w:rPr>
          <w:b w:val="1"/>
          <w:rtl w:val="0"/>
        </w:rPr>
        <w:t xml:space="preserve">ОБЩИЕ ПРАВИЛА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bookmarkStart w:colFirst="0" w:colLast="0" w:name="_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Коммандитное товарищество «WAY II MANAGEMENT VA KOMPANIYA KOMMANDIT SHIRKAT»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(далее по тексту-«Товарищество») является юридическим лицом, учрежденным в соответствии с законодательством Республики Узбекистан, и осуществляет деятельность на этой основе.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Официальное полное фирменное наименование Товарищества: </w:t>
      </w:r>
    </w:p>
    <w:tbl>
      <w:tblPr>
        <w:tblStyle w:val="Table2"/>
        <w:tblW w:w="9178.0" w:type="dxa"/>
        <w:jc w:val="left"/>
        <w:tblInd w:w="493.0" w:type="dxa"/>
        <w:tblLayout w:type="fixed"/>
        <w:tblLook w:val="0000"/>
      </w:tblPr>
      <w:tblGrid>
        <w:gridCol w:w="2234"/>
        <w:gridCol w:w="6944"/>
        <w:tblGridChange w:id="0">
          <w:tblGrid>
            <w:gridCol w:w="2234"/>
            <w:gridCol w:w="694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44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 узбекском языке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75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“WAY II MANAGEMENT VA KOMPANIYA KOMMANDIT SHIRKAT” коммандит ширкати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44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 русском языке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75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Коммандитное товарищество «WAY II MANAGEMENT VA KOMPANIYA KOMMANDIT SHIRKAT»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44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 английском языке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175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“WAY II MANAGEMENT VA KOMPANIYA KOMMANDIT SHIRKAT” limited Partnership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Деятельность Товарищества и почтовый адрес: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Республика Узбекистан, г. Ташкент, Шайхантахурский район, СГМ Укчи, ул. Ислама Каримова, д. 2-а.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Правовой статус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является юридическим лицом Республики Узбекистан.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Правовой статус Товарищества: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имеет круглую печать с полным фирменным наименованием и территорией, в которой она расположена, на государственном языке.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участвует в гражданских правоотношениях через свои официальные бланки с указанием фирменного наименования и адреса;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является субъектом частной собственности, владеет, пользуется и распоряжается частной собственностью, возникающей в установленном законодательством порядке, имеет право владеть объектами интеллектуальной собственности, зарегистрированными в установленном порядке.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вправе заключать от своего имени и за свой счет все виды договоров и соглашений, приобретать имущественные и неимущественные права, совершать юридически значимые действия и участвовать в качестве истца, ответчика и третьей стороны в судах по экономическим, административным и гражданским делам, арбитражных судах и международных арбитражных судах на территории Республики Узбекистан и за ее пределами.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имеет самостоятельный баланс, имеет право открывать в банковских учреждениях основные и второстепенные счета, в том числе счета в иностранной валюте.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осуществляет свою деятельность по владению имуществом, его покупке и продаже, осуществлению инвестиционной деятельности и всех финансовых операций на основе полного хозяйственного учета в соответствии с законодательством, на основе самофинансирования и самозанятости.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вправе создавать свои структурные подразделения, зависимые и дочерние общества (юридические лица), филиалы и представительства. Структурные подразделения Товарищества, зависимые и дочерние общества, филиалы и представительства действуют на основании уставов и положений, утверждаемых решениями общего собрания полных товариществ.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создано на неопределенный срок.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Приостановление деятельности общества производится в соответствии с решением общего собрания полных партнеров Товарищества или на основании вступившего в законную силу решения суда.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отвечает по своим обязательствам всем имуществом, полностью принадлежащим партнерам, а также имуществом, образованным в рамках вкладов вкладчика (коммандитчика).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Учредительные документы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Учредительным документом Товарищества является учредительный договор (далее по тексту-»Учредительный договор»), который подписывают полные партнеры.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Учредительный договор Товарищества подписывается полными партнерами и подлежит государственной регистрации после его утверждения решением общего собрания полных партнеров.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Внесение изменений и дополнений в учредительный договор осуществляется путем утверждения, подписания и государственной регистрации новой редакции учредительного договора в соответствии с решениями общего собрания полных партнеров общества.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Изменения и дополнения к учредительному договору вступают в силу с момента государственной регистрации (перерегистрации).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Полные партнеры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Полными партнерами Товарищества могут быть физические и юридические лица, осуществляющие предпринимательскую деятельность от имени Товарищества и отвечающие по обязательствам общества всем своим имуществом.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Полный список партнеров компании указан в пункте 7.4 настоящего учредительного договора.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Сфера деятельности, цели Товарищества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Основным направлением деятельности Товарищества является коммерческая деятельность и консультирование по вопросам управления.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Основной целью Товарищества является получение прибыли в виде дивидендов путем приобретения части долей в его уставном фонде (уставном капитале) или долевого участия в их уставном фонде (уставном капитале) путем инвестирования принадлежащего ему имущества и инвестиционных средств в юридические лица в порядке, установленном законодательством Республики Узбекистан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может заниматься любой другой деятельностью, не запрещенной законодательством, не указанной в настоящем Учредительном договоре. Оно также имеет право заниматься видами деятельности, требующими получения уведомления или специального разрешения или лицензии в случаях, предусмотренных законодательством, после получения необходимого разрешения, лицензии или направления уведомлении.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Объекты инвестиционной деятельности и формы осуществления инвестиций, выбираемые Товариществом, полностью реализуются в соответствии с решением общего собрания полных партнеров.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Вкладчики Товарищества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соответствии с Законом Республики Узбекистан «О хозяйственных Товариществах» вкладчиками в Товарищество могут быть граждане Республики Узбекистан, индивидуальные предприниматели и юридические лица, международные организации и иностранные юридические лица и граждане, а также лица без гражданства.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Вкладчиками Товарищества являются юридические и физические лица (Коммандитист), которые несут ответственность за убытки, связанные с деятельностью Товарищества, в пределах своих вкладов и не участвуют в осуществлении Товариществом предпринимательской деятельности.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Наименование вкладчиков Товарищества, номер соответствующего вклада и вид процентов указываются в приложении к учредительному договору Товарищества.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Вкладчики Товарищества самостоятельно распоряжаются принадлежащими им товарищескими взносами.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Уставный фонд Товарищества и порядок его формирования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Уставный фонд Товарищества будет состоять из номинальной стоимости долей полных партнеров в уставном фонде Товарищества и номинальной стоимости вкладов вкладчиков в уставный фонд Товарищества.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bookmarkStart w:colFirst="0" w:colLast="0" w:name="_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7.2.</w:t>
        <w:tab/>
        <w:t xml:space="preserve">Номинальная и рыночная стоимость 1 (одного) вклада в уставный фонд общества определяется на электронной платформе «WAY Invest» с оценкой экономических показателей, в том числе полными партнерами, исходя из рыночной конъюнктуры.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Уставный фонд общества составляет 34 686 000 000 (тридцать четыре миллиарда шестьсот восемьдесят шесть миллионов) сумов. Где: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—  Номинальная стоимость долей полных партнеров в уставном фонде товарищества 21 000 000 (двадцать один миллион);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Номинальная стоимость вкладов вкладчиков в уставный фонд общества составляет 34 665 000 000 (тридцать четыре миллиарда шестьсот шестьдесят пять миллионов) сумов.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Общее распределение полных участников и вкладчиков Товарищества и долей в уставном фонде Товарищества следующее:</w:t>
      </w:r>
    </w:p>
    <w:tbl>
      <w:tblPr>
        <w:tblStyle w:val="Table3"/>
        <w:tblW w:w="9852.0" w:type="dxa"/>
        <w:jc w:val="left"/>
        <w:tblInd w:w="-224.0" w:type="dxa"/>
        <w:tblLayout w:type="fixed"/>
        <w:tblLook w:val="0000"/>
      </w:tblPr>
      <w:tblGrid>
        <w:gridCol w:w="816"/>
        <w:gridCol w:w="4109"/>
        <w:gridCol w:w="1"/>
        <w:gridCol w:w="2462"/>
        <w:gridCol w:w="1"/>
        <w:gridCol w:w="2463"/>
        <w:tblGridChange w:id="0">
          <w:tblGrid>
            <w:gridCol w:w="816"/>
            <w:gridCol w:w="4109"/>
            <w:gridCol w:w="1"/>
            <w:gridCol w:w="2462"/>
            <w:gridCol w:w="1"/>
            <w:gridCol w:w="246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Список полных партнеров компании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Номинальная стоимость доли (в сумах)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Процентная доля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ООО «WAY II Management»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20 000 000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95,2%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ООО “WAY Techno”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1 000 000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4,8%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21 000 000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34"/>
              </w:tabs>
              <w:spacing w:after="12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100 %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Номинальная стоимость и процентное соотношение вкладов полных партнеров и вкладчиков в уставный фонд Товарищества определяются приложением к Учредительному договору.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 даты внесения вкладов вкладчиками в уставный фонд (уставный капитал) Товарищества, включая дату приобретения, если вкладчик не может продать свой вклад третьим лицам и другим вкладчикам, Товарищество получает право на обратную продажу через год.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Полные партнеры могут быть образованы путем внесения в уставный фонд общества долей денежных средств, объектов недвижимости, ценных бумаг, долей в хозяйственных обществах, имущественных прав и имущества и имущественных прав, которые могут быть переданы другому лицу, имеющему денежную оценку.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Стоимость имущества или имущественных прав, вносимых полным партнером и его вкладчиками, утверждается решением общего собрания полных партнеров.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Тот факт, что вклады вкладчиков были внесены в полном объеме, что вкладчик стал вкладчиком в результате приобретения соответствующего вклада, подтверждается свидетельством, выдаваемым Товариществом по форме и в порядке, утверждаемом решением общего собрания полных партнеров.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Увеличение и уменьшение уставного фонда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Увеличение уставного фонда (уставного капитала) Товарищества допускается после его полного формирования.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Увеличение уставного фонда Товарищества может производиться за счет имущества Товарищества, за счет дополнительных взносов участников Товарищества или за счет взносов новых вкладчиков, принимаемых в Товарищество.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Увеличение уставного фонда Товарищества производится по решению общего собрания полных товариществ.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Решение об увеличении уставного фонда общества за счет имущества Товарищества может быть принято только на основании данных бухгалтерской отчетности Товарищества за год, предшествующий году принятия такого решения.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Уставный фонд Товарищества, сумма, увеличиваемая за счет имущества Товарищества, не должна превышать разницу между стоимостью чистых активов Товарищества и суммой уставного фонда (уставного капитала).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вправе уменьшить свой уставный фонд в соответствии с действующим законодательством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Права и обязанности вкладчиков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Вкладчики Товарищества имеют следующие права: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получение части прибыли Товарищества, пропорционально его вкладу в уставный фонд, в порядке, предусмотренном учредительным договором;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ознакомление с годовыми отчетами и балансами Товарищества;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выход из Товарищества по окончании финансового года и получение взноса в порядке, предусмотренном учредительным договором;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передача доли или ее части в уставном фонде другому вкладчику или третьему лицу.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Вкладчики Товарищества несут следующие обязанности: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все операции, связанные с собственными вкладами (их частью) и иные процессы отказа в пользу других лиц, осуществляются через электронную площадку «WAY Invest».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Продажа и покупка вкладов в уставный фонд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Вкладчики Товарищества имеют право продать свой вклад или его часть одному или нескольким вкладчикам Товарищества, а также третьим лицам или иным образом отказаться от него в их пользу. При этом все вышеперечисленные процессы, связанные с взносами или их частью,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выполняются через электронную платформу «WAY Invest».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Вкладчики пользуются преимущественным правом перед третьими лицами при покупке доли (или ее части) по предложенной третьей стороне цене. Покупка и продажа вкладов осуществляется через электронную платформу «WAY Invest». При этом преимущественное право оставшихся участников действует в течение пяти дней с момента подачи предложения о продаже доли участника.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Товарищество не вправе получать свой вклад в уставный фонд или его часть, за исключением случаев, предусмотренных законодательством.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Органы управления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Органы управления Товарищества следующие: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567"/>
        </w:tabs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Общее собрание полных партнеров;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567"/>
        </w:tabs>
        <w:spacing w:after="12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Директор.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Общее собрание полных партнеров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Общее собрание полных партнеров является высшим органом управления Товариществом. Управление деятельностью Товарищества осуществляется полноправными партнерами.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Членом общего собрания полных партнеров могут быть только полные партнеры.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Вкладчики не вправе иным образом вести дела от его имени без доверенности на участие в управлении Товариществом и ведении его дел. Вкладчики не вправе оспаривать поведение полных партнеров по управлению Товариществом и ведению его дел.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Полномочия общего собрания полных партнеров: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определение основных направлений деятельности Товарищества;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реорганизация и ликвидация Товарищества;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внесение изменений и дополнений в учредительный договор;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принятие решения о распределении прибыли (убытков) Товарищества между ним и вкладчиками;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принятие решений об увеличении и уменьшении уставного фонда Товарищества;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09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проверка годовых отчетов и годовых балансов;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567"/>
          <w:tab w:val="left" w:leader="none" w:pos="1134"/>
        </w:tabs>
        <w:spacing w:after="12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решение иных вопросов, предусмотренных договором Товарищества.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Управление деятельностью Товарищества осуществляется по общему соглашению всех его полных партнеров. Решение общего собрания полных партнеров Товарищества принимается единогласно всеми полными партнерами Товарищества.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ДИРЕКТОР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Исполнительным органом Товарищества является директор, который руководит текущей деятельностью Товарищества.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Директор назначается на бессрочный срок на основании решения общего собрания полных товарищей и освобождается от обязанностей в таком порядке. 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Директор действует от имени Товарищества без доверенности на основании настоящего учредительного договора и в пределах полномочий, предоставленных общим собранием полных партнеров, в том числе представляет его интересы во всех республиканских и зарубежных государственных органах, фирмах и организациях, совершает сделки, выдает доверенности, открывает счета и иные счета в банках, оформляет прием и увольнение сотрудников, осуществляет контроль за всеми видами деятельности Товарищества, в том числе отдает приказы и распоряжения, обязательные для сотрудников.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Директор может быть освобожден от должности на основании решения общего собрания полных партнеров.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Директор Товарищества: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Организует подготовку и исполнение решений общего собрания полных партнеров и представляет отчеты об их исполнении на общем собрание полных партнеров;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отвечает за предоставление отчетов;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выполняет другие функции, возложенные на общее собрание полных партнеров;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предоставляет информации о результатах деятельности Товарищества на основе обращений вкладчиков;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567"/>
        </w:tabs>
        <w:spacing w:after="120" w:before="0" w:line="240" w:lineRule="auto"/>
        <w:ind w:left="0" w:right="0" w:firstLine="709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Использование и распоряжение имуществом Товарищества в интересах полных партнеров и вкладчиков.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Директор подотчетен общему собранию полных партнеров Товарищества и несет ответственность за осуществление деятельности Товарищества и выполнение возложенных на него задач и функций.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Распределение прибыли Товарищества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Решение об определении части прибыли, распределяемой между вкладчиками (коммандитистами), принимается Общим собранием полных партнеров.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Дивидендный доход распределяется два раза в год. Вкладчики получают дивиденды, распределяемые в течение четырех месяцев со дня представления полугодовой и годовой бухгалтерской отчетности, пропорционально процентному соотношению их вкладов вкладчиков (коммандитистов) в уставный фонд (уставный капитал) Товарищества к уставному фонду Товарищества.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Дивидендный доход каждого вкладчика формируется по формуле: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ДД=( Размер взноса вкладчика (коммандитиста) * ДДС * срок владения вкладом в течение каждого финансового года / 365 дней) – Дополнительный дивидендный доход полного партнера.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Где: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ДД – Дивидендный доход;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ДДС – ставка дивидендного дохода, определяемая по результатам бухгалтерской отчетности;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Период владения вкладом в течение каждого финансового года – это период владения вкладом в течение каждого финансового года в результате его приобретения или внесения в уставный фонд (уставный капитал) общества. Каждый 1-й и 15-й день месяца;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Дополнительный дивидендный доход полного партнера – сумма, составляющая до 20 (двадцати) процентов от сумм дивидендного дохода вкладчика (коммандитиста).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 этом полные партнеры за первый год от вкладчиков (коммандитистов) получают дополнительный доход в размере 0%. Полные партнеры могут увеличить процент дополнительного дохода на последующие годы. Увеличенный дополнительный дивидендный доход полных партнеров не может превышать 20 (двадцать) процентов.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Конфликтные ситуации в деятельности Товарищества и порядок их разрешения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Настоящий учредительный договор, разъяснения к нему и любые вытекающие из него или связанные с ним договорные обязательства регулируются в соответствии с законодательством Республики Узбекистан.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Стороны обязуются рассматривать и разрешать все споры, связанные с настоящим учредительным договором, в соответствии с настоящим учредительным договором.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Все споры, возникающие в рамках настоящего учредительного договора, в том числе споры о признании настоящего договора недействительным, должны проходить обязательную процедуру медиации в соответствии с Законом Республики Узбекистан «О медиации». Считается, что процесс посредничества начался с подачи жалобы от одной стороны к другой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случае невозможности достижения взаимопонимания или разрешения спора, вытекающего из учредительного договора или связанного с ним, в том числе, но не ограничиваясь, по любому вопросу, касающемуся его существования, действительности и прекращения, а также ущерба, причиненного его нарушением или прекращением, будет рассмотрен в Арбитражном суде, постоянно действующем при НКО «Правовая помощь потребителям», и должен быть подан для окончательного решения.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709"/>
        <w:jc w:val="center"/>
        <w:rPr>
          <w:rFonts w:ascii="AntiquaUz" w:cs="AntiquaUz" w:eastAsia="AntiquaUz" w:hAnsi="AntiquaUz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ЗАКЛЮЧИТЕЛЬНОЕ ПОЛОЖЕНИЕ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34"/>
        </w:tabs>
        <w:spacing w:after="12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Настоящий Договор вступает в силу с момента его государственной регистрации в порядке, установленном законодательством Республики Узбекистан.</w:t>
      </w:r>
    </w:p>
    <w:p w:rsidR="00000000" w:rsidDel="00000000" w:rsidP="00000000" w:rsidRDefault="00000000" w:rsidRPr="00000000" w14:paraId="000000B3">
      <w:pPr>
        <w:spacing w:after="120" w:before="0" w:lineRule="auto"/>
        <w:ind w:firstLine="709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before="0" w:lineRule="auto"/>
        <w:ind w:firstLine="709"/>
        <w:rPr/>
      </w:pPr>
      <w:r w:rsidDel="00000000" w:rsidR="00000000" w:rsidRPr="00000000">
        <w:rPr>
          <w:b w:val="1"/>
          <w:rtl w:val="0"/>
        </w:rPr>
        <w:t xml:space="preserve">Полные партнеры: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firstLine="709"/>
        <w:rPr/>
      </w:pPr>
      <w:r w:rsidDel="00000000" w:rsidR="00000000" w:rsidRPr="00000000">
        <w:rPr>
          <w:rtl w:val="0"/>
        </w:rPr>
        <w:t xml:space="preserve">Директор ООО «Way II Management» </w:t>
      </w:r>
    </w:p>
    <w:p w:rsidR="00000000" w:rsidDel="00000000" w:rsidP="00000000" w:rsidRDefault="00000000" w:rsidRPr="00000000" w14:paraId="000000B6">
      <w:pPr>
        <w:ind w:firstLine="709"/>
        <w:rPr/>
      </w:pPr>
      <w:r w:rsidDel="00000000" w:rsidR="00000000" w:rsidRPr="00000000">
        <w:rPr>
          <w:rtl w:val="0"/>
        </w:rPr>
        <w:t xml:space="preserve">Касимходжаев Азиз Анварович  _______________________</w:t>
      </w:r>
    </w:p>
    <w:p w:rsidR="00000000" w:rsidDel="00000000" w:rsidP="00000000" w:rsidRDefault="00000000" w:rsidRPr="00000000" w14:paraId="000000B7">
      <w:pPr>
        <w:spacing w:after="120" w:before="0" w:lineRule="auto"/>
        <w:ind w:firstLine="709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firstLine="709"/>
        <w:rPr/>
      </w:pPr>
      <w:r w:rsidDel="00000000" w:rsidR="00000000" w:rsidRPr="00000000">
        <w:rPr>
          <w:rtl w:val="0"/>
        </w:rPr>
        <w:t xml:space="preserve">Директор ООО «WAY TECHNO»</w:t>
      </w:r>
    </w:p>
    <w:p w:rsidR="00000000" w:rsidDel="00000000" w:rsidP="00000000" w:rsidRDefault="00000000" w:rsidRPr="00000000" w14:paraId="000000B9">
      <w:pPr>
        <w:ind w:left="708" w:firstLine="0.9999999999999432"/>
        <w:rPr/>
      </w:pPr>
      <w:r w:rsidDel="00000000" w:rsidR="00000000" w:rsidRPr="00000000">
        <w:rPr>
          <w:rtl w:val="0"/>
        </w:rPr>
        <w:t xml:space="preserve">Зокиров Темур Алишер углы                        _______________________</w:t>
      </w:r>
    </w:p>
    <w:p w:rsidR="00000000" w:rsidDel="00000000" w:rsidP="00000000" w:rsidRDefault="00000000" w:rsidRPr="00000000" w14:paraId="000000BA">
      <w:pPr>
        <w:ind w:left="708" w:firstLine="0.9999999999999432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УЧРЕДИТЕЛЬНОМУ ДОГОВОРУ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КОММАНДИТСКОГО ТОВАРИЩЕСТВА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«WAY II MANAGEMENT VA KOMPANIYA KOMMANDIT SHIRKAT»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2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54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tyjcwt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НАИМЕНОВАНИЕ ПОЛНЫХ ПАРТНЕРОВ И ВКЛАДЧИКОВ В УСТАВНОМ ФОНДЕ «WAY II MANAGEMENT VA KOMPANIYA KOMMANDIT SHIRKAT» НОМИНАЛЬНАЯ СТОИМОСТЬ И ПРОЦЕНТНОЕ СООТНОШЕНИЕ ИХ ДОЛЕЙ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bottom w:color="000000" w:space="1" w:sz="6" w:val="single"/>
        </w:pBdr>
        <w:spacing w:after="120" w:before="0" w:lineRule="auto"/>
        <w:rPr/>
      </w:pPr>
      <w:r w:rsidDel="00000000" w:rsidR="00000000" w:rsidRPr="00000000">
        <w:rPr>
          <w:b w:val="1"/>
          <w:rtl w:val="0"/>
        </w:rPr>
        <w:t xml:space="preserve">ВКЛАДЧИКИ:</w:t>
      </w:r>
      <w:r w:rsidDel="00000000" w:rsidR="00000000" w:rsidRPr="00000000">
        <w:rPr>
          <w:rtl w:val="0"/>
        </w:rPr>
      </w:r>
    </w:p>
    <w:tbl>
      <w:tblPr>
        <w:tblStyle w:val="Table4"/>
        <w:tblW w:w="10422.0" w:type="dxa"/>
        <w:jc w:val="left"/>
        <w:tblInd w:w="-205.0" w:type="dxa"/>
        <w:tblLayout w:type="fixed"/>
        <w:tblLook w:val="0000"/>
      </w:tblPr>
      <w:tblGrid>
        <w:gridCol w:w="703"/>
        <w:gridCol w:w="3686"/>
        <w:gridCol w:w="2489"/>
        <w:gridCol w:w="2126"/>
        <w:gridCol w:w="1418"/>
        <w:tblGridChange w:id="0">
          <w:tblGrid>
            <w:gridCol w:w="703"/>
            <w:gridCol w:w="3686"/>
            <w:gridCol w:w="2489"/>
            <w:gridCol w:w="2126"/>
            <w:gridCol w:w="141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after="120" w:before="0" w:lineRule="auto"/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after="120" w:before="0" w:lineRule="auto"/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Наименование вкладчиков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after="120" w:before="0" w:lineRule="auto"/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Денежная стоимость вкладов (сум)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after="120" w:before="0" w:lineRule="auto"/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Сумма вклада (в процентах)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6">
            <w:pPr>
              <w:widowControl w:val="0"/>
              <w:spacing w:after="120" w:before="0" w:lineRule="auto"/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Коль-во долей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highlight w:val="white"/>
                <w:u w:val="none"/>
                <w:vertAlign w:val="baseline"/>
                <w:rtl w:val="0"/>
              </w:rPr>
              <w:t xml:space="preserve">{#kt_second_table} {no}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8">
            <w:pPr>
              <w:widowControl w:val="0"/>
              <w:spacing w:after="120" w:before="0" w:lineRule="auto"/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{name}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9">
            <w:pPr>
              <w:widowControl w:val="0"/>
              <w:spacing w:after="120" w:before="0" w:lineRule="auto"/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{</w:t>
            </w:r>
            <w:r w:rsidDel="00000000" w:rsidR="00000000" w:rsidRPr="00000000">
              <w:rPr>
                <w:sz w:val="28"/>
                <w:szCs w:val="28"/>
                <w:highlight w:val="white"/>
                <w:rtl w:val="0"/>
              </w:rPr>
              <w:t xml:space="preserve">paid_amount</w:t>
            </w:r>
            <w:r w:rsidDel="00000000" w:rsidR="00000000" w:rsidRPr="00000000">
              <w:rPr>
                <w:highlight w:val="whit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A">
            <w:pPr>
              <w:widowControl w:val="0"/>
              <w:spacing w:after="120" w:before="0" w:lineRule="auto"/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{percent}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B">
            <w:pPr>
              <w:widowControl w:val="0"/>
              <w:spacing w:after="120" w:before="0" w:lineRule="auto"/>
              <w:rPr/>
            </w:pPr>
            <w:r w:rsidDel="00000000" w:rsidR="00000000" w:rsidRPr="00000000">
              <w:rPr>
                <w:sz w:val="28"/>
                <w:szCs w:val="28"/>
                <w:highlight w:val="white"/>
                <w:rtl w:val="0"/>
              </w:rPr>
              <w:t xml:space="preserve">{/kt_second_table}</w:t>
            </w:r>
            <w:r w:rsidDel="00000000" w:rsidR="00000000" w:rsidRPr="00000000">
              <w:rPr>
                <w:highlight w:val="white"/>
                <w:rtl w:val="0"/>
              </w:rPr>
              <w:t xml:space="preserve">{lotAmount}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C">
            <w:pPr>
              <w:widowControl w:val="0"/>
              <w:spacing w:after="120" w:before="0" w:lineRule="auto"/>
              <w:jc w:val="right"/>
              <w:rPr/>
            </w:pPr>
            <w:bookmarkStart w:colFirst="0" w:colLast="0" w:name="_3dy6vkm" w:id="6"/>
            <w:bookmarkEnd w:id="6"/>
            <w:r w:rsidDel="00000000" w:rsidR="00000000" w:rsidRPr="00000000">
              <w:rPr>
                <w:b w:val="1"/>
                <w:rtl w:val="0"/>
              </w:rPr>
              <w:t xml:space="preserve">Итого: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E">
            <w:pPr>
              <w:widowControl w:val="0"/>
              <w:spacing w:after="120" w:before="0" w:lineRule="auto"/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{</w:t>
            </w:r>
            <w:r w:rsidDel="00000000" w:rsidR="00000000" w:rsidRPr="00000000">
              <w:rPr>
                <w:sz w:val="28"/>
                <w:szCs w:val="28"/>
                <w:highlight w:val="white"/>
                <w:rtl w:val="0"/>
              </w:rPr>
              <w:t xml:space="preserve">total_amount</w:t>
            </w:r>
            <w:r w:rsidDel="00000000" w:rsidR="00000000" w:rsidRPr="00000000">
              <w:rPr>
                <w:highlight w:val="whit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CF">
            <w:pPr>
              <w:widowControl w:val="0"/>
              <w:spacing w:after="120" w:before="0" w:lineRule="auto"/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{total_percent}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D0">
            <w:pPr>
              <w:widowControl w:val="0"/>
              <w:spacing w:after="120" w:before="0" w:lineRule="auto"/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{total_lotAmount}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120" w:before="0" w:lineRule="auto"/>
        <w:ind w:firstLine="709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before="0" w:lineRule="auto"/>
        <w:ind w:firstLine="709"/>
        <w:rPr/>
      </w:pPr>
      <w:r w:rsidDel="00000000" w:rsidR="00000000" w:rsidRPr="00000000">
        <w:rPr>
          <w:b w:val="1"/>
          <w:rtl w:val="0"/>
        </w:rPr>
        <w:t xml:space="preserve">Полные партнеры: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firstLine="709"/>
        <w:rPr/>
      </w:pPr>
      <w:r w:rsidDel="00000000" w:rsidR="00000000" w:rsidRPr="00000000">
        <w:rPr>
          <w:rtl w:val="0"/>
        </w:rPr>
        <w:t xml:space="preserve">Директор ООО «Way II Management» </w:t>
      </w:r>
    </w:p>
    <w:p w:rsidR="00000000" w:rsidDel="00000000" w:rsidP="00000000" w:rsidRDefault="00000000" w:rsidRPr="00000000" w14:paraId="000000D4">
      <w:pPr>
        <w:ind w:firstLine="709"/>
        <w:rPr/>
      </w:pPr>
      <w:r w:rsidDel="00000000" w:rsidR="00000000" w:rsidRPr="00000000">
        <w:rPr>
          <w:rtl w:val="0"/>
        </w:rPr>
        <w:t xml:space="preserve">Касимходжаев Азиз Анварович  _______________________</w:t>
      </w:r>
    </w:p>
    <w:p w:rsidR="00000000" w:rsidDel="00000000" w:rsidP="00000000" w:rsidRDefault="00000000" w:rsidRPr="00000000" w14:paraId="000000D5">
      <w:pPr>
        <w:spacing w:after="120" w:before="0" w:lineRule="auto"/>
        <w:ind w:firstLine="709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709"/>
        <w:rPr/>
      </w:pPr>
      <w:r w:rsidDel="00000000" w:rsidR="00000000" w:rsidRPr="00000000">
        <w:rPr>
          <w:rtl w:val="0"/>
        </w:rPr>
        <w:t xml:space="preserve">Директор ООО «WAY TECHNO»</w:t>
      </w:r>
    </w:p>
    <w:p w:rsidR="00000000" w:rsidDel="00000000" w:rsidP="00000000" w:rsidRDefault="00000000" w:rsidRPr="00000000" w14:paraId="000000D7">
      <w:pPr>
        <w:ind w:left="708" w:firstLine="0.9999999999999432"/>
        <w:rPr/>
      </w:pPr>
      <w:r w:rsidDel="00000000" w:rsidR="00000000" w:rsidRPr="00000000">
        <w:rPr>
          <w:rtl w:val="0"/>
        </w:rPr>
        <w:t xml:space="preserve">Зокиров Темур Алишер углы                        _______________________</w:t>
      </w:r>
    </w:p>
    <w:p w:rsidR="00000000" w:rsidDel="00000000" w:rsidP="00000000" w:rsidRDefault="00000000" w:rsidRPr="00000000" w14:paraId="000000D8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851" w:top="851" w:left="1418" w:right="851" w:header="709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AntiquaUz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209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b w:val="1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b w:val="0"/>
        <w:color w:val="000000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b w:val="1"/>
      </w:rPr>
    </w:lvl>
    <w:lvl w:ilvl="3">
      <w:start w:val="1"/>
      <w:numFmt w:val="decimal"/>
      <w:lvlText w:val="%1.%2.%3.%4."/>
      <w:lvlJc w:val="left"/>
      <w:pPr>
        <w:ind w:left="1080" w:hanging="720"/>
      </w:pPr>
      <w:rPr>
        <w:b w:val="1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b w:val="1"/>
      </w:rPr>
    </w:lvl>
    <w:lvl w:ilvl="5">
      <w:start w:val="1"/>
      <w:numFmt w:val="decimal"/>
      <w:lvlText w:val="%1.%2.%3.%4.%5.%6."/>
      <w:lvlJc w:val="left"/>
      <w:pPr>
        <w:ind w:left="1440" w:hanging="1080"/>
      </w:pPr>
      <w:rPr>
        <w:b w:val="1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b w:val="1"/>
      </w:rPr>
    </w:lvl>
    <w:lvl w:ilvl="7">
      <w:start w:val="1"/>
      <w:numFmt w:val="decimal"/>
      <w:lvlText w:val="%1.%2.%3.%4.%5.%6.%7.%8."/>
      <w:lvlJc w:val="left"/>
      <w:pPr>
        <w:ind w:left="1800" w:hanging="1440"/>
      </w:pPr>
      <w:rPr>
        <w:b w:val="1"/>
      </w:rPr>
    </w:lvl>
    <w:lvl w:ilvl="8">
      <w:start w:val="1"/>
      <w:numFmt w:val="decimal"/>
      <w:lvlText w:val="%1.%2.%3.%4.%5.%6.%7.%8.%9."/>
      <w:lvlJc w:val="left"/>
      <w:pPr>
        <w:ind w:left="2160" w:hanging="1800"/>
      </w:pPr>
      <w:rPr>
        <w:b w:val="1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uz-Cyrl-U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57.0" w:type="dxa"/>
        <w:bottom w:w="0.0" w:type="dxa"/>
        <w:right w:w="57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