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both"/>
        <w:rPr/>
      </w:pPr>
      <w:r>
        <w:rPr/>
      </w:r>
      <w:bookmarkStart w:id="0" w:name="_GoBack"/>
      <w:bookmarkStart w:id="1" w:name="_GoBack"/>
      <w:bookmarkEnd w:id="1"/>
    </w:p>
    <w:tbl>
      <w:tblPr>
        <w:tblW w:w="5000" w:type="pct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000" w:noHBand="0" w:noVBand="0" w:firstColumn="0" w:lastRow="0" w:lastColumn="0" w:firstRow="0"/>
      </w:tblPr>
      <w:tblGrid>
        <w:gridCol w:w="4233"/>
        <w:gridCol w:w="5403"/>
      </w:tblGrid>
      <w:tr>
        <w:trPr/>
        <w:tc>
          <w:tcPr>
            <w:tcW w:w="4233" w:type="dxa"/>
            <w:tcBorders/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5403" w:type="dxa"/>
            <w:tcBorders/>
            <w:shd w:color="auto" w:fill="auto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lang w:val="ru-RU"/>
              </w:rPr>
              <w:t xml:space="preserve">На основании протокола общего собрания полных партнеров </w:t>
            </w:r>
            <w:bookmarkStart w:id="2" w:name="_Hlk175247742"/>
            <w:r>
              <w:rPr>
                <w:b/>
                <w:lang w:val="ru-RU"/>
              </w:rPr>
              <w:t>коммандитного товарищества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lang w:val="en-US"/>
              </w:rPr>
              <w:t>«</w:t>
            </w:r>
            <w:r>
              <w:rPr>
                <w:rFonts w:eastAsia="Arial"/>
                <w:b/>
              </w:rPr>
              <w:t>WAYLL FUND KOMMANDIT SHIRKAT KOMMANDIT SHIRKAT</w:t>
            </w:r>
            <w:bookmarkEnd w:id="2"/>
            <w:r>
              <w:rPr>
                <w:b/>
                <w:lang w:val="en-US"/>
              </w:rPr>
              <w:t>»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lang w:val="ru-RU"/>
              </w:rPr>
              <w:t xml:space="preserve">№ </w:t>
            </w:r>
            <w:r>
              <w:rPr>
                <w:b/>
                <w:lang w:val="ru-RU"/>
              </w:rPr>
              <w:t xml:space="preserve">00021 от 7 январь 2024 г.</w:t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lang w:val="ru-RU"/>
              </w:rPr>
            </w:pPr>
            <w:r>
              <w:rPr>
                <w:b/>
                <w:lang w:val="ru-RU"/>
              </w:rPr>
            </w:r>
          </w:p>
        </w:tc>
      </w:tr>
    </w:tbl>
    <w:p>
      <w:pPr>
        <w:pStyle w:val="Normal"/>
        <w:spacing w:before="0" w:after="120"/>
        <w:jc w:val="both"/>
        <w:rPr/>
      </w:pPr>
      <w:r>
        <w:rPr/>
      </w:r>
    </w:p>
    <w:p>
      <w:pPr>
        <w:pStyle w:val="TextBody"/>
        <w:jc w:val="center"/>
        <w:rPr/>
      </w:pPr>
      <w:r>
        <w:rPr/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/>
      </w:pPr>
      <w:r>
        <w:rPr/>
      </w:r>
    </w:p>
    <w:p>
      <w:pPr>
        <w:pStyle w:val="TextBody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8"/>
        <w:spacing w:before="0" w:after="120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>УЧРЕДИТЕЛЬНЫЙ ДОГОВОР</w:t>
      </w:r>
    </w:p>
    <w:p>
      <w:pPr>
        <w:pStyle w:val="8"/>
        <w:spacing w:before="0" w:after="120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 xml:space="preserve">КОММАНДИТНОГО ТОВАРИЩЕСТВА </w:t>
      </w:r>
    </w:p>
    <w:p>
      <w:pPr>
        <w:pStyle w:val="8"/>
        <w:spacing w:before="0" w:after="120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>«</w:t>
      </w:r>
      <w:bookmarkStart w:id="3" w:name="_Hlk177463103"/>
      <w:r>
        <w:rPr>
          <w:rFonts w:cs="Times New Roman" w:ascii="Times New Roman" w:hAnsi="Times New Roman"/>
          <w:sz w:val="24"/>
          <w:szCs w:val="24"/>
          <w:lang w:val="uz-Cyrl-UZ"/>
        </w:rPr>
        <w:t>WAY II MANAGEMENT VA KOMPANIYA KOMMANDIT SHIRKAT</w:t>
      </w:r>
      <w:bookmarkEnd w:id="3"/>
      <w:r>
        <w:rPr>
          <w:rFonts w:cs="Times New Roman" w:ascii="Times New Roman" w:hAnsi="Times New Roman"/>
          <w:sz w:val="24"/>
          <w:szCs w:val="24"/>
          <w:lang w:val="uz-Cyrl-UZ"/>
        </w:rPr>
        <w:t>»</w:t>
      </w:r>
    </w:p>
    <w:p>
      <w:pPr>
        <w:pStyle w:val="Normal"/>
        <w:spacing w:before="0" w:after="120"/>
        <w:jc w:val="center"/>
        <w:rPr/>
      </w:pPr>
      <w:r>
        <w:rPr>
          <w:b/>
          <w:bCs/>
        </w:rPr>
        <w:t>(В новой редакции)</w:t>
      </w:r>
    </w:p>
    <w:p>
      <w:pPr>
        <w:pStyle w:val="Normal"/>
        <w:spacing w:before="0" w:after="12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120"/>
        <w:jc w:val="center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lang w:val="ru-RU"/>
        </w:rPr>
        <w:t>Ташкент-2024 г.</w:t>
      </w:r>
      <w:r>
        <w:br w:type="page"/>
      </w:r>
    </w:p>
    <w:p>
      <w:pPr>
        <w:pStyle w:val="Normal"/>
        <w:spacing w:lineRule="auto" w:line="276" w:before="0" w:after="200"/>
        <w:jc w:val="center"/>
        <w:rPr/>
      </w:pPr>
      <w:r>
        <w:rPr>
          <w:b/>
          <w:bCs/>
          <w:lang w:val="ru-RU"/>
        </w:rPr>
        <w:t>ОБЩИЕ ПРАВИЛА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bookmarkStart w:id="4" w:name="_Hlk175248132"/>
      <w:r>
        <w:rPr>
          <w:b/>
          <w:bCs/>
        </w:rPr>
        <w:t xml:space="preserve">Коммандитное товарищество «WAY II MANAGEMENT VA KOMPANIYA KOMMANDIT SHIRKAT» </w:t>
      </w:r>
      <w:bookmarkEnd w:id="4"/>
      <w:r>
        <w:rPr/>
        <w:t>(далее по тексту-</w:t>
      </w:r>
      <w:r>
        <w:rPr>
          <w:lang w:val="ru-RU"/>
        </w:rPr>
        <w:t>«</w:t>
      </w:r>
      <w:r>
        <w:rPr/>
        <w:t>Товарищество</w:t>
      </w:r>
      <w:r>
        <w:rPr>
          <w:lang w:val="ru-RU"/>
        </w:rPr>
        <w:t>»</w:t>
      </w:r>
      <w:r>
        <w:rPr/>
        <w:t xml:space="preserve">) </w:t>
      </w:r>
      <w:r>
        <w:rPr>
          <w:lang w:val="ru-RU"/>
        </w:rPr>
        <w:t>я</w:t>
      </w:r>
      <w:r>
        <w:rPr/>
        <w:t>вляется юридическим лицом, учрежденным в соответствии с законодательством Республики Узбекистан, и осуществляет деятельность на этой основе.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Официальное полное фирменное наименование </w:t>
      </w:r>
      <w:r>
        <w:rPr>
          <w:lang w:val="ru-RU"/>
        </w:rPr>
        <w:t>Товарищества</w:t>
      </w:r>
      <w:r>
        <w:rPr/>
        <w:t xml:space="preserve">: </w:t>
      </w:r>
    </w:p>
    <w:tbl>
      <w:tblPr>
        <w:tblW w:w="9179" w:type="dxa"/>
        <w:jc w:val="left"/>
        <w:tblInd w:w="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234"/>
        <w:gridCol w:w="6944"/>
      </w:tblGrid>
      <w:tr>
        <w:trPr/>
        <w:tc>
          <w:tcPr>
            <w:tcW w:w="2234" w:type="dxa"/>
            <w:tcBorders/>
            <w:shd w:color="auto" w:fill="auto" w:val="clear"/>
            <w:vAlign w:val="cente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ind w:left="144" w:hanging="0"/>
              <w:rPr/>
            </w:pPr>
            <w:r>
              <w:rPr>
                <w:b/>
                <w:bCs/>
                <w:lang w:val="ru-RU"/>
              </w:rPr>
              <w:t>На узбекском языке</w:t>
            </w:r>
          </w:p>
        </w:tc>
        <w:tc>
          <w:tcPr>
            <w:tcW w:w="6944" w:type="dxa"/>
            <w:tcBorders/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ind w:left="175" w:hanging="0"/>
              <w:jc w:val="both"/>
              <w:rPr/>
            </w:pPr>
            <w:r>
              <w:rPr/>
              <w:t>“</w:t>
            </w:r>
            <w:r>
              <w:rPr/>
              <w:t>WAY II MANAGEMENT VA KOMPANIYA KOMMANDIT SHIRKAT” коммандит ширкати</w:t>
            </w:r>
          </w:p>
        </w:tc>
      </w:tr>
      <w:tr>
        <w:trPr/>
        <w:tc>
          <w:tcPr>
            <w:tcW w:w="2234" w:type="dxa"/>
            <w:tcBorders/>
            <w:shd w:color="auto" w:fill="auto" w:val="clear"/>
            <w:vAlign w:val="cente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ind w:left="144" w:hanging="0"/>
              <w:rPr/>
            </w:pPr>
            <w:r>
              <w:rPr>
                <w:b/>
                <w:bCs/>
                <w:lang w:val="ru-RU"/>
              </w:rPr>
              <w:t>На русском языке</w:t>
            </w:r>
          </w:p>
        </w:tc>
        <w:tc>
          <w:tcPr>
            <w:tcW w:w="6944" w:type="dxa"/>
            <w:tcBorders/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ind w:left="175" w:hanging="0"/>
              <w:jc w:val="both"/>
              <w:rPr/>
            </w:pPr>
            <w:r>
              <w:rPr/>
              <w:t>Коммандитное товариществ</w:t>
            </w:r>
            <w:r>
              <w:rPr>
                <w:lang w:val="ru-RU"/>
              </w:rPr>
              <w:t>о</w:t>
            </w:r>
            <w:r>
              <w:rPr/>
              <w:t xml:space="preserve"> </w:t>
            </w:r>
            <w:r>
              <w:rPr>
                <w:lang w:val="en-US"/>
              </w:rPr>
              <w:t>«</w:t>
            </w:r>
            <w:r>
              <w:rPr/>
              <w:t>WAY II MANAGEMENT VA KOMPANIYA KOMMANDIT SHIRKAT</w:t>
            </w:r>
            <w:r>
              <w:rPr>
                <w:lang w:val="en-US"/>
              </w:rPr>
              <w:t>»</w:t>
            </w:r>
          </w:p>
        </w:tc>
      </w:tr>
      <w:tr>
        <w:trPr/>
        <w:tc>
          <w:tcPr>
            <w:tcW w:w="2234" w:type="dxa"/>
            <w:tcBorders/>
            <w:shd w:color="auto" w:fill="auto" w:val="clear"/>
            <w:vAlign w:val="cente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ind w:left="144" w:hanging="0"/>
              <w:rPr/>
            </w:pPr>
            <w:r>
              <w:rPr>
                <w:b/>
                <w:bCs/>
                <w:lang w:val="ru-RU"/>
              </w:rPr>
              <w:t>На английском языке</w:t>
            </w:r>
          </w:p>
        </w:tc>
        <w:tc>
          <w:tcPr>
            <w:tcW w:w="6944" w:type="dxa"/>
            <w:tcBorders/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ind w:left="175" w:hanging="0"/>
              <w:jc w:val="both"/>
              <w:rPr/>
            </w:pPr>
            <w:r>
              <w:rPr/>
              <w:t>“</w:t>
            </w:r>
            <w:r>
              <w:rPr/>
              <w:t xml:space="preserve">WAY II MANAGEMENT VA KOMPANIYA KOMMANDIT SHIRKAT” </w:t>
            </w:r>
            <w:r>
              <w:rPr>
                <w:lang w:val="en-US"/>
              </w:rPr>
              <w:t>limited Partnership</w:t>
            </w:r>
          </w:p>
        </w:tc>
      </w:tr>
      <w:tr>
        <w:trPr/>
        <w:tc>
          <w:tcPr>
            <w:tcW w:w="2234" w:type="dxa"/>
            <w:tcBorders/>
            <w:shd w:color="auto" w:fill="auto" w:val="clear"/>
            <w:vAlign w:val="cente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napToGrid w:val="false"/>
              <w:spacing w:before="0" w:after="120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6944" w:type="dxa"/>
            <w:tcBorders/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napToGrid w:val="false"/>
              <w:spacing w:before="0" w:after="120"/>
              <w:jc w:val="both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</w:tc>
      </w:tr>
    </w:tbl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Деятельность </w:t>
      </w:r>
      <w:r>
        <w:rPr>
          <w:lang w:val="ru-RU"/>
        </w:rPr>
        <w:t xml:space="preserve">Товарищества </w:t>
      </w:r>
      <w:r>
        <w:rPr/>
        <w:t xml:space="preserve">и почтовый адрес: </w:t>
      </w:r>
    </w:p>
    <w:p>
      <w:pPr>
        <w:pStyle w:val="TextBody"/>
        <w:tabs>
          <w:tab w:val="clear" w:pos="708"/>
          <w:tab w:val="left" w:pos="1134" w:leader="none"/>
        </w:tabs>
        <w:ind w:firstLine="709"/>
        <w:jc w:val="both"/>
        <w:rPr/>
      </w:pPr>
      <w:r>
        <w:rPr/>
        <w:t xml:space="preserve">Республика Узбекистан, г. Ташкент, Шайхантахурский район, </w:t>
      </w:r>
      <w:r>
        <w:rPr>
          <w:lang w:val="ru-RU"/>
        </w:rPr>
        <w:t>СГМ Ук</w:t>
      </w:r>
      <w:r>
        <w:rPr/>
        <w:t>чи, ул. Ислама Каримова, д. 2-а.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1134" w:leader="none"/>
        </w:tabs>
        <w:jc w:val="center"/>
        <w:rPr/>
      </w:pPr>
      <w:r>
        <w:rPr>
          <w:b/>
          <w:bCs/>
        </w:rPr>
        <w:t>Правовой статус Товарищества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Товарищество является юридическим лицом Республики Узбекистан.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Правовой статус Товарищества:</w:t>
      </w:r>
    </w:p>
    <w:p>
      <w:pPr>
        <w:pStyle w:val="TextBody"/>
        <w:tabs>
          <w:tab w:val="clear" w:pos="708"/>
          <w:tab w:val="left" w:pos="1134" w:leader="none"/>
        </w:tabs>
        <w:ind w:firstLine="709"/>
        <w:jc w:val="both"/>
        <w:rPr/>
      </w:pPr>
      <w:r>
        <w:rPr>
          <w:lang w:val="ru-RU"/>
        </w:rPr>
        <w:t>Товарищество имеет</w:t>
      </w:r>
      <w:r>
        <w:rPr/>
        <w:t xml:space="preserve"> круглую печать с </w:t>
      </w:r>
      <w:r>
        <w:rPr>
          <w:lang w:val="ru-RU"/>
        </w:rPr>
        <w:t>полным фирменным наименованием</w:t>
      </w:r>
      <w:r>
        <w:rPr/>
        <w:t xml:space="preserve"> и территорией, в которой она расположена, на государственном языке.</w:t>
      </w:r>
    </w:p>
    <w:p>
      <w:pPr>
        <w:pStyle w:val="TextBody"/>
        <w:tabs>
          <w:tab w:val="clear" w:pos="708"/>
          <w:tab w:val="left" w:pos="1134" w:leader="none"/>
        </w:tabs>
        <w:ind w:firstLine="709"/>
        <w:jc w:val="both"/>
        <w:rPr/>
      </w:pPr>
      <w:r>
        <w:rPr/>
        <w:t>Товарищество участвует в гражданских правоотношениях через свои официальные бланки с указанием фирменного наименования и адреса;</w:t>
      </w:r>
    </w:p>
    <w:p>
      <w:pPr>
        <w:pStyle w:val="TextBody"/>
        <w:tabs>
          <w:tab w:val="clear" w:pos="708"/>
          <w:tab w:val="left" w:pos="1134" w:leader="none"/>
        </w:tabs>
        <w:ind w:firstLine="709"/>
        <w:jc w:val="both"/>
        <w:rPr/>
      </w:pPr>
      <w:r>
        <w:rPr>
          <w:lang w:val="ru-RU"/>
        </w:rPr>
        <w:t>Товарищество</w:t>
      </w:r>
      <w:r>
        <w:rPr/>
        <w:t xml:space="preserve"> является субъектом частной собственности, владеет, пользуется и распоряжается частной собственностью, возникающей в установленном законодательством порядке, имеет право владеть объектами интеллектуальной собственности, зарегистрированными в установленном порядке.</w:t>
      </w:r>
    </w:p>
    <w:p>
      <w:pPr>
        <w:pStyle w:val="TextBody"/>
        <w:tabs>
          <w:tab w:val="clear" w:pos="708"/>
          <w:tab w:val="left" w:pos="1134" w:leader="none"/>
        </w:tabs>
        <w:ind w:firstLine="709"/>
        <w:jc w:val="both"/>
        <w:rPr/>
      </w:pPr>
      <w:r>
        <w:rPr>
          <w:lang w:val="ru-RU"/>
        </w:rPr>
        <w:t>Товарищество</w:t>
      </w:r>
      <w:r>
        <w:rPr/>
        <w:t xml:space="preserve"> вправе заключать от своего имени и за свой счет все виды договоров и соглашений, приобретать имущественные и неимущественные права, совершать юридически значимые действия и участвовать в качестве истца, ответчика и третьей стороны в судах по экономическим, административным и гражданским делам, арбитражных судах и международных арбитражных судах на территории Республики Узбекистан и за ее пределами.</w:t>
      </w:r>
    </w:p>
    <w:p>
      <w:pPr>
        <w:pStyle w:val="TextBody"/>
        <w:numPr>
          <w:ilvl w:val="1"/>
          <w:numId w:val="2"/>
        </w:numPr>
        <w:ind w:left="0" w:firstLine="709"/>
        <w:jc w:val="both"/>
        <w:rPr/>
      </w:pPr>
      <w:r>
        <w:rPr>
          <w:lang w:val="ru-RU"/>
        </w:rPr>
        <w:t>Товарищество имеет</w:t>
      </w:r>
      <w:r>
        <w:rPr/>
        <w:t xml:space="preserve"> самостоятельный баланс, имеет право открывать в банковских учреждениях основные и второстепенные счета, в том числе счета в иностранной валюте. </w:t>
      </w:r>
    </w:p>
    <w:p>
      <w:pPr>
        <w:pStyle w:val="TextBody"/>
        <w:numPr>
          <w:ilvl w:val="1"/>
          <w:numId w:val="2"/>
        </w:numPr>
        <w:ind w:left="0" w:firstLine="709"/>
        <w:jc w:val="both"/>
        <w:rPr/>
      </w:pPr>
      <w:r>
        <w:rPr>
          <w:lang w:val="ru-RU"/>
        </w:rPr>
        <w:t>Товарищество</w:t>
      </w:r>
      <w:r>
        <w:rPr/>
        <w:t xml:space="preserve"> осуществляет свою деятельность по владению имуществом, его покупке и продаже, осуществлению инвестиционной деятельности и всех финансовых операций на основе полного хозяйственного учета в соответствии с законодательством, на основе самофинансирования и самозанятости.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>
          <w:lang w:val="ru-RU"/>
        </w:rPr>
        <w:t>Товарищество</w:t>
      </w:r>
      <w:r>
        <w:rPr/>
        <w:t xml:space="preserve"> вправе создавать свои структурные подразделения, зависимые и дочерние общества (юридические лица), филиалы и представительства. Структурные подразделения Товарищества, зависимые и дочерние общества, филиалы и представительства действуют на основании уставов и положений, утверждаемых решениями общего собрания полных товариществ.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>
          <w:lang w:val="ru-RU"/>
        </w:rPr>
        <w:t>Товарищество</w:t>
      </w:r>
      <w:r>
        <w:rPr/>
        <w:t xml:space="preserve"> создан</w:t>
      </w:r>
      <w:r>
        <w:rPr>
          <w:lang w:val="ru-RU"/>
        </w:rPr>
        <w:t>о</w:t>
      </w:r>
      <w:r>
        <w:rPr/>
        <w:t xml:space="preserve"> на неопределенный срок. 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Приостановление деятельности общества производится в соответствии с решением общего собрания полных </w:t>
      </w:r>
      <w:r>
        <w:rPr>
          <w:lang w:val="ru-RU"/>
        </w:rPr>
        <w:t>партнеров</w:t>
      </w:r>
      <w:r>
        <w:rPr/>
        <w:t xml:space="preserve"> </w:t>
      </w:r>
      <w:r>
        <w:rPr>
          <w:lang w:val="ru-RU"/>
        </w:rPr>
        <w:t>Товарищества</w:t>
      </w:r>
      <w:r>
        <w:rPr/>
        <w:t xml:space="preserve"> или на основании вступившего в законную силу решения суда.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Товарищество отвечает по своим обязательствам всем имуществом, полностью принадлежащим партнерам, а также имуществом, образованным в рамках вкладов вкладчика (коммандитчика).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1134" w:leader="none"/>
        </w:tabs>
        <w:jc w:val="center"/>
        <w:rPr/>
      </w:pPr>
      <w:r>
        <w:rPr>
          <w:b/>
          <w:bCs/>
          <w:lang w:val="ru-RU"/>
        </w:rPr>
        <w:t>Учредительные документы Товарищества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Учредительным документом Товарищества является учредительный договор (</w:t>
      </w:r>
      <w:r>
        <w:rPr>
          <w:lang w:val="ru-RU"/>
        </w:rPr>
        <w:t>далее по тексту-»У</w:t>
      </w:r>
      <w:r>
        <w:rPr/>
        <w:t>чредительны</w:t>
      </w:r>
      <w:r>
        <w:rPr>
          <w:lang w:val="ru-RU"/>
        </w:rPr>
        <w:t>й</w:t>
      </w:r>
      <w:r>
        <w:rPr/>
        <w:t xml:space="preserve"> договор</w:t>
      </w:r>
      <w:r>
        <w:rPr>
          <w:lang w:val="ru-RU"/>
        </w:rPr>
        <w:t>»</w:t>
      </w:r>
      <w:r>
        <w:rPr/>
        <w:t xml:space="preserve">), который подписывают полные </w:t>
      </w:r>
      <w:r>
        <w:rPr>
          <w:lang w:val="ru-RU"/>
        </w:rPr>
        <w:t>партнеры</w:t>
      </w:r>
      <w:r>
        <w:rPr/>
        <w:t>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Учредительный договор Товарищества подписывается полными </w:t>
      </w:r>
      <w:r>
        <w:rPr>
          <w:lang w:val="ru-RU"/>
        </w:rPr>
        <w:t>партнерами</w:t>
      </w:r>
      <w:r>
        <w:rPr/>
        <w:t xml:space="preserve"> и подлежит государственной регистрации после его утверждения решением общего собрания полных </w:t>
      </w:r>
      <w:r>
        <w:rPr>
          <w:lang w:val="ru-RU"/>
        </w:rPr>
        <w:t>партнеров</w:t>
      </w:r>
      <w:r>
        <w:rPr/>
        <w:t>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Внесение изменений и дополнений в учредительный договор осуществляется путем утверждения, подписания и государственной регистрации новой редакции учредительного договора в соответствии с решениями общего собрания полных партнеров общества.</w:t>
      </w:r>
    </w:p>
    <w:p>
      <w:pPr>
        <w:pStyle w:val="TextBody"/>
        <w:tabs>
          <w:tab w:val="clear" w:pos="708"/>
          <w:tab w:val="left" w:pos="1134" w:leader="none"/>
        </w:tabs>
        <w:ind w:firstLine="709"/>
        <w:jc w:val="both"/>
        <w:rPr/>
      </w:pPr>
      <w:r>
        <w:rPr/>
        <w:t>Изменения и дополнения к учредительному договору вступают в силу с момента государственной регистрации (перерегистрации).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1134" w:leader="none"/>
        </w:tabs>
        <w:jc w:val="center"/>
        <w:rPr/>
      </w:pPr>
      <w:r>
        <w:rPr>
          <w:b/>
          <w:bCs/>
          <w:lang w:val="ru-RU"/>
        </w:rPr>
        <w:t>Полные партнеры Товарищества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Полными партнерами</w:t>
      </w:r>
      <w:r>
        <w:rPr>
          <w:lang w:val="ru-RU"/>
        </w:rPr>
        <w:t xml:space="preserve"> Товарищества</w:t>
      </w:r>
      <w:r>
        <w:rPr/>
        <w:t xml:space="preserve"> могут быть физические и юридические лица, осуществляющие предпринимательскую деятельность от имени </w:t>
      </w:r>
      <w:r>
        <w:rPr>
          <w:lang w:val="ru-RU"/>
        </w:rPr>
        <w:t>Товарищества</w:t>
      </w:r>
      <w:r>
        <w:rPr/>
        <w:t xml:space="preserve"> и отвечающие по обязательствам общества всем своим имуществом.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Полный список партнеров компании указан в пункте 7.4 настоящего учредительного договора.</w:t>
      </w:r>
    </w:p>
    <w:p>
      <w:pPr>
        <w:pStyle w:val="8"/>
        <w:numPr>
          <w:ilvl w:val="0"/>
          <w:numId w:val="2"/>
        </w:numPr>
        <w:spacing w:before="0" w:after="120"/>
        <w:ind w:left="0" w:hanging="0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 xml:space="preserve">Сфера деятельности, цели Товарищества 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Основным направлением деятельности </w:t>
      </w:r>
      <w:r>
        <w:rPr>
          <w:lang w:val="ru-RU"/>
        </w:rPr>
        <w:t>Товарищества</w:t>
      </w:r>
      <w:r>
        <w:rPr/>
        <w:t xml:space="preserve"> является коммерческая деятельность и консультирование по вопросам управления.</w:t>
      </w:r>
    </w:p>
    <w:p>
      <w:pPr>
        <w:pStyle w:val="TextBody"/>
        <w:numPr>
          <w:ilvl w:val="1"/>
          <w:numId w:val="2"/>
        </w:numPr>
        <w:ind w:left="0" w:firstLine="709"/>
        <w:jc w:val="both"/>
        <w:rPr/>
      </w:pPr>
      <w:r>
        <w:rPr/>
        <w:t xml:space="preserve">Основной целью </w:t>
      </w:r>
      <w:r>
        <w:rPr>
          <w:lang w:val="ru-RU"/>
        </w:rPr>
        <w:t>Товарищества</w:t>
      </w:r>
      <w:r>
        <w:rPr/>
        <w:t xml:space="preserve"> является получение прибыли в виде дивидендов путем приобретения части долей в его уставном фонде (уставном капитале) или долевого участия в их уставном фонде (уставном капитале) путем инвестирования принадлежащего ему имущества и инвестиционных средств в юридические лица в порядке, установленном законодательством Республики Узбекистан</w:t>
      </w:r>
      <w:r>
        <w:rPr>
          <w:b/>
          <w:bCs/>
        </w:rPr>
        <w:t>.</w:t>
      </w:r>
    </w:p>
    <w:p>
      <w:pPr>
        <w:pStyle w:val="TextBody"/>
        <w:numPr>
          <w:ilvl w:val="1"/>
          <w:numId w:val="2"/>
        </w:numPr>
        <w:ind w:left="0" w:firstLine="709"/>
        <w:jc w:val="both"/>
        <w:rPr/>
      </w:pPr>
      <w:r>
        <w:rPr>
          <w:lang w:val="ru-RU"/>
        </w:rPr>
        <w:t>Товарищество</w:t>
      </w:r>
      <w:r>
        <w:rPr/>
        <w:t xml:space="preserve"> может заниматься любой другой деятельностью, не запрещенной законодательством, не указанной в настоящем </w:t>
      </w:r>
      <w:r>
        <w:rPr>
          <w:lang w:val="ru-RU"/>
        </w:rPr>
        <w:t>У</w:t>
      </w:r>
      <w:r>
        <w:rPr/>
        <w:t>чредительном договоре. Он</w:t>
      </w:r>
      <w:r>
        <w:rPr>
          <w:lang w:val="ru-RU"/>
        </w:rPr>
        <w:t>о</w:t>
      </w:r>
      <w:r>
        <w:rPr/>
        <w:t xml:space="preserve"> также имеет право заниматься видами деятельности, требующими получения уведомления или специального разрешения или лицензии в случаях, предусмотренных законодательством, после получения необходимого разрешения, лицензии или направления уведомлении.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Объекты инвестиционной деятельности и формы осуществления инвестиций, выбираемые </w:t>
      </w:r>
      <w:r>
        <w:rPr>
          <w:lang w:val="ru-RU"/>
        </w:rPr>
        <w:t>Товариществом</w:t>
      </w:r>
      <w:r>
        <w:rPr/>
        <w:t xml:space="preserve">, полностью реализуются в соответствии с решением общего собрания </w:t>
      </w:r>
      <w:r>
        <w:rPr>
          <w:lang w:val="ru-RU"/>
        </w:rPr>
        <w:t xml:space="preserve">полных </w:t>
      </w:r>
      <w:r>
        <w:rPr/>
        <w:t>партнеров.</w:t>
      </w:r>
    </w:p>
    <w:p>
      <w:pPr>
        <w:pStyle w:val="8"/>
        <w:numPr>
          <w:ilvl w:val="0"/>
          <w:numId w:val="2"/>
        </w:numPr>
        <w:spacing w:before="0" w:after="120"/>
        <w:ind w:left="0" w:hanging="0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 xml:space="preserve">Вкладчики Товарищества 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В соответствии с Законом Республики Узбекистан «О хозяйственных Товариществах» вкладчиками в Товарищество могут быть граждане Республики Узбекистан, индивидуальные предприниматели и юридические лица, международные организации и иностранные юридические лица и граждане, а также лица без гражданства.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Вкладчиками Товарищества являются юридические и физические лица (Коммандит</w:t>
      </w:r>
      <w:r>
        <w:rPr>
          <w:lang w:val="ru-RU"/>
        </w:rPr>
        <w:t>ист</w:t>
      </w:r>
      <w:r>
        <w:rPr/>
        <w:t xml:space="preserve">), которые несут ответственность за убытки, связанные с деятельностью Товарищества, в пределах своих вкладов и не участвуют в осуществлении </w:t>
      </w:r>
      <w:r>
        <w:rPr>
          <w:lang w:val="ru-RU"/>
        </w:rPr>
        <w:t>Товариществом</w:t>
      </w:r>
      <w:r>
        <w:rPr/>
        <w:t xml:space="preserve"> предпринимательской деятельности.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Наименование вкладчиков Товарищества, номер соответствующего вклада и вид процентов указываются в приложении к учредительному договору Товарищества.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Вкладчики Товарищества самостоятельно распоряжаются принадлежащими им товарищескими взносами.</w:t>
      </w:r>
    </w:p>
    <w:p>
      <w:pPr>
        <w:pStyle w:val="8"/>
        <w:numPr>
          <w:ilvl w:val="0"/>
          <w:numId w:val="2"/>
        </w:numPr>
        <w:spacing w:before="0" w:after="120"/>
        <w:ind w:left="0" w:firstLine="709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>Уставный фонд Товарищества и порядок его формирования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Уставный фонд Товарищества будет состоять из номинальной стоимости долей полных партнеров в уставном фонде Товарищества и номинальной стоимости вкладов вкладчиков в уставный фонд Товарищества.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bookmarkStart w:id="5" w:name="_Hlk175256408"/>
      <w:r>
        <w:rPr/>
        <w:t>7.2.</w:t>
        <w:tab/>
        <w:t>Номинальная и рыночная стоимость 1 (одного) вклада в уставный фонд общества определяется на электронной платформе «WAY Invest» с оценкой экономических показателей, в том числе полными партнерами, исходя из рыночной конъюнктуры.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Уставный фонд общества составляет 34 686 000 000 (тридцать четыре миллиарда шестьсот восемьдесят шесть миллионов) сумов. Где:</w:t>
      </w:r>
    </w:p>
    <w:p>
      <w:pPr>
        <w:pStyle w:val="TextBody"/>
        <w:tabs>
          <w:tab w:val="clear" w:pos="708"/>
          <w:tab w:val="left" w:pos="1134" w:leader="none"/>
        </w:tabs>
        <w:ind w:left="709" w:hanging="0"/>
        <w:jc w:val="both"/>
        <w:rPr/>
      </w:pPr>
      <w:r>
        <w:rPr/>
        <w:t>—  </w:t>
      </w:r>
      <w:r>
        <w:rPr/>
        <w:t>Номинальная стоимость долей полных партнеров в уставном фонде товарищества 21 000 000 (двадцать один миллион);</w:t>
      </w:r>
    </w:p>
    <w:p>
      <w:pPr>
        <w:pStyle w:val="TextBody"/>
        <w:tabs>
          <w:tab w:val="clear" w:pos="708"/>
          <w:tab w:val="left" w:pos="1134" w:leader="none"/>
        </w:tabs>
        <w:ind w:left="709" w:hanging="0"/>
        <w:jc w:val="both"/>
        <w:rPr/>
      </w:pPr>
      <w:bookmarkStart w:id="6" w:name="_Hlk175256408"/>
      <w:r>
        <w:rPr/>
        <w:t>- Номинальная стоимость вкладов вкладчиков в уставный фонд общества составляет 34 665 000 000 (тридцать четыре миллиарда шестьсот шестьдесят пять миллионов) сумов.</w:t>
      </w:r>
      <w:bookmarkEnd w:id="6"/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Общее распределение полных участников и </w:t>
      </w:r>
      <w:r>
        <w:rPr>
          <w:lang w:val="ru-RU"/>
        </w:rPr>
        <w:t>вкладчиков Товарищества</w:t>
      </w:r>
      <w:r>
        <w:rPr/>
        <w:t xml:space="preserve"> и долей в уставном фонде </w:t>
      </w:r>
      <w:r>
        <w:rPr>
          <w:lang w:val="ru-RU"/>
        </w:rPr>
        <w:t>Товарищества</w:t>
      </w:r>
      <w:r>
        <w:rPr/>
        <w:t xml:space="preserve"> следующее:</w:t>
      </w:r>
    </w:p>
    <w:tbl>
      <w:tblPr>
        <w:tblW w:w="9853" w:type="dxa"/>
        <w:jc w:val="left"/>
        <w:tblInd w:w="-1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816"/>
        <w:gridCol w:w="4109"/>
        <w:gridCol w:w="1"/>
        <w:gridCol w:w="2462"/>
        <w:gridCol w:w="1"/>
        <w:gridCol w:w="2463"/>
      </w:tblGrid>
      <w:tr>
        <w:trPr/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center"/>
              <w:rPr/>
            </w:pPr>
            <w:r>
              <w:rPr>
                <w:b/>
                <w:bCs/>
              </w:rPr>
              <w:t>№</w:t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center"/>
              <w:rPr/>
            </w:pPr>
            <w:r>
              <w:rPr>
                <w:b/>
                <w:bCs/>
              </w:rPr>
              <w:t>Список полн</w:t>
            </w:r>
            <w:r>
              <w:rPr>
                <w:b/>
                <w:bCs/>
                <w:lang w:val="ru-RU"/>
              </w:rPr>
              <w:t>ы</w:t>
            </w:r>
            <w:r>
              <w:rPr>
                <w:b/>
                <w:bCs/>
              </w:rPr>
              <w:t>х партнеров компании</w:t>
            </w:r>
          </w:p>
        </w:tc>
        <w:tc>
          <w:tcPr>
            <w:tcW w:w="24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center"/>
              <w:rPr/>
            </w:pPr>
            <w:r>
              <w:rPr>
                <w:b/>
                <w:bCs/>
              </w:rPr>
              <w:t xml:space="preserve">Номинальная стоимость </w:t>
            </w:r>
            <w:r>
              <w:rPr>
                <w:b/>
                <w:bCs/>
                <w:lang w:val="ru-RU"/>
              </w:rPr>
              <w:t>доли</w:t>
            </w:r>
            <w:r>
              <w:rPr>
                <w:b/>
                <w:bCs/>
              </w:rPr>
              <w:t xml:space="preserve"> (в сумах)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center"/>
              <w:rPr/>
            </w:pPr>
            <w:r>
              <w:rPr>
                <w:b/>
                <w:bCs/>
              </w:rPr>
              <w:t>Процентная доля</w:t>
            </w:r>
          </w:p>
        </w:tc>
      </w:tr>
      <w:tr>
        <w:trPr/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both"/>
              <w:rPr/>
            </w:pPr>
            <w:r>
              <w:rPr/>
              <w:t>1.</w:t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both"/>
              <w:rPr/>
            </w:pPr>
            <w:r>
              <w:rPr/>
              <w:t xml:space="preserve">ООО </w:t>
            </w:r>
            <w:r>
              <w:rPr>
                <w:lang w:val="ru-RU"/>
              </w:rPr>
              <w:t>«</w:t>
            </w:r>
            <w:r>
              <w:rPr/>
              <w:t>WAY II Management</w:t>
            </w:r>
            <w:r>
              <w:rPr>
                <w:lang w:val="ru-RU"/>
              </w:rPr>
              <w:t>»</w:t>
            </w:r>
          </w:p>
        </w:tc>
        <w:tc>
          <w:tcPr>
            <w:tcW w:w="24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both"/>
              <w:rPr/>
            </w:pPr>
            <w:r>
              <w:rPr/>
              <w:t>20 000 000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both"/>
              <w:rPr/>
            </w:pPr>
            <w:r>
              <w:rPr/>
              <w:t>95,2%</w:t>
            </w:r>
          </w:p>
        </w:tc>
      </w:tr>
      <w:tr>
        <w:trPr/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both"/>
              <w:rPr/>
            </w:pPr>
            <w:r>
              <w:rPr/>
              <w:t>2.</w:t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both"/>
              <w:rPr/>
            </w:pPr>
            <w:r>
              <w:rPr/>
              <w:t>ООО “WAY Techno”</w:t>
            </w:r>
          </w:p>
        </w:tc>
        <w:tc>
          <w:tcPr>
            <w:tcW w:w="24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both"/>
              <w:rPr/>
            </w:pPr>
            <w:r>
              <w:rPr/>
              <w:t>1 000 000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both"/>
              <w:rPr/>
            </w:pPr>
            <w:r>
              <w:rPr/>
              <w:t>4,8%</w:t>
            </w:r>
          </w:p>
        </w:tc>
      </w:tr>
      <w:tr>
        <w:trPr/>
        <w:tc>
          <w:tcPr>
            <w:tcW w:w="49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right"/>
              <w:rPr/>
            </w:pPr>
            <w:r>
              <w:rPr>
                <w:b/>
                <w:bCs/>
              </w:rPr>
              <w:t>Итого</w:t>
            </w:r>
          </w:p>
        </w:tc>
        <w:tc>
          <w:tcPr>
            <w:tcW w:w="24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both"/>
              <w:rPr/>
            </w:pPr>
            <w:r>
              <w:rPr>
                <w:b/>
                <w:bCs/>
              </w:rPr>
              <w:t>21 000 000</w:t>
            </w:r>
          </w:p>
        </w:tc>
        <w:tc>
          <w:tcPr>
            <w:tcW w:w="2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tabs>
                <w:tab w:val="clear" w:pos="708"/>
                <w:tab w:val="left" w:pos="1134" w:leader="none"/>
              </w:tabs>
              <w:spacing w:before="0" w:after="120"/>
              <w:jc w:val="both"/>
              <w:rPr/>
            </w:pPr>
            <w:r>
              <w:rPr>
                <w:b/>
                <w:bCs/>
              </w:rPr>
              <w:t>100 %</w:t>
            </w:r>
          </w:p>
        </w:tc>
      </w:tr>
    </w:tbl>
    <w:p>
      <w:pPr>
        <w:pStyle w:val="TextBody"/>
        <w:tabs>
          <w:tab w:val="clear" w:pos="708"/>
          <w:tab w:val="left" w:pos="1134" w:leader="none"/>
        </w:tabs>
        <w:jc w:val="both"/>
        <w:rPr/>
      </w:pPr>
      <w:r>
        <w:rPr/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Номинальная стоимость и процентное соотношение вкладов полных партнеров и вкладчиков в уставный фонд </w:t>
      </w:r>
      <w:r>
        <w:rPr>
          <w:lang w:val="ru-RU"/>
        </w:rPr>
        <w:t>Товарищества</w:t>
      </w:r>
      <w:r>
        <w:rPr/>
        <w:t xml:space="preserve"> определяются приложением к Учредительному договору.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С даты внесения вкладов вкладчиками в уставный фонд (уставный капитал) </w:t>
      </w:r>
      <w:r>
        <w:rPr>
          <w:lang w:val="ru-RU"/>
        </w:rPr>
        <w:t>Товарищества</w:t>
      </w:r>
      <w:r>
        <w:rPr/>
        <w:t xml:space="preserve">, включая дату приобретения, если вкладчик не может продать свой вклад третьим лицам и другим вкладчикам, </w:t>
      </w:r>
      <w:r>
        <w:rPr>
          <w:lang w:val="ru-RU"/>
        </w:rPr>
        <w:t>Товарищество</w:t>
      </w:r>
      <w:r>
        <w:rPr/>
        <w:t xml:space="preserve"> получает право на обратную продажу через год.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Полные партнер</w:t>
      </w:r>
      <w:r>
        <w:rPr>
          <w:lang w:val="ru-RU"/>
        </w:rPr>
        <w:t>ы</w:t>
      </w:r>
      <w:r>
        <w:rPr/>
        <w:t xml:space="preserve"> могут быть образованы путем внесения в уставный фонд общества долей денежных средств, объектов недвижимости, ценных бумаг, долей в хозяйственных обществах, имущественных прав и имущества и имущественных прав, которые могут быть переданы другому лицу, имеющему денежную оценку.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Стоимость имущества или имущественных прав, вносимых полным партнером и его вкладчиками, утверждается решением общего собрания полных партнеров.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>
          <w:lang w:val="ru-RU"/>
        </w:rPr>
        <w:t>Т</w:t>
      </w:r>
      <w:r>
        <w:rPr/>
        <w:t xml:space="preserve">от факт, что вклады вкладчиков были внесены в полном объеме, что вкладчик стал вкладчиком в результате приобретения соответствующего вклада, подтверждается свидетельством, выдаваемым </w:t>
      </w:r>
      <w:r>
        <w:rPr>
          <w:lang w:val="ru-RU"/>
        </w:rPr>
        <w:t>Товариществом</w:t>
      </w:r>
      <w:r>
        <w:rPr/>
        <w:t xml:space="preserve"> по форме и в порядке, утверждаемом решением общего собрания полных партнеров.</w:t>
      </w:r>
    </w:p>
    <w:p>
      <w:pPr>
        <w:pStyle w:val="TextBody"/>
        <w:tabs>
          <w:tab w:val="clear" w:pos="708"/>
          <w:tab w:val="left" w:pos="1134" w:leader="none"/>
        </w:tabs>
        <w:ind w:left="709" w:hanging="0"/>
        <w:jc w:val="both"/>
        <w:rPr/>
      </w:pPr>
      <w:r>
        <w:rPr/>
      </w:r>
    </w:p>
    <w:p>
      <w:pPr>
        <w:pStyle w:val="8"/>
        <w:numPr>
          <w:ilvl w:val="0"/>
          <w:numId w:val="2"/>
        </w:numPr>
        <w:spacing w:before="0" w:after="120"/>
        <w:ind w:left="0" w:hanging="0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>Увеличение и уменьшение уставного фонда Товарищества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Увеличение уставного фонда (уставного капитала) Товарищества допускается после его полного формирования.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Увеличение уставного фонда Товарищества может производиться за счет имущества Товарищества, за счет дополнительных взносов участников Товарищества или за счет взносов новых вкладчиков, принимаемых в Товарищество.</w:t>
      </w:r>
    </w:p>
    <w:p>
      <w:pPr>
        <w:pStyle w:val="TextBody"/>
        <w:jc w:val="both"/>
        <w:rPr/>
      </w:pPr>
      <w:r>
        <w:rPr>
          <w:lang w:val="ru-RU"/>
        </w:rPr>
        <w:tab/>
      </w:r>
      <w:r>
        <w:rPr/>
        <w:t>Увеличение уставного фонда Товарищества производится по решению общего собрания полных товариществ.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Решение об увеличении уставного фонда общества за счет имущества </w:t>
      </w:r>
      <w:r>
        <w:rPr>
          <w:lang w:val="ru-RU"/>
        </w:rPr>
        <w:t>Товарищества</w:t>
      </w:r>
      <w:r>
        <w:rPr/>
        <w:t xml:space="preserve"> может быть принято только на основании данных бухгалтерской отчетности </w:t>
      </w:r>
      <w:r>
        <w:rPr>
          <w:lang w:val="ru-RU"/>
        </w:rPr>
        <w:t>Товарищества</w:t>
      </w:r>
      <w:r>
        <w:rPr/>
        <w:t xml:space="preserve"> за год, предшествующий году принятия такого решения.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Уставный фонд Товарищества</w:t>
      </w:r>
      <w:r>
        <w:rPr>
          <w:lang w:val="ru-RU"/>
        </w:rPr>
        <w:t>,</w:t>
      </w:r>
      <w:r>
        <w:rPr/>
        <w:t xml:space="preserve"> сумма, увеличиваемая за счет имущества Товарищества, не должна превышать разницу между стоимостью чистых активов Товарищества и суммой уставного фонда (уставного капитала).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>
          <w:lang w:val="ru-RU"/>
        </w:rPr>
        <w:t>Товарищество</w:t>
      </w:r>
      <w:r>
        <w:rPr/>
        <w:t xml:space="preserve"> вправе уменьшить свой уставный фонд в соответствии с действующим законодательством</w:t>
      </w:r>
    </w:p>
    <w:p>
      <w:pPr>
        <w:pStyle w:val="8"/>
        <w:numPr>
          <w:ilvl w:val="0"/>
          <w:numId w:val="2"/>
        </w:numPr>
        <w:spacing w:before="0" w:after="120"/>
        <w:ind w:left="0" w:hanging="0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>Права и обязанности вкладчиков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Вкладчики Товарищества имеют </w:t>
      </w:r>
      <w:r>
        <w:rPr>
          <w:lang w:val="ru-RU"/>
        </w:rPr>
        <w:t xml:space="preserve">следующие </w:t>
      </w:r>
      <w:r>
        <w:rPr/>
        <w:t>прав</w:t>
      </w:r>
      <w:r>
        <w:rPr>
          <w:lang w:val="ru-RU"/>
        </w:rPr>
        <w:t>а</w:t>
      </w:r>
      <w:r>
        <w:rPr/>
        <w:t>:</w:t>
      </w:r>
    </w:p>
    <w:p>
      <w:pPr>
        <w:pStyle w:val="TextBody"/>
        <w:ind w:firstLine="709"/>
        <w:jc w:val="both"/>
        <w:rPr/>
      </w:pPr>
      <w:r>
        <w:rPr>
          <w:lang w:val="ru-RU"/>
        </w:rPr>
        <w:t>п</w:t>
      </w:r>
      <w:r>
        <w:rPr/>
        <w:t xml:space="preserve">олучение части прибыли </w:t>
      </w:r>
      <w:r>
        <w:rPr>
          <w:lang w:val="ru-RU"/>
        </w:rPr>
        <w:t>Товарищества</w:t>
      </w:r>
      <w:r>
        <w:rPr/>
        <w:t>, пропорционально его вкладу в уставный фонд, в порядке, предусмотренном учредительным договором;</w:t>
      </w:r>
    </w:p>
    <w:p>
      <w:pPr>
        <w:pStyle w:val="TextBody"/>
        <w:ind w:firstLine="709"/>
        <w:jc w:val="both"/>
        <w:rPr/>
      </w:pPr>
      <w:r>
        <w:rPr>
          <w:lang w:val="ru-RU"/>
        </w:rPr>
        <w:t xml:space="preserve">ознакомление </w:t>
      </w:r>
      <w:r>
        <w:rPr/>
        <w:t xml:space="preserve">с годовыми отчетами и балансами </w:t>
      </w:r>
      <w:r>
        <w:rPr>
          <w:lang w:val="ru-RU"/>
        </w:rPr>
        <w:t>Товарищества</w:t>
      </w:r>
      <w:r>
        <w:rPr/>
        <w:t>;</w:t>
      </w:r>
    </w:p>
    <w:p>
      <w:pPr>
        <w:pStyle w:val="TextBody"/>
        <w:ind w:firstLine="709"/>
        <w:jc w:val="both"/>
        <w:rPr/>
      </w:pPr>
      <w:r>
        <w:rPr/>
        <w:t>выход из Товарищества по окончании финансового года и получение взноса в порядке, предусмотренном учредительным договором;</w:t>
      </w:r>
    </w:p>
    <w:p>
      <w:pPr>
        <w:pStyle w:val="TextBody"/>
        <w:ind w:firstLine="709"/>
        <w:jc w:val="both"/>
        <w:rPr/>
      </w:pPr>
      <w:r>
        <w:rPr/>
        <w:t>передача доли или ее части в уставном фонде другому вкладчику или третьему лицу.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Вкладчики Товарищества несут следующие обязанности:</w:t>
      </w:r>
    </w:p>
    <w:p>
      <w:pPr>
        <w:pStyle w:val="TextBody"/>
        <w:ind w:firstLine="709"/>
        <w:jc w:val="both"/>
        <w:rPr/>
      </w:pPr>
      <w:r>
        <w:rPr>
          <w:lang w:val="ru-RU"/>
        </w:rPr>
        <w:t>все операции, связанные с собственными вкладами (их частью) и иные процессы отказа в пользу других лиц, осуществляются через электронную площадку «</w:t>
      </w:r>
      <w:r>
        <w:rPr/>
        <w:t xml:space="preserve">WAY </w:t>
      </w:r>
      <w:r>
        <w:rPr>
          <w:lang w:val="en-US"/>
        </w:rPr>
        <w:t>I</w:t>
      </w:r>
      <w:r>
        <w:rPr/>
        <w:t>nvest</w:t>
      </w:r>
      <w:r>
        <w:rPr>
          <w:lang w:val="ru-RU"/>
        </w:rPr>
        <w:t>»</w:t>
      </w:r>
      <w:r>
        <w:rPr/>
        <w:t>.</w:t>
      </w:r>
    </w:p>
    <w:p>
      <w:pPr>
        <w:pStyle w:val="TextBody"/>
        <w:ind w:firstLine="709"/>
        <w:jc w:val="both"/>
        <w:rPr/>
      </w:pPr>
      <w:r>
        <w:rPr/>
      </w:r>
    </w:p>
    <w:p>
      <w:pPr>
        <w:pStyle w:val="8"/>
        <w:numPr>
          <w:ilvl w:val="0"/>
          <w:numId w:val="2"/>
        </w:numPr>
        <w:spacing w:before="0" w:after="120"/>
        <w:ind w:left="0" w:hanging="0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>Продажа и покупка вкладов в уставный фонд Товарищества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Вкладчики Товарищества имеют право продать свой вклад или его часть одному или нескольким вкладчикам Товарищества, а также третьим лицам или иным образом отказаться от него в их пользу. При этом все вышеперечисленные процессы, связанные с взносами или их частью, </w:t>
      </w:r>
      <w:r>
        <w:rPr>
          <w:b/>
          <w:bCs/>
        </w:rPr>
        <w:t>выполняются через электронную платформу «WAY Invest».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Вкладчики пользуются преимущественным правом перед третьими лицами при покупке доли (или ее части) по предложенной третьей стороне цене. Покупка и продажа вкладов осуществляется через электронную платформу «WAY Invest». При этом преимущественное право оставшихся участников действует в течение пяти дней с момента подачи предложения о продаже доли участника.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Товарищество не вправе получать свой вклад в уставный фонд или его часть, за исключением случаев, предусмотренных законодательством.</w:t>
      </w:r>
    </w:p>
    <w:p>
      <w:pPr>
        <w:pStyle w:val="TextBody"/>
        <w:tabs>
          <w:tab w:val="clear" w:pos="708"/>
          <w:tab w:val="left" w:pos="1134" w:leader="none"/>
        </w:tabs>
        <w:jc w:val="both"/>
        <w:rPr/>
      </w:pPr>
      <w:r>
        <w:rPr/>
      </w:r>
    </w:p>
    <w:p>
      <w:pPr>
        <w:pStyle w:val="8"/>
        <w:numPr>
          <w:ilvl w:val="0"/>
          <w:numId w:val="2"/>
        </w:numPr>
        <w:spacing w:before="0" w:after="120"/>
        <w:ind w:left="0" w:hanging="0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>Органы управления Товарищества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Органы управления Товарищества </w:t>
      </w:r>
      <w:r>
        <w:rPr>
          <w:lang w:val="ru-RU"/>
        </w:rPr>
        <w:t>следующие</w:t>
      </w:r>
      <w:r>
        <w:rPr/>
        <w:t>:</w:t>
      </w:r>
    </w:p>
    <w:p>
      <w:pPr>
        <w:pStyle w:val="4"/>
        <w:numPr>
          <w:ilvl w:val="0"/>
          <w:numId w:val="1"/>
        </w:numPr>
        <w:tabs>
          <w:tab w:val="clear" w:pos="708"/>
          <w:tab w:val="left" w:pos="284" w:leader="none"/>
          <w:tab w:val="left" w:pos="567" w:leader="none"/>
        </w:tabs>
        <w:spacing w:before="0" w:after="120"/>
        <w:ind w:left="0" w:firstLine="709"/>
        <w:contextualSpacing/>
        <w:jc w:val="both"/>
        <w:rPr/>
      </w:pPr>
      <w:r>
        <w:rPr/>
        <w:t>Общее собрание полных партнеров;</w:t>
      </w:r>
    </w:p>
    <w:p>
      <w:pPr>
        <w:pStyle w:val="4"/>
        <w:numPr>
          <w:ilvl w:val="0"/>
          <w:numId w:val="1"/>
        </w:numPr>
        <w:tabs>
          <w:tab w:val="clear" w:pos="708"/>
          <w:tab w:val="left" w:pos="284" w:leader="none"/>
          <w:tab w:val="left" w:pos="567" w:leader="none"/>
        </w:tabs>
        <w:spacing w:before="0" w:after="120"/>
        <w:ind w:left="0" w:firstLine="709"/>
        <w:contextualSpacing/>
        <w:jc w:val="both"/>
        <w:rPr/>
      </w:pPr>
      <w:r>
        <w:rPr/>
        <w:t>Директор</w:t>
      </w:r>
      <w:r>
        <w:rPr>
          <w:lang w:val="ru-RU"/>
        </w:rPr>
        <w:t>.</w:t>
      </w:r>
    </w:p>
    <w:p>
      <w:pPr>
        <w:pStyle w:val="8"/>
        <w:numPr>
          <w:ilvl w:val="0"/>
          <w:numId w:val="2"/>
        </w:numPr>
        <w:spacing w:before="0" w:after="120"/>
        <w:ind w:left="0" w:hanging="0"/>
        <w:rPr/>
      </w:pPr>
      <w:r>
        <w:rPr>
          <w:rFonts w:cs="Times New Roman" w:ascii="Times New Roman" w:hAnsi="Times New Roman"/>
          <w:sz w:val="24"/>
          <w:szCs w:val="24"/>
        </w:rPr>
        <w:t>Общее собрание полных партнеров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Общее собрание полных партнеров является высшим органом управления Товариществом. Управление деятельностью Товарищества осуществляется полноправными партнерами. </w:t>
      </w:r>
    </w:p>
    <w:p>
      <w:pPr>
        <w:pStyle w:val="TextBody"/>
        <w:ind w:firstLine="709"/>
        <w:jc w:val="both"/>
        <w:rPr/>
      </w:pPr>
      <w:r>
        <w:rPr/>
        <w:t xml:space="preserve">Членом общего собрания полных партнеров могут быть только полные партнеры. </w:t>
      </w:r>
    </w:p>
    <w:p>
      <w:pPr>
        <w:pStyle w:val="TextBody"/>
        <w:ind w:firstLine="709"/>
        <w:jc w:val="both"/>
        <w:rPr/>
      </w:pPr>
      <w:r>
        <w:rPr/>
        <w:t xml:space="preserve">Вкладчики не вправе иным образом вести дела от его имени без доверенности на участие в управлении </w:t>
      </w:r>
      <w:r>
        <w:rPr>
          <w:lang w:val="ru-RU"/>
        </w:rPr>
        <w:t>Товариществом</w:t>
      </w:r>
      <w:r>
        <w:rPr/>
        <w:t xml:space="preserve"> и ведении его дел. Вкладчики не вправе оспаривать поведение полных партнеров по управлению </w:t>
      </w:r>
      <w:r>
        <w:rPr>
          <w:lang w:val="ru-RU"/>
        </w:rPr>
        <w:t>Товариществом</w:t>
      </w:r>
      <w:r>
        <w:rPr/>
        <w:t xml:space="preserve"> и ведению его дел.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Полномочия общего собрания полных партнеров:</w:t>
      </w:r>
    </w:p>
    <w:p>
      <w:pPr>
        <w:pStyle w:val="4"/>
        <w:numPr>
          <w:ilvl w:val="0"/>
          <w:numId w:val="1"/>
        </w:numPr>
        <w:rPr/>
      </w:pPr>
      <w:r>
        <w:rPr/>
        <w:t>определение основных направлений деятельности Товарищества;</w:t>
      </w:r>
    </w:p>
    <w:p>
      <w:pPr>
        <w:pStyle w:val="4"/>
        <w:numPr>
          <w:ilvl w:val="0"/>
          <w:numId w:val="1"/>
        </w:numPr>
        <w:rPr/>
      </w:pPr>
      <w:r>
        <w:rPr/>
        <w:t xml:space="preserve">реорганизация и ликвидация </w:t>
      </w:r>
      <w:r>
        <w:rPr>
          <w:lang w:val="ru-RU"/>
        </w:rPr>
        <w:t>Товарищества</w:t>
      </w:r>
      <w:r>
        <w:rPr/>
        <w:t>;</w:t>
      </w:r>
    </w:p>
    <w:p>
      <w:pPr>
        <w:pStyle w:val="4"/>
        <w:numPr>
          <w:ilvl w:val="0"/>
          <w:numId w:val="1"/>
        </w:numPr>
        <w:rPr/>
      </w:pPr>
      <w:r>
        <w:rPr>
          <w:lang w:val="ru-RU"/>
        </w:rPr>
        <w:t>в</w:t>
      </w:r>
      <w:r>
        <w:rPr/>
        <w:t>несение изменений и дополнений в учредительный договор;</w:t>
      </w:r>
    </w:p>
    <w:p>
      <w:pPr>
        <w:pStyle w:val="4"/>
        <w:numPr>
          <w:ilvl w:val="0"/>
          <w:numId w:val="1"/>
        </w:numPr>
        <w:rPr/>
      </w:pPr>
      <w:r>
        <w:rPr/>
        <w:t>принятие решения о распределении прибыли (убытков) Товарищества между ним и вкладчиками;</w:t>
      </w:r>
    </w:p>
    <w:p>
      <w:pPr>
        <w:pStyle w:val="4"/>
        <w:numPr>
          <w:ilvl w:val="0"/>
          <w:numId w:val="1"/>
        </w:numPr>
        <w:rPr/>
      </w:pPr>
      <w:r>
        <w:rPr/>
        <w:t>принятие решений об увеличении и уменьшении уставного фонда Товарищества;</w:t>
      </w:r>
    </w:p>
    <w:p>
      <w:pPr>
        <w:pStyle w:val="4"/>
        <w:numPr>
          <w:ilvl w:val="0"/>
          <w:numId w:val="1"/>
        </w:numPr>
        <w:rPr/>
      </w:pPr>
      <w:r>
        <w:rPr/>
        <w:t>проверка годовых отчетов и годовых балансов;</w:t>
      </w:r>
    </w:p>
    <w:p>
      <w:pPr>
        <w:pStyle w:val="4"/>
        <w:numPr>
          <w:ilvl w:val="0"/>
          <w:numId w:val="1"/>
        </w:numPr>
        <w:tabs>
          <w:tab w:val="clear" w:pos="708"/>
          <w:tab w:val="left" w:pos="284" w:leader="none"/>
          <w:tab w:val="left" w:pos="567" w:leader="none"/>
          <w:tab w:val="left" w:pos="1134" w:leader="none"/>
        </w:tabs>
        <w:spacing w:before="0" w:after="120"/>
        <w:ind w:left="0" w:firstLine="709"/>
        <w:contextualSpacing/>
        <w:jc w:val="both"/>
        <w:rPr/>
      </w:pPr>
      <w:r>
        <w:rPr/>
        <w:t>решение иных вопросов, предусмотренных договором Товарищества.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Управление деятельностью Товарищества осуществляется по общему соглашению всех его полных партнеров. Решение общего собрания полных партнеров Товарищества принимается единогласно всеми полными партнерами Товарищества.</w:t>
      </w:r>
    </w:p>
    <w:p>
      <w:pPr>
        <w:pStyle w:val="8"/>
        <w:numPr>
          <w:ilvl w:val="0"/>
          <w:numId w:val="2"/>
        </w:numPr>
        <w:spacing w:before="0" w:after="120"/>
        <w:ind w:left="0" w:hanging="0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>ДИРЕКТОР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Исполнительным органом </w:t>
      </w:r>
      <w:r>
        <w:rPr>
          <w:lang w:val="ru-RU"/>
        </w:rPr>
        <w:t>Товарищества</w:t>
      </w:r>
      <w:r>
        <w:rPr/>
        <w:t xml:space="preserve"> является директор, который руководит текущей деятельностью </w:t>
      </w:r>
      <w:r>
        <w:rPr>
          <w:lang w:val="ru-RU"/>
        </w:rPr>
        <w:t>Товарищества</w:t>
      </w:r>
      <w:r>
        <w:rPr/>
        <w:t>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Директор назначается на бессрочный срок на основании решения общего собрания полных товарищей и освобождается от обязанностей в таком порядке.  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Директор действует от имени </w:t>
      </w:r>
      <w:r>
        <w:rPr>
          <w:lang w:val="ru-RU"/>
        </w:rPr>
        <w:t>Товарищества</w:t>
      </w:r>
      <w:r>
        <w:rPr/>
        <w:t xml:space="preserve"> без доверенности на основании настоящего учредительного договора и в пределах полномочий, предоставленных общим собранием полных партнеров, в том числе представляет его интересы во всех республиканских и зарубежных государственных органах, фирмах и организациях, совершает сделки, выдает доверенности, открывает счета и иные счета в банках, оформляет прием и увольнение сотрудников, осуществляет контроль за всеми видами деятельности </w:t>
      </w:r>
      <w:r>
        <w:rPr>
          <w:lang w:val="ru-RU"/>
        </w:rPr>
        <w:t>Товарищества</w:t>
      </w:r>
      <w:r>
        <w:rPr/>
        <w:t>, в том числе отдает приказы и распоряжения, обязательные для сотрудников.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Директор может быть освобожден от должности на основании решения общего собрания полных партнеров. 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Директор</w:t>
      </w:r>
      <w:r>
        <w:rPr>
          <w:lang w:val="ru-RU"/>
        </w:rPr>
        <w:t xml:space="preserve"> Товарищества</w:t>
      </w:r>
      <w:r>
        <w:rPr/>
        <w:t>:</w:t>
      </w:r>
    </w:p>
    <w:p>
      <w:pPr>
        <w:pStyle w:val="4"/>
        <w:numPr>
          <w:ilvl w:val="0"/>
          <w:numId w:val="1"/>
        </w:numPr>
        <w:ind w:left="0" w:firstLine="709"/>
        <w:jc w:val="both"/>
        <w:rPr/>
      </w:pPr>
      <w:r>
        <w:rPr/>
        <w:t>Организует подготовку и исполнение решений общего собрания полных партнеров и представляет отчеты об их исполнении на обще</w:t>
      </w:r>
      <w:r>
        <w:rPr>
          <w:lang w:val="ru-RU"/>
        </w:rPr>
        <w:t>м</w:t>
      </w:r>
      <w:r>
        <w:rPr/>
        <w:t xml:space="preserve"> собрание полных партнеров;</w:t>
      </w:r>
    </w:p>
    <w:p>
      <w:pPr>
        <w:pStyle w:val="4"/>
        <w:numPr>
          <w:ilvl w:val="0"/>
          <w:numId w:val="1"/>
        </w:numPr>
        <w:ind w:left="0" w:firstLine="709"/>
        <w:jc w:val="both"/>
        <w:rPr/>
      </w:pPr>
      <w:r>
        <w:rPr/>
        <w:t>отвечает за предоставление отчетов;</w:t>
      </w:r>
    </w:p>
    <w:p>
      <w:pPr>
        <w:pStyle w:val="4"/>
        <w:numPr>
          <w:ilvl w:val="0"/>
          <w:numId w:val="1"/>
        </w:numPr>
        <w:ind w:left="0" w:firstLine="709"/>
        <w:jc w:val="both"/>
        <w:rPr/>
      </w:pPr>
      <w:r>
        <w:rPr/>
        <w:t>выполняет другие функции, возложенные на общее собрание полных партнеров;</w:t>
      </w:r>
    </w:p>
    <w:p>
      <w:pPr>
        <w:pStyle w:val="4"/>
        <w:numPr>
          <w:ilvl w:val="0"/>
          <w:numId w:val="1"/>
        </w:numPr>
        <w:ind w:left="0" w:firstLine="709"/>
        <w:jc w:val="both"/>
        <w:rPr/>
      </w:pPr>
      <w:r>
        <w:rPr>
          <w:lang w:val="ru-RU"/>
        </w:rPr>
        <w:t>предоставляет</w:t>
      </w:r>
      <w:r>
        <w:rPr/>
        <w:t xml:space="preserve"> информации о результатах деятельности </w:t>
      </w:r>
      <w:r>
        <w:rPr>
          <w:lang w:val="ru-RU"/>
        </w:rPr>
        <w:t>Товарищества</w:t>
      </w:r>
      <w:r>
        <w:rPr/>
        <w:t xml:space="preserve"> на основе обращений вкладчиков;</w:t>
      </w:r>
    </w:p>
    <w:p>
      <w:pPr>
        <w:pStyle w:val="4"/>
        <w:numPr>
          <w:ilvl w:val="0"/>
          <w:numId w:val="1"/>
        </w:numPr>
        <w:tabs>
          <w:tab w:val="clear" w:pos="708"/>
          <w:tab w:val="left" w:pos="284" w:leader="none"/>
          <w:tab w:val="left" w:pos="567" w:leader="none"/>
        </w:tabs>
        <w:spacing w:before="0" w:after="120"/>
        <w:ind w:left="0" w:firstLine="709"/>
        <w:contextualSpacing/>
        <w:jc w:val="both"/>
        <w:rPr/>
      </w:pPr>
      <w:r>
        <w:rPr/>
        <w:t>Использование и распоряжение имуществом Товарищества в интересах полных партнеров и вкладчиков.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Директор подотчетен общему собранию полных партнеров </w:t>
      </w:r>
      <w:r>
        <w:rPr>
          <w:lang w:val="ru-RU"/>
        </w:rPr>
        <w:t>Товарищества</w:t>
      </w:r>
      <w:r>
        <w:rPr/>
        <w:t xml:space="preserve"> и несет ответственность за осуществление деятельности </w:t>
      </w:r>
      <w:r>
        <w:rPr>
          <w:lang w:val="ru-RU"/>
        </w:rPr>
        <w:t>Товарищества</w:t>
      </w:r>
      <w:r>
        <w:rPr/>
        <w:t xml:space="preserve"> и выполнение возложенных на него задач и функций. </w:t>
      </w:r>
    </w:p>
    <w:p>
      <w:pPr>
        <w:pStyle w:val="TextBody"/>
        <w:tabs>
          <w:tab w:val="clear" w:pos="708"/>
          <w:tab w:val="left" w:pos="1134" w:leader="none"/>
        </w:tabs>
        <w:ind w:firstLine="709"/>
        <w:jc w:val="both"/>
        <w:rPr/>
      </w:pPr>
      <w:r>
        <w:rPr/>
      </w:r>
    </w:p>
    <w:p>
      <w:pPr>
        <w:pStyle w:val="8"/>
        <w:numPr>
          <w:ilvl w:val="0"/>
          <w:numId w:val="2"/>
        </w:numPr>
        <w:spacing w:before="0" w:after="120"/>
        <w:ind w:left="0" w:hanging="0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>Распределение прибыли Товарищества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567"/>
        <w:jc w:val="both"/>
        <w:rPr/>
      </w:pPr>
      <w:r>
        <w:rPr/>
        <w:t xml:space="preserve">Решение об определении части прибыли, распределяемой между вкладчиками (коммандитистами), принимается Общим собранием полных </w:t>
      </w:r>
      <w:r>
        <w:rPr>
          <w:lang w:val="ru-RU"/>
        </w:rPr>
        <w:t>партнеров</w:t>
      </w:r>
      <w:r>
        <w:rPr/>
        <w:t>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567"/>
        <w:jc w:val="both"/>
        <w:rPr/>
      </w:pPr>
      <w:r>
        <w:rPr/>
        <w:t>Дивидендный доход распределяется два раза в год. Вкладчики получают дивиденды, распределяемые в течение четырех месяцев со дня представления полугодовой и годовой бухгалтерской отчетности, пропорционально процентному соотношению их вкладов вкладчиков (</w:t>
      </w:r>
      <w:r>
        <w:rPr>
          <w:lang w:val="ru-RU"/>
        </w:rPr>
        <w:t>коммандитистов</w:t>
      </w:r>
      <w:r>
        <w:rPr/>
        <w:t>) в уставный фонд (уставный капитал) Товарищества к уставному фонду Товарищества.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Дивидендный доход каждого вкладчика формируется по формуле:</w:t>
      </w:r>
    </w:p>
    <w:p>
      <w:pPr>
        <w:pStyle w:val="TextBody"/>
        <w:tabs>
          <w:tab w:val="clear" w:pos="708"/>
          <w:tab w:val="left" w:pos="1134" w:leader="none"/>
        </w:tabs>
        <w:ind w:left="709" w:hanging="0"/>
        <w:jc w:val="both"/>
        <w:rPr/>
      </w:pPr>
      <w:r>
        <w:rPr/>
        <w:t>ДД=( Размер взноса вкладчика (</w:t>
      </w:r>
      <w:r>
        <w:rPr>
          <w:lang w:val="ru-RU"/>
        </w:rPr>
        <w:t>коммандитиста</w:t>
      </w:r>
      <w:r>
        <w:rPr/>
        <w:t>) * ДДС * срок владения в</w:t>
      </w:r>
      <w:r>
        <w:rPr>
          <w:lang w:val="ru-RU"/>
        </w:rPr>
        <w:t>кладом</w:t>
      </w:r>
      <w:r>
        <w:rPr/>
        <w:t xml:space="preserve"> в течение каждого финансового года / 365 </w:t>
      </w:r>
      <w:r>
        <w:rPr>
          <w:lang w:val="ru-RU"/>
        </w:rPr>
        <w:t>дней</w:t>
      </w:r>
      <w:r>
        <w:rPr/>
        <w:t>) – Дополнительный дивидендный доход полного партнера.</w:t>
      </w:r>
    </w:p>
    <w:p>
      <w:pPr>
        <w:pStyle w:val="TextBody"/>
        <w:tabs>
          <w:tab w:val="clear" w:pos="708"/>
          <w:tab w:val="left" w:pos="1134" w:leader="none"/>
        </w:tabs>
        <w:ind w:firstLine="709"/>
        <w:jc w:val="both"/>
        <w:rPr/>
      </w:pPr>
      <w:r>
        <w:rPr>
          <w:lang w:val="ru-RU"/>
        </w:rPr>
        <w:t>Где</w:t>
      </w:r>
      <w:r>
        <w:rPr/>
        <w:t>:</w:t>
      </w:r>
    </w:p>
    <w:p>
      <w:pPr>
        <w:pStyle w:val="TextBody"/>
        <w:tabs>
          <w:tab w:val="clear" w:pos="708"/>
          <w:tab w:val="left" w:pos="1134" w:leader="none"/>
        </w:tabs>
        <w:ind w:firstLine="709"/>
        <w:jc w:val="both"/>
        <w:rPr/>
      </w:pPr>
      <w:r>
        <w:rPr/>
        <w:t>ДД – Дивидендный</w:t>
      </w:r>
      <w:r>
        <w:rPr>
          <w:lang w:val="ru-RU"/>
        </w:rPr>
        <w:t xml:space="preserve"> доход</w:t>
      </w:r>
      <w:r>
        <w:rPr/>
        <w:t>;</w:t>
      </w:r>
    </w:p>
    <w:p>
      <w:pPr>
        <w:pStyle w:val="TextBody"/>
        <w:tabs>
          <w:tab w:val="clear" w:pos="708"/>
          <w:tab w:val="left" w:pos="1134" w:leader="none"/>
        </w:tabs>
        <w:ind w:firstLine="709"/>
        <w:jc w:val="both"/>
        <w:rPr/>
      </w:pPr>
      <w:r>
        <w:rPr/>
        <w:t xml:space="preserve">ДДС – </w:t>
      </w:r>
      <w:r>
        <w:rPr>
          <w:lang w:val="ru-RU"/>
        </w:rPr>
        <w:t>ставка</w:t>
      </w:r>
      <w:r>
        <w:rPr/>
        <w:t xml:space="preserve"> дивидендно</w:t>
      </w:r>
      <w:r>
        <w:rPr>
          <w:lang w:val="ru-RU"/>
        </w:rPr>
        <w:t>го</w:t>
      </w:r>
      <w:r>
        <w:rPr/>
        <w:t xml:space="preserve"> доход</w:t>
      </w:r>
      <w:r>
        <w:rPr>
          <w:lang w:val="ru-RU"/>
        </w:rPr>
        <w:t>а</w:t>
      </w:r>
      <w:r>
        <w:rPr/>
        <w:t>, определяемая по результатам бухгалтерской отчетности;</w:t>
      </w:r>
    </w:p>
    <w:p>
      <w:pPr>
        <w:pStyle w:val="TextBody"/>
        <w:tabs>
          <w:tab w:val="clear" w:pos="708"/>
          <w:tab w:val="left" w:pos="1134" w:leader="none"/>
        </w:tabs>
        <w:ind w:firstLine="709"/>
        <w:jc w:val="both"/>
        <w:rPr/>
      </w:pPr>
      <w:r>
        <w:rPr/>
        <w:t>Период владения вкладом в течение каждого финансового года – это период владения вкладом в течение каждого финансового года в результате его приобретения или внесения в уставный фонд (уставный капитал) общества. Каждый 1-й и 15-й день месяца;</w:t>
      </w:r>
    </w:p>
    <w:p>
      <w:pPr>
        <w:pStyle w:val="TextBody"/>
        <w:tabs>
          <w:tab w:val="clear" w:pos="708"/>
          <w:tab w:val="left" w:pos="1134" w:leader="none"/>
        </w:tabs>
        <w:ind w:firstLine="709"/>
        <w:jc w:val="both"/>
        <w:rPr/>
      </w:pPr>
      <w:r>
        <w:rPr/>
        <w:t>Дополнительный дивидендный доход полного партнера – сумма, составляющая до 20 (двадцати) процентов от сумм дивидендного дохода вкладчика (</w:t>
      </w:r>
      <w:r>
        <w:rPr>
          <w:lang w:val="ru-RU"/>
        </w:rPr>
        <w:t>коммандитиста</w:t>
      </w:r>
      <w:r>
        <w:rPr/>
        <w:t xml:space="preserve">). </w:t>
      </w:r>
    </w:p>
    <w:p>
      <w:pPr>
        <w:pStyle w:val="TextBody"/>
        <w:tabs>
          <w:tab w:val="clear" w:pos="708"/>
          <w:tab w:val="left" w:pos="1134" w:leader="none"/>
        </w:tabs>
        <w:ind w:left="709" w:hanging="0"/>
        <w:jc w:val="both"/>
        <w:rPr/>
      </w:pPr>
      <w:r>
        <w:rPr/>
        <w:t>При этом полные партнеры за первый год от вкладчиков (</w:t>
      </w:r>
      <w:r>
        <w:rPr>
          <w:lang w:val="ru-RU"/>
        </w:rPr>
        <w:t>коммандитистов</w:t>
      </w:r>
      <w:r>
        <w:rPr/>
        <w:t>) получают дополнительный доход в размере 0%. Полные партнеры могут увеличить процент дополнительного дохода на последующие годы. Увеличенный дополнительный дивидендный доход полных партнеров не может превышать 20 (двадцать) процентов.</w:t>
      </w:r>
    </w:p>
    <w:p>
      <w:pPr>
        <w:pStyle w:val="TextBody"/>
        <w:tabs>
          <w:tab w:val="clear" w:pos="708"/>
          <w:tab w:val="left" w:pos="1134" w:leader="none"/>
        </w:tabs>
        <w:jc w:val="both"/>
        <w:rPr/>
      </w:pPr>
      <w:r>
        <w:rPr/>
      </w:r>
    </w:p>
    <w:p>
      <w:pPr>
        <w:pStyle w:val="8"/>
        <w:numPr>
          <w:ilvl w:val="0"/>
          <w:numId w:val="2"/>
        </w:numPr>
        <w:spacing w:before="0" w:after="120"/>
        <w:ind w:left="0" w:firstLine="709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>Конфликтные ситуации в деятельности Товарищества и порядок их разрешения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Настоящий учредительный договор, разъяснения к нему и любые вытекающие из него или связанные с ним договорные обязательства регулируются в соответствии с законодательством Республики Узбекистан. 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Стороны обязуются рассматривать и разрешать все споры, связанные с настоящим учредительным договором, в соответствии с настоящим учредительным договором. 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 xml:space="preserve">Все споры, возникающие в рамках настоящего учредительного договора, в том числе споры о признании настоящего договора недействительным, должны проходить обязательную процедуру медиации в соответствии с Законом Республики Узбекистан «О медиации». Считается, что процесс посредничества начался с подачи жалобы от одной стороны к другой 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В случае невозможности достижения взаимопонимания или разрешения спора, вытекающего из учредительного договора или связанного с ним, в том числе</w:t>
      </w:r>
      <w:r>
        <w:rPr>
          <w:lang w:val="ru-RU"/>
        </w:rPr>
        <w:t>, но не ограничиваясь,</w:t>
      </w:r>
      <w:r>
        <w:rPr/>
        <w:t xml:space="preserve"> по любому вопросу, касающемуся его существования, действительности и прекращения, а также ущерба, причиненного его нарушением или прекращением, будет рассмотрен в Арбитражном суде, постоянно действующем при НКО</w:t>
      </w:r>
      <w:r>
        <w:rPr>
          <w:lang w:val="ru-RU"/>
        </w:rPr>
        <w:t xml:space="preserve"> </w:t>
      </w:r>
      <w:r>
        <w:rPr/>
        <w:t>«</w:t>
      </w:r>
      <w:r>
        <w:rPr>
          <w:lang w:val="ru-RU"/>
        </w:rPr>
        <w:t>П</w:t>
      </w:r>
      <w:r>
        <w:rPr/>
        <w:t>равовая помощь потребителям», и должен быть подан для окончательного решения.</w:t>
      </w:r>
    </w:p>
    <w:p>
      <w:pPr>
        <w:pStyle w:val="TextBody"/>
        <w:tabs>
          <w:tab w:val="clear" w:pos="708"/>
          <w:tab w:val="left" w:pos="1134" w:leader="none"/>
        </w:tabs>
        <w:ind w:left="709" w:hanging="0"/>
        <w:jc w:val="both"/>
        <w:rPr/>
      </w:pPr>
      <w:r>
        <w:rPr/>
      </w:r>
    </w:p>
    <w:p>
      <w:pPr>
        <w:pStyle w:val="8"/>
        <w:numPr>
          <w:ilvl w:val="0"/>
          <w:numId w:val="2"/>
        </w:numPr>
        <w:spacing w:before="0" w:after="120"/>
        <w:ind w:left="0" w:firstLine="709"/>
        <w:rPr/>
      </w:pPr>
      <w:r>
        <w:rPr>
          <w:rFonts w:cs="Times New Roman" w:ascii="Times New Roman" w:hAnsi="Times New Roman"/>
          <w:sz w:val="24"/>
          <w:szCs w:val="24"/>
          <w:lang w:val="uz-Cyrl-UZ"/>
        </w:rPr>
        <w:t>ЗАКЛЮЧИТЕЛЬНОЕ ПОЛОЖЕНИЕ</w:t>
      </w:r>
    </w:p>
    <w:p>
      <w:pPr>
        <w:pStyle w:val="TextBody"/>
        <w:numPr>
          <w:ilvl w:val="1"/>
          <w:numId w:val="2"/>
        </w:numPr>
        <w:tabs>
          <w:tab w:val="clear" w:pos="708"/>
          <w:tab w:val="left" w:pos="1134" w:leader="none"/>
        </w:tabs>
        <w:ind w:left="0" w:firstLine="709"/>
        <w:jc w:val="both"/>
        <w:rPr/>
      </w:pPr>
      <w:r>
        <w:rPr/>
        <w:t>Настоящий Договор вступает в силу с момента его государственной регистрации в порядке, установленном законодательством Республики Узбекистан.</w:t>
      </w:r>
    </w:p>
    <w:p>
      <w:pPr>
        <w:pStyle w:val="Normal"/>
        <w:spacing w:before="0" w:after="120"/>
        <w:ind w:firstLine="709"/>
        <w:rPr>
          <w:b/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spacing w:before="0" w:after="120"/>
        <w:ind w:firstLine="709"/>
        <w:rPr/>
      </w:pPr>
      <w:r>
        <w:rPr>
          <w:b/>
          <w:bCs/>
          <w:lang w:val="ru-RU"/>
        </w:rPr>
        <w:t>Полные партнеры</w:t>
      </w:r>
      <w:r>
        <w:rPr>
          <w:b/>
          <w:bCs/>
        </w:rPr>
        <w:t xml:space="preserve">: </w:t>
      </w:r>
    </w:p>
    <w:p>
      <w:pPr>
        <w:pStyle w:val="Normal"/>
        <w:ind w:firstLine="709"/>
        <w:rPr/>
      </w:pPr>
      <w:r>
        <w:rPr>
          <w:rFonts w:eastAsia="Arial"/>
          <w:lang w:val="ru-RU"/>
        </w:rPr>
        <w:t>Директор</w:t>
      </w:r>
      <w:r>
        <w:rPr>
          <w:rFonts w:eastAsia="Arial"/>
          <w:lang w:val="en-US"/>
        </w:rPr>
        <w:t xml:space="preserve"> </w:t>
      </w:r>
      <w:r>
        <w:rPr>
          <w:rFonts w:eastAsia="Arial"/>
          <w:lang w:val="ru-RU"/>
        </w:rPr>
        <w:t>ООО</w:t>
      </w:r>
      <w:r>
        <w:rPr>
          <w:rFonts w:eastAsia="Arial"/>
          <w:lang w:val="en-US"/>
        </w:rPr>
        <w:t xml:space="preserve"> «</w:t>
      </w:r>
      <w:r>
        <w:rPr>
          <w:rFonts w:eastAsia="Arial"/>
        </w:rPr>
        <w:t>Way II Management</w:t>
      </w:r>
      <w:r>
        <w:rPr>
          <w:rFonts w:eastAsia="Arial"/>
          <w:lang w:val="en-US"/>
        </w:rPr>
        <w:t>»</w:t>
      </w:r>
      <w:r>
        <w:rPr>
          <w:rFonts w:eastAsia="Arial"/>
        </w:rPr>
        <w:t xml:space="preserve"> </w:t>
      </w:r>
    </w:p>
    <w:p>
      <w:pPr>
        <w:pStyle w:val="Normal"/>
        <w:ind w:firstLine="709"/>
        <w:rPr/>
      </w:pPr>
      <w:r>
        <w:rPr>
          <w:rFonts w:eastAsia="Arial"/>
        </w:rPr>
        <w:t xml:space="preserve">Касимходжаев Азиз Анварович  </w:t>
      </w:r>
      <w:r>
        <w:rPr>
          <w:rFonts w:eastAsia="Arial"/>
          <w:lang w:val="ru-RU"/>
        </w:rPr>
        <w:t>_______________________</w:t>
      </w:r>
    </w:p>
    <w:p>
      <w:pPr>
        <w:pStyle w:val="Normal"/>
        <w:spacing w:before="0" w:after="120"/>
        <w:ind w:firstLine="709"/>
        <w:rPr>
          <w:rFonts w:eastAsia="Arial"/>
          <w:b/>
          <w:b/>
          <w:bCs/>
          <w:lang w:val="ru-RU"/>
        </w:rPr>
      </w:pPr>
      <w:r>
        <w:rPr>
          <w:rFonts w:eastAsia="Arial"/>
          <w:b/>
          <w:bCs/>
          <w:lang w:val="ru-RU"/>
        </w:rPr>
      </w:r>
    </w:p>
    <w:p>
      <w:pPr>
        <w:pStyle w:val="Normal"/>
        <w:ind w:firstLine="709"/>
        <w:rPr/>
      </w:pPr>
      <w:r>
        <w:rPr>
          <w:rFonts w:eastAsia="Arial"/>
          <w:lang w:val="ru-RU"/>
        </w:rPr>
        <w:t>Директор ООО «</w:t>
      </w:r>
      <w:r>
        <w:rPr>
          <w:rFonts w:eastAsia="Arial"/>
        </w:rPr>
        <w:t>WAY TECHNO</w:t>
      </w:r>
      <w:r>
        <w:rPr>
          <w:rFonts w:eastAsia="Arial"/>
          <w:lang w:val="ru-RU"/>
        </w:rPr>
        <w:t>»</w:t>
      </w:r>
    </w:p>
    <w:p>
      <w:pPr>
        <w:pStyle w:val="Normal"/>
        <w:ind w:left="708" w:firstLine="1"/>
        <w:rPr/>
      </w:pPr>
      <w:r>
        <w:rPr>
          <w:rFonts w:eastAsia="Arial"/>
        </w:rPr>
        <w:t xml:space="preserve">Зокиров Темур Алишер </w:t>
      </w:r>
      <w:r>
        <w:rPr>
          <w:rFonts w:eastAsia="Arial"/>
          <w:lang w:val="ru-RU"/>
        </w:rPr>
        <w:t>углы</w:t>
      </w:r>
      <w:r>
        <w:rPr>
          <w:rFonts w:eastAsia="Arial"/>
        </w:rPr>
        <w:t xml:space="preserve">                        _______________________</w:t>
      </w:r>
    </w:p>
    <w:p>
      <w:pPr>
        <w:pStyle w:val="Normal"/>
        <w:ind w:left="708" w:firstLine="1"/>
        <w:rPr/>
      </w:pPr>
      <w:r>
        <w:rPr/>
        <w:t xml:space="preserve"> </w:t>
      </w:r>
      <w:r>
        <w:br w:type="page"/>
      </w:r>
    </w:p>
    <w:p>
      <w:pPr>
        <w:pStyle w:val="Style33"/>
        <w:spacing w:lineRule="auto" w:line="240" w:before="0" w:after="120"/>
        <w:ind w:left="4820" w:hanging="0"/>
        <w:contextualSpacing/>
        <w:jc w:val="center"/>
        <w:rPr/>
      </w:pPr>
      <w:r>
        <w:rPr>
          <w:rFonts w:ascii="Times New Roman" w:hAnsi="Times New Roman"/>
          <w:sz w:val="24"/>
          <w:szCs w:val="24"/>
          <w:lang w:val="uz-Cyrl-UZ" w:eastAsia="en-US"/>
        </w:rPr>
        <w:t>ПРИЛОЖЕНИЕ</w:t>
      </w:r>
    </w:p>
    <w:p>
      <w:pPr>
        <w:pStyle w:val="Style33"/>
        <w:spacing w:lineRule="auto" w:line="240" w:before="0" w:after="0"/>
        <w:ind w:left="4820" w:hanging="0"/>
        <w:contextualSpacing/>
        <w:jc w:val="center"/>
        <w:rPr/>
      </w:pPr>
      <w:r>
        <w:rPr>
          <w:rFonts w:ascii="Times New Roman" w:hAnsi="Times New Roman"/>
          <w:sz w:val="24"/>
          <w:szCs w:val="24"/>
          <w:lang w:val="uz-Cyrl-UZ" w:eastAsia="en-US"/>
        </w:rPr>
        <w:t>УЧРЕДИТЕЛЬНОМУ ДОГОВОРУ</w:t>
      </w:r>
    </w:p>
    <w:p>
      <w:pPr>
        <w:pStyle w:val="Style33"/>
        <w:spacing w:lineRule="auto" w:line="240" w:before="0" w:after="0"/>
        <w:ind w:left="4820" w:hanging="0"/>
        <w:contextualSpacing/>
        <w:jc w:val="center"/>
        <w:rPr/>
      </w:pPr>
      <w:r>
        <w:rPr>
          <w:rFonts w:ascii="Times New Roman" w:hAnsi="Times New Roman"/>
          <w:sz w:val="24"/>
          <w:szCs w:val="24"/>
          <w:lang w:val="uz-Cyrl-UZ" w:eastAsia="en-US"/>
        </w:rPr>
        <w:t xml:space="preserve">КОММАНДИТСКОГО ТОВАРИЩЕСТВА </w:t>
      </w:r>
    </w:p>
    <w:p>
      <w:pPr>
        <w:pStyle w:val="Style33"/>
        <w:spacing w:lineRule="auto" w:line="240" w:before="0" w:after="0"/>
        <w:ind w:left="4820" w:hanging="0"/>
        <w:contextualSpacing/>
        <w:jc w:val="center"/>
        <w:rPr/>
      </w:pPr>
      <w:r>
        <w:rPr>
          <w:rFonts w:ascii="Times New Roman" w:hAnsi="Times New Roman"/>
          <w:sz w:val="24"/>
          <w:szCs w:val="24"/>
          <w:lang w:val="uz-Cyrl-UZ" w:eastAsia="en-US"/>
        </w:rPr>
        <w:t xml:space="preserve">«WAY II MANAGEMENT VA KOMPANIYA KOMMANDIT SHIRKAT» </w:t>
      </w:r>
    </w:p>
    <w:p>
      <w:pPr>
        <w:pStyle w:val="Style33"/>
        <w:spacing w:lineRule="auto" w:line="240" w:before="0" w:after="120"/>
        <w:ind w:left="4820" w:hanging="0"/>
        <w:contextualSpacing/>
        <w:jc w:val="center"/>
        <w:rPr>
          <w:rFonts w:ascii="Times New Roman" w:hAnsi="Times New Roman"/>
          <w:sz w:val="24"/>
          <w:szCs w:val="24"/>
          <w:lang w:val="uz-Cyrl-UZ" w:eastAsia="en-US"/>
        </w:rPr>
      </w:pPr>
      <w:r>
        <w:rPr>
          <w:rFonts w:ascii="Times New Roman" w:hAnsi="Times New Roman"/>
          <w:sz w:val="24"/>
          <w:szCs w:val="24"/>
          <w:lang w:val="uz-Cyrl-UZ" w:eastAsia="en-US"/>
        </w:rPr>
      </w:r>
    </w:p>
    <w:p>
      <w:pPr>
        <w:pStyle w:val="Style33"/>
        <w:spacing w:before="0" w:after="120"/>
        <w:ind w:left="0" w:hanging="0"/>
        <w:contextualSpacing/>
        <w:jc w:val="center"/>
        <w:rPr/>
      </w:pPr>
      <w:bookmarkStart w:id="7" w:name="_Hlk175690173"/>
      <w:bookmarkEnd w:id="7"/>
      <w:r>
        <w:rPr>
          <w:rFonts w:ascii="Times New Roman" w:hAnsi="Times New Roman"/>
          <w:b/>
          <w:bCs/>
          <w:sz w:val="24"/>
          <w:szCs w:val="24"/>
          <w:lang w:val="uz-Cyrl-UZ" w:eastAsia="en-US"/>
        </w:rPr>
        <w:t>НАИМЕНОВАНИЕ ПОЛНЫХ ПАРТНЕРОВ И ВКЛАДЧИКОВ В УСТАВНОМ ФОНДЕ «</w:t>
      </w:r>
      <w:bookmarkStart w:id="8" w:name="_Hlk177468593"/>
      <w:r>
        <w:rPr>
          <w:rFonts w:eastAsia="Arial" w:ascii="Times New Roman" w:hAnsi="Times New Roman"/>
          <w:b/>
          <w:sz w:val="24"/>
          <w:szCs w:val="24"/>
          <w:lang w:val="uz-Cyrl-UZ"/>
        </w:rPr>
        <w:t>WAY II MANAGEMENT VA KOMPANIYA KOMMANDIT SHIRKAT</w:t>
      </w:r>
      <w:bookmarkEnd w:id="8"/>
      <w:r>
        <w:rPr>
          <w:rFonts w:ascii="Times New Roman" w:hAnsi="Times New Roman"/>
          <w:b/>
          <w:bCs/>
          <w:sz w:val="24"/>
          <w:szCs w:val="24"/>
          <w:lang w:val="uz-Cyrl-UZ" w:eastAsia="en-US"/>
        </w:rPr>
        <w:t>» НОМИНАЛЬНАЯ СТОИМОСТЬ И ПРОЦЕНТНОЕ СООТНОШЕНИЕ ИХ ДОЛЕЙ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>
          <w:b/>
          <w:bCs/>
          <w:lang w:val="ru-RU"/>
        </w:rPr>
        <w:t>ВКЛАДЧИКИ</w:t>
      </w:r>
      <w:r>
        <w:rPr>
          <w:b/>
          <w:bCs/>
        </w:rPr>
        <w:t>:</w:t>
      </w:r>
    </w:p>
    <w:tbl>
      <w:tblPr>
        <w:tblW w:w="10422" w:type="dxa"/>
        <w:jc w:val="left"/>
        <w:tblInd w:w="-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03"/>
        <w:gridCol w:w="3686"/>
        <w:gridCol w:w="2489"/>
        <w:gridCol w:w="2126"/>
        <w:gridCol w:w="1418"/>
      </w:tblGrid>
      <w:tr>
        <w:trPr/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120"/>
              <w:jc w:val="center"/>
              <w:rPr/>
            </w:pPr>
            <w:r>
              <w:rPr>
                <w:b/>
              </w:rPr>
              <w:t>№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120"/>
              <w:jc w:val="center"/>
              <w:rPr/>
            </w:pPr>
            <w:r>
              <w:rPr>
                <w:b/>
                <w:bCs/>
                <w:iCs/>
                <w:lang w:val="ru-RU" w:eastAsia="en-US"/>
              </w:rPr>
              <w:t>Наименование вкладчиков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120"/>
              <w:jc w:val="center"/>
              <w:rPr/>
            </w:pPr>
            <w:r>
              <w:rPr>
                <w:b/>
                <w:bCs/>
                <w:iCs/>
                <w:lang w:val="en-US" w:eastAsia="en-US"/>
              </w:rPr>
              <w:t>Денежная стоимость вкладов (</w:t>
            </w:r>
            <w:r>
              <w:rPr>
                <w:b/>
                <w:bCs/>
                <w:iCs/>
                <w:lang w:val="ru-RU" w:eastAsia="en-US"/>
              </w:rPr>
              <w:t>с</w:t>
            </w:r>
            <w:r>
              <w:rPr>
                <w:b/>
                <w:bCs/>
                <w:iCs/>
                <w:lang w:val="en-US" w:eastAsia="en-US"/>
              </w:rPr>
              <w:t>ум)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120"/>
              <w:jc w:val="center"/>
              <w:rPr/>
            </w:pPr>
            <w:r>
              <w:rPr>
                <w:b/>
                <w:bCs/>
                <w:iCs/>
                <w:lang w:val="en-US" w:eastAsia="en-US"/>
              </w:rPr>
              <w:t>Сумма вклада (в процентах)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20"/>
              <w:jc w:val="center"/>
              <w:rPr/>
            </w:pPr>
            <w:r>
              <w:rPr>
                <w:b/>
                <w:lang w:val="ru-RU"/>
              </w:rPr>
              <w:t>Коль-во долей</w:t>
            </w:r>
          </w:p>
        </w:tc>
      </w:tr>
      <w:tr>
        <w:trPr/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Onormal"/>
              <w:widowControl w:val="false"/>
              <w:spacing w:before="0" w:after="120"/>
              <w:rPr/>
            </w:pPr>
            <w:r>
              <w:rPr>
                <w:sz w:val="28"/>
                <w:szCs w:val="28"/>
                <w:highlight w:val="white"/>
              </w:rPr>
              <w:t xml:space="preserve"> 1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highlight w:val="white"/>
              </w:rPr>
              <w:t xml:space="preserve">AAG-2 МЧЖ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highlight w:val="white"/>
              </w:rPr>
              <w:t xml:space="preserve">33950252310</w:t>
            </w:r>
            <w:r>
              <w:rPr>
                <w:sz w:val="28"/>
                <w:szCs w:val="28"/>
                <w:highlight w:val="white"/>
              </w:rPr>
              <w:t/>
            </w:r>
            <w:r>
              <w:rPr>
                <w:highlight w:val="white"/>
              </w:rPr>
              <w:t/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highlight w:val="white"/>
              </w:rPr>
              <w:t xml:space="preserve">97.9381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sz w:val="28"/>
                <w:szCs w:val="28"/>
                <w:highlight w:val="white"/>
                <w:lang w:val="ru-RU"/>
              </w:rPr>
              <w:t/>
            </w:r>
            <w:r>
              <w:rPr>
                <w:highlight w:val="white"/>
                <w:lang w:val="ru-RU"/>
              </w:rPr>
              <w:t xml:space="preserve">489.6906</w:t>
            </w:r>
          </w:p>
        </w:tc>
      </w:tr>
      <w:tr>
        <w:trPr/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Onormal"/>
              <w:widowControl w:val="false"/>
              <w:spacing w:before="0" w:after="120"/>
              <w:rPr/>
            </w:pPr>
            <w:r>
              <w:rPr>
                <w:sz w:val="28"/>
                <w:szCs w:val="28"/>
                <w:highlight w:val="white"/>
              </w:rPr>
              <w:t xml:space="preserve"> 2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highlight w:val="white"/>
              </w:rPr>
              <w:t xml:space="preserve">JAVOXIR SAYDAXMATOV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highlight w:val="white"/>
              </w:rPr>
              <w:t xml:space="preserve">83196000</w:t>
            </w:r>
            <w:r>
              <w:rPr>
                <w:sz w:val="28"/>
                <w:szCs w:val="28"/>
                <w:highlight w:val="white"/>
              </w:rPr>
              <w:t/>
            </w:r>
            <w:r>
              <w:rPr>
                <w:highlight w:val="white"/>
              </w:rPr>
              <w:t/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highlight w:val="white"/>
              </w:rPr>
              <w:t xml:space="preserve">0.2400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sz w:val="28"/>
                <w:szCs w:val="28"/>
                <w:highlight w:val="white"/>
                <w:lang w:val="ru-RU"/>
              </w:rPr>
              <w:t/>
            </w:r>
            <w:r>
              <w:rPr>
                <w:highlight w:val="white"/>
                <w:lang w:val="ru-RU"/>
              </w:rPr>
              <w:t xml:space="preserve">0</w:t>
            </w:r>
          </w:p>
        </w:tc>
      </w:tr>
      <w:tr>
        <w:trPr/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Onormal"/>
              <w:widowControl w:val="false"/>
              <w:spacing w:before="0" w:after="120"/>
              <w:rPr/>
            </w:pPr>
            <w:r>
              <w:rPr>
                <w:sz w:val="28"/>
                <w:szCs w:val="28"/>
                <w:highlight w:val="white"/>
              </w:rPr>
              <w:t xml:space="preserve"> 3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highlight w:val="white"/>
              </w:rPr>
              <w:t xml:space="preserve">MIRBOSIT QOBILOV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highlight w:val="white"/>
              </w:rPr>
              <w:t xml:space="preserve">4440986.5</w:t>
            </w:r>
            <w:r>
              <w:rPr>
                <w:sz w:val="28"/>
                <w:szCs w:val="28"/>
                <w:highlight w:val="white"/>
              </w:rPr>
              <w:t/>
            </w:r>
            <w:r>
              <w:rPr>
                <w:highlight w:val="white"/>
              </w:rPr>
              <w:t/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highlight w:val="white"/>
              </w:rPr>
              <w:t xml:space="preserve">0.1534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sz w:val="28"/>
                <w:szCs w:val="28"/>
                <w:highlight w:val="white"/>
                <w:lang w:val="ru-RU"/>
              </w:rPr>
              <w:t/>
            </w:r>
            <w:r>
              <w:rPr>
                <w:highlight w:val="white"/>
                <w:lang w:val="ru-RU"/>
              </w:rPr>
              <w:t xml:space="preserve">1.9630</w:t>
            </w:r>
          </w:p>
        </w:tc>
      </w:tr>
      <w:tr>
        <w:trPr/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Onormal"/>
              <w:widowControl w:val="false"/>
              <w:spacing w:before="0" w:after="120"/>
              <w:rPr/>
            </w:pPr>
            <w:r>
              <w:rPr>
                <w:sz w:val="28"/>
                <w:szCs w:val="28"/>
                <w:highlight w:val="white"/>
              </w:rPr>
              <w:t xml:space="preserve"> 4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highlight w:val="white"/>
              </w:rPr>
              <w:t xml:space="preserve">ASADBEK BAHODIROV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highlight w:val="white"/>
              </w:rPr>
              <w:t xml:space="preserve">563375580</w:t>
            </w:r>
            <w:r>
              <w:rPr>
                <w:sz w:val="28"/>
                <w:szCs w:val="28"/>
                <w:highlight w:val="white"/>
              </w:rPr>
              <w:t/>
            </w:r>
            <w:r>
              <w:rPr>
                <w:highlight w:val="white"/>
              </w:rPr>
              <w:t/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highlight w:val="white"/>
              </w:rPr>
              <w:t xml:space="preserve">1.6252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sz w:val="28"/>
                <w:szCs w:val="28"/>
                <w:highlight w:val="white"/>
                <w:lang w:val="ru-RU"/>
              </w:rPr>
              <w:t/>
            </w:r>
            <w:r>
              <w:rPr>
                <w:highlight w:val="white"/>
                <w:lang w:val="ru-RU"/>
              </w:rPr>
              <w:t xml:space="preserve">12.26</w:t>
            </w:r>
          </w:p>
        </w:tc>
      </w:tr>
      <w:tr>
        <w:trPr/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Onormal"/>
              <w:widowControl w:val="false"/>
              <w:spacing w:before="0" w:after="120"/>
              <w:rPr/>
            </w:pPr>
            <w:r>
              <w:rPr>
                <w:sz w:val="28"/>
                <w:szCs w:val="28"/>
                <w:highlight w:val="white"/>
              </w:rPr>
              <w:t xml:space="preserve"> 5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highlight w:val="white"/>
              </w:rPr>
              <w:t xml:space="preserve">BEKZOD AKBARALIYEV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highlight w:val="white"/>
              </w:rPr>
              <w:t xml:space="preserve">15000000</w:t>
            </w:r>
            <w:r>
              <w:rPr>
                <w:sz w:val="28"/>
                <w:szCs w:val="28"/>
                <w:highlight w:val="white"/>
              </w:rPr>
              <w:t/>
            </w:r>
            <w:r>
              <w:rPr>
                <w:highlight w:val="white"/>
              </w:rPr>
              <w:t/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highlight w:val="white"/>
              </w:rPr>
              <w:t xml:space="preserve">0.0433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sz w:val="28"/>
                <w:szCs w:val="28"/>
                <w:highlight w:val="white"/>
                <w:lang w:val="ru-RU"/>
              </w:rPr>
              <w:t/>
            </w:r>
            <w:r>
              <w:rPr>
                <w:highlight w:val="white"/>
                <w:lang w:val="ru-RU"/>
              </w:rPr>
              <w:t xml:space="preserve">0.2164</w:t>
            </w:r>
          </w:p>
        </w:tc>
      </w:tr>
      <w:tr>
        <w:trPr/>
        <w:tc>
          <w:tcPr>
            <w:tcW w:w="43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20"/>
              <w:jc w:val="right"/>
              <w:rPr/>
            </w:pPr>
            <w:bookmarkStart w:id="9" w:name="_35nkun2"/>
            <w:bookmarkEnd w:id="9"/>
            <w:r>
              <w:rPr>
                <w:b/>
                <w:bCs/>
                <w:iCs/>
                <w:lang w:val="ru-RU" w:eastAsia="en-US"/>
              </w:rPr>
              <w:t>Итого</w:t>
            </w:r>
            <w:r>
              <w:rPr>
                <w:b/>
                <w:bCs/>
                <w:iCs/>
                <w:lang w:val="en-US" w:eastAsia="en-US"/>
              </w:rPr>
              <w:t>: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highlight w:val="white"/>
              </w:rPr>
              <w:t xml:space="preserve">34665000000</w:t>
            </w:r>
            <w:r>
              <w:rPr>
                <w:sz w:val="28"/>
                <w:szCs w:val="28"/>
                <w:highlight w:val="white"/>
              </w:rPr>
              <w:t/>
            </w:r>
            <w:r>
              <w:rPr>
                <w:highlight w:val="white"/>
              </w:rPr>
              <w:t/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highlight w:val="white"/>
              </w:rPr>
              <w:t xml:space="preserve">100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before="0" w:after="120"/>
              <w:rPr/>
            </w:pPr>
            <w:r>
              <w:rPr>
                <w:highlight w:val="white"/>
                <w:lang w:val="ru-RU"/>
              </w:rPr>
              <w:t xml:space="preserve">500</w:t>
            </w:r>
          </w:p>
        </w:tc>
      </w:tr>
    </w:tbl>
    <w:p>
      <w:pPr>
        <w:pStyle w:val="Normal"/>
        <w:spacing w:before="0" w:after="120"/>
        <w:ind w:firstLine="709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120"/>
        <w:ind w:firstLine="709"/>
        <w:rPr/>
      </w:pPr>
      <w:r>
        <w:rPr>
          <w:b/>
          <w:bCs/>
          <w:lang w:val="ru-RU"/>
        </w:rPr>
        <w:t>Полные партнеры</w:t>
      </w:r>
      <w:r>
        <w:rPr>
          <w:b/>
          <w:bCs/>
        </w:rPr>
        <w:t xml:space="preserve">: </w:t>
      </w:r>
    </w:p>
    <w:p>
      <w:pPr>
        <w:pStyle w:val="Normal"/>
        <w:ind w:firstLine="709"/>
        <w:rPr/>
      </w:pPr>
      <w:r>
        <w:rPr>
          <w:rFonts w:eastAsia="Arial"/>
          <w:lang w:val="ru-RU"/>
        </w:rPr>
        <w:t>Директор</w:t>
      </w:r>
      <w:r>
        <w:rPr>
          <w:rFonts w:eastAsia="Arial"/>
          <w:lang w:val="en-US"/>
        </w:rPr>
        <w:t xml:space="preserve"> </w:t>
      </w:r>
      <w:r>
        <w:rPr>
          <w:rFonts w:eastAsia="Arial"/>
          <w:lang w:val="ru-RU"/>
        </w:rPr>
        <w:t>ООО</w:t>
      </w:r>
      <w:r>
        <w:rPr>
          <w:rFonts w:eastAsia="Arial"/>
          <w:lang w:val="en-US"/>
        </w:rPr>
        <w:t xml:space="preserve"> «</w:t>
      </w:r>
      <w:r>
        <w:rPr>
          <w:rFonts w:eastAsia="Arial"/>
        </w:rPr>
        <w:t>Way II Management</w:t>
      </w:r>
      <w:r>
        <w:rPr>
          <w:rFonts w:eastAsia="Arial"/>
          <w:lang w:val="en-US"/>
        </w:rPr>
        <w:t>»</w:t>
      </w:r>
      <w:r>
        <w:rPr>
          <w:rFonts w:eastAsia="Arial"/>
        </w:rPr>
        <w:t xml:space="preserve"> </w:t>
      </w:r>
    </w:p>
    <w:p>
      <w:pPr>
        <w:pStyle w:val="Normal"/>
        <w:ind w:firstLine="709"/>
        <w:rPr/>
      </w:pPr>
      <w:r>
        <w:rPr>
          <w:rFonts w:eastAsia="Arial"/>
        </w:rPr>
        <w:t xml:space="preserve">Касимходжаев Азиз Анварович  </w:t>
      </w:r>
      <w:r>
        <w:rPr>
          <w:rFonts w:eastAsia="Arial"/>
          <w:lang w:val="ru-RU"/>
        </w:rPr>
        <w:t>_______________________</w:t>
      </w:r>
    </w:p>
    <w:p>
      <w:pPr>
        <w:pStyle w:val="Normal"/>
        <w:spacing w:before="0" w:after="120"/>
        <w:ind w:firstLine="709"/>
        <w:rPr>
          <w:rFonts w:eastAsia="Arial"/>
          <w:b/>
          <w:b/>
          <w:bCs/>
          <w:lang w:val="ru-RU"/>
        </w:rPr>
      </w:pPr>
      <w:r>
        <w:rPr>
          <w:rFonts w:eastAsia="Arial"/>
          <w:b/>
          <w:bCs/>
          <w:lang w:val="ru-RU"/>
        </w:rPr>
      </w:r>
    </w:p>
    <w:p>
      <w:pPr>
        <w:pStyle w:val="Normal"/>
        <w:ind w:firstLine="709"/>
        <w:rPr/>
      </w:pPr>
      <w:r>
        <w:rPr>
          <w:rFonts w:eastAsia="Arial"/>
          <w:lang w:val="ru-RU"/>
        </w:rPr>
        <w:t>Директор ООО «</w:t>
      </w:r>
      <w:r>
        <w:rPr>
          <w:rFonts w:eastAsia="Arial"/>
        </w:rPr>
        <w:t>WAY TECHNO</w:t>
      </w:r>
      <w:r>
        <w:rPr>
          <w:rFonts w:eastAsia="Arial"/>
          <w:lang w:val="ru-RU"/>
        </w:rPr>
        <w:t>»</w:t>
      </w:r>
    </w:p>
    <w:p>
      <w:pPr>
        <w:pStyle w:val="Normal"/>
        <w:ind w:left="708" w:firstLine="1"/>
        <w:rPr/>
      </w:pPr>
      <w:r>
        <w:rPr>
          <w:rFonts w:eastAsia="Arial"/>
        </w:rPr>
        <w:t xml:space="preserve">Зокиров Темур Алишер </w:t>
      </w:r>
      <w:r>
        <w:rPr>
          <w:rFonts w:eastAsia="Arial"/>
          <w:lang w:val="ru-RU"/>
        </w:rPr>
        <w:t>углы</w:t>
      </w:r>
      <w:r>
        <w:rPr>
          <w:rFonts w:eastAsia="Arial"/>
        </w:rPr>
        <w:t xml:space="preserve">                        _______________________</w:t>
      </w:r>
    </w:p>
    <w:p>
      <w:pPr>
        <w:pStyle w:val="Normal"/>
        <w:spacing w:before="0" w:after="120"/>
        <w:rPr/>
      </w:pPr>
      <w:r>
        <w:rPr/>
      </w:r>
    </w:p>
    <w:sectPr>
      <w:headerReference w:type="default" r:id="rId2"/>
      <w:type w:val="nextPage"/>
      <w:pgSz w:w="11906" w:h="16838"/>
      <w:pgMar w:left="1418" w:right="851" w:gutter="0" w:header="709" w:top="851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AntiquaUz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_Journ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upperRoman"/>
      <w:suff w:val="space"/>
      <w:lvlText w:val="%1."/>
      <w:lvlJc w:val="right"/>
      <w:pPr>
        <w:tabs>
          <w:tab w:val="num" w:pos="0"/>
        </w:tabs>
        <w:ind w:left="720" w:hanging="360"/>
      </w:pPr>
      <w:rPr>
        <w:b/>
        <w:bCs w:val="fals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>
        <w:b w:val="false"/>
        <w:bCs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  <w:rPr>
        <w:b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  <w:rPr>
        <w:b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>
        <w:b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uz-Cyrl-UZ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>
      <w:rFonts w:ascii="Symbol" w:hAnsi="Symbol" w:cs="Symbol"/>
    </w:rPr>
  </w:style>
  <w:style w:type="character" w:styleId="WW8Num2z0" w:customStyle="1">
    <w:name w:val="WW8Num2z0"/>
    <w:qFormat/>
    <w:rPr>
      <w:rFonts w:ascii="Symbol" w:hAnsi="Symbol" w:cs="Symbol"/>
    </w:rPr>
  </w:style>
  <w:style w:type="character" w:styleId="WW8Num2z1" w:customStyle="1">
    <w:name w:val="WW8Num2z1"/>
    <w:qFormat/>
    <w:rPr>
      <w:rFonts w:ascii="Courier New" w:hAnsi="Courier New" w:cs="Courier New"/>
    </w:rPr>
  </w:style>
  <w:style w:type="character" w:styleId="WW8Num2z2" w:customStyle="1">
    <w:name w:val="WW8Num2z2"/>
    <w:qFormat/>
    <w:rPr>
      <w:rFonts w:ascii="Wingdings" w:hAnsi="Wingdings" w:cs="Wingdings"/>
    </w:rPr>
  </w:style>
  <w:style w:type="character" w:styleId="WW8Num3z0" w:customStyle="1">
    <w:name w:val="WW8Num3z0"/>
    <w:qFormat/>
    <w:rPr/>
  </w:style>
  <w:style w:type="character" w:styleId="WW8Num3z1" w:customStyle="1">
    <w:name w:val="WW8Num3z1"/>
    <w:qFormat/>
    <w:rPr>
      <w:sz w:val="26"/>
      <w:szCs w:val="26"/>
    </w:rPr>
  </w:style>
  <w:style w:type="character" w:styleId="WW8Num4z0" w:customStyle="1">
    <w:name w:val="WW8Num4z0"/>
    <w:qFormat/>
    <w:rPr>
      <w:b/>
      <w:bCs w:val="false"/>
    </w:rPr>
  </w:style>
  <w:style w:type="character" w:styleId="WW8Num4z1" w:customStyle="1">
    <w:name w:val="WW8Num4z1"/>
    <w:qFormat/>
    <w:rPr>
      <w:b w:val="false"/>
      <w:bCs/>
      <w:color w:val="000000"/>
    </w:rPr>
  </w:style>
  <w:style w:type="character" w:styleId="WW8Num4z2" w:customStyle="1">
    <w:name w:val="WW8Num4z2"/>
    <w:qFormat/>
    <w:rPr>
      <w:b/>
    </w:rPr>
  </w:style>
  <w:style w:type="character" w:styleId="WW8Num5z0" w:customStyle="1">
    <w:name w:val="WW8Num5z0"/>
    <w:qFormat/>
    <w:rPr>
      <w:u w:val="none"/>
    </w:rPr>
  </w:style>
  <w:style w:type="character" w:styleId="WW8Num6z0" w:customStyle="1">
    <w:name w:val="WW8Num6z0"/>
    <w:qFormat/>
    <w:rPr>
      <w:rFonts w:ascii="Times New Roman" w:hAnsi="Times New Roman" w:cs="Times New Roman"/>
    </w:rPr>
  </w:style>
  <w:style w:type="character" w:styleId="WW8Num6z1" w:customStyle="1">
    <w:name w:val="WW8Num6z1"/>
    <w:qFormat/>
    <w:rPr>
      <w:b w:val="false"/>
      <w:bCs w:val="false"/>
    </w:rPr>
  </w:style>
  <w:style w:type="character" w:styleId="WW8Num6z3" w:customStyle="1">
    <w:name w:val="WW8Num6z3"/>
    <w:qFormat/>
    <w:rPr/>
  </w:style>
  <w:style w:type="character" w:styleId="WW8Num7z0" w:customStyle="1">
    <w:name w:val="WW8Num7z0"/>
    <w:qFormat/>
    <w:rPr>
      <w:u w:val="none"/>
    </w:rPr>
  </w:style>
  <w:style w:type="character" w:styleId="WW8Num10z0" w:customStyle="1">
    <w:name w:val="WW8Num10z0"/>
    <w:qFormat/>
    <w:rPr>
      <w:u w:val="none"/>
    </w:rPr>
  </w:style>
  <w:style w:type="character" w:styleId="WW8Num11z0" w:customStyle="1">
    <w:name w:val="WW8Num11z0"/>
    <w:qFormat/>
    <w:rPr>
      <w:rFonts w:ascii="Symbol" w:hAnsi="Symbol" w:cs="Symbol"/>
    </w:rPr>
  </w:style>
  <w:style w:type="character" w:styleId="WW8Num11z1" w:customStyle="1">
    <w:name w:val="WW8Num11z1"/>
    <w:qFormat/>
    <w:rPr>
      <w:rFonts w:ascii="Courier New" w:hAnsi="Courier New" w:cs="Courier New"/>
    </w:rPr>
  </w:style>
  <w:style w:type="character" w:styleId="WW8Num11z2" w:customStyle="1">
    <w:name w:val="WW8Num11z2"/>
    <w:qFormat/>
    <w:rPr>
      <w:rFonts w:ascii="Wingdings" w:hAnsi="Wingdings" w:cs="Wingdings"/>
    </w:rPr>
  </w:style>
  <w:style w:type="character" w:styleId="WW8Num12z0" w:customStyle="1">
    <w:name w:val="WW8Num12z0"/>
    <w:qFormat/>
    <w:rPr/>
  </w:style>
  <w:style w:type="character" w:styleId="WW8Num13z0" w:customStyle="1">
    <w:name w:val="WW8Num13z0"/>
    <w:qFormat/>
    <w:rPr>
      <w:u w:val="none"/>
    </w:rPr>
  </w:style>
  <w:style w:type="character" w:styleId="Style14" w:customStyle="1">
    <w:name w:val="Основной шрифт абзаца"/>
    <w:qFormat/>
    <w:rPr/>
  </w:style>
  <w:style w:type="character" w:styleId="Style15" w:customStyle="1">
    <w:name w:val="Основной текст Знак"/>
    <w:qFormat/>
    <w:rPr>
      <w:rFonts w:ascii="Times New Roman" w:hAnsi="Times New Roman" w:eastAsia="Times New Roman" w:cs="Times New Roman"/>
      <w:sz w:val="24"/>
      <w:szCs w:val="24"/>
      <w:lang w:val="uz-Cyrl-UZ"/>
    </w:rPr>
  </w:style>
  <w:style w:type="character" w:styleId="Style16" w:customStyle="1">
    <w:name w:val="Дата Знак"/>
    <w:qFormat/>
    <w:rPr>
      <w:rFonts w:ascii="AntiquaUz" w:hAnsi="AntiquaUz" w:eastAsia="Times New Roman" w:cs="AntiquaUz"/>
      <w:sz w:val="20"/>
      <w:szCs w:val="20"/>
    </w:rPr>
  </w:style>
  <w:style w:type="character" w:styleId="Style17" w:customStyle="1">
    <w:name w:val="Подпись Знак"/>
    <w:qFormat/>
    <w:rPr>
      <w:rFonts w:ascii="AntiquaUz" w:hAnsi="AntiquaUz" w:eastAsia="Times New Roman" w:cs="AntiquaUz"/>
      <w:b/>
      <w:bCs/>
    </w:rPr>
  </w:style>
  <w:style w:type="character" w:styleId="Style18" w:customStyle="1">
    <w:name w:val="Текст выноски Знак"/>
    <w:qFormat/>
    <w:rPr>
      <w:rFonts w:ascii="Segoe UI" w:hAnsi="Segoe UI" w:eastAsia="Times New Roman" w:cs="Segoe UI"/>
      <w:sz w:val="18"/>
      <w:szCs w:val="18"/>
      <w:lang w:val="uz-Cyrl-UZ"/>
    </w:rPr>
  </w:style>
  <w:style w:type="character" w:styleId="2" w:customStyle="1">
    <w:name w:val="Основной текст с отступом 2 Знак"/>
    <w:qFormat/>
    <w:rPr>
      <w:rFonts w:ascii="Times New Roman" w:hAnsi="Times New Roman" w:eastAsia="Times New Roman" w:cs="Times New Roman"/>
      <w:sz w:val="24"/>
      <w:szCs w:val="24"/>
      <w:lang w:val="uz-Cyrl-UZ"/>
    </w:rPr>
  </w:style>
  <w:style w:type="character" w:styleId="Normaltextrun" w:customStyle="1">
    <w:name w:val="normaltextrun"/>
    <w:basedOn w:val="Style14"/>
    <w:qFormat/>
    <w:rPr/>
  </w:style>
  <w:style w:type="character" w:styleId="InternetLink">
    <w:name w:val="Hyperlink"/>
    <w:rPr>
      <w:color w:val="0000FF"/>
      <w:u w:val="single"/>
    </w:rPr>
  </w:style>
  <w:style w:type="character" w:styleId="Exact" w:customStyle="1">
    <w:name w:val="Основной текст Exact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1"/>
      <w:w w:val="100"/>
      <w:position w:val="0"/>
      <w:sz w:val="20"/>
      <w:sz w:val="20"/>
      <w:szCs w:val="20"/>
      <w:u w:val="none"/>
      <w:vertAlign w:val="baseline"/>
    </w:rPr>
  </w:style>
  <w:style w:type="character" w:styleId="5Exact" w:customStyle="1">
    <w:name w:val="Основной текст (5) Exact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2"/>
      <w:w w:val="100"/>
      <w:position w:val="0"/>
      <w:sz w:val="20"/>
      <w:sz w:val="20"/>
      <w:szCs w:val="20"/>
      <w:u w:val="none"/>
      <w:vertAlign w:val="baseline"/>
      <w:lang w:val="ru-RU"/>
    </w:rPr>
  </w:style>
  <w:style w:type="character" w:styleId="Style19" w:customStyle="1">
    <w:name w:val="Верхний колонтитул Знак"/>
    <w:qFormat/>
    <w:rPr>
      <w:rFonts w:ascii="Times New Roman" w:hAnsi="Times New Roman" w:eastAsia="Times New Roman" w:cs="Times New Roman"/>
      <w:sz w:val="24"/>
      <w:szCs w:val="24"/>
      <w:lang w:val="uz-Cyrl-UZ"/>
    </w:rPr>
  </w:style>
  <w:style w:type="character" w:styleId="Style20" w:customStyle="1">
    <w:name w:val="Нижний колонтитул Знак"/>
    <w:qFormat/>
    <w:rPr>
      <w:rFonts w:ascii="Times New Roman" w:hAnsi="Times New Roman" w:eastAsia="Times New Roman" w:cs="Times New Roman"/>
      <w:sz w:val="24"/>
      <w:szCs w:val="24"/>
      <w:lang w:val="uz-Cyrl-UZ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overflowPunct w:val="true"/>
      <w:ind w:left="283" w:hanging="283"/>
      <w:textAlignment w:val="baseline"/>
    </w:pPr>
    <w:rPr>
      <w:rFonts w:ascii="U_Journ" w:hAnsi="U_Journ" w:eastAsia="MS Mincho" w:cs="U_Journ"/>
      <w:sz w:val="28"/>
      <w:szCs w:val="28"/>
      <w:lang w:val="ru-RU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Style21" w:customStyle="1">
    <w:name w:val="Содержание"/>
    <w:basedOn w:val="TextBody"/>
    <w:qFormat/>
    <w:pPr>
      <w:spacing w:before="0" w:after="113"/>
      <w:ind w:left="425" w:hanging="425"/>
      <w:jc w:val="both"/>
    </w:pPr>
    <w:rPr>
      <w:rFonts w:ascii="AntiquaUz" w:hAnsi="AntiquaUz" w:cs="AntiquaUz"/>
      <w:sz w:val="22"/>
      <w:szCs w:val="22"/>
      <w:lang w:val="ru-RU"/>
    </w:rPr>
  </w:style>
  <w:style w:type="paragraph" w:styleId="Style22" w:customStyle="1">
    <w:name w:val="По центру"/>
    <w:basedOn w:val="TextBody"/>
    <w:qFormat/>
    <w:pPr>
      <w:spacing w:before="0" w:after="283"/>
      <w:jc w:val="center"/>
    </w:pPr>
    <w:rPr>
      <w:rFonts w:ascii="AntiquaUz" w:hAnsi="AntiquaUz" w:cs="AntiquaUz"/>
      <w:b/>
      <w:bCs/>
      <w:lang w:val="ru-RU"/>
    </w:rPr>
  </w:style>
  <w:style w:type="paragraph" w:styleId="Style23" w:customStyle="1">
    <w:name w:val="Название док-та"/>
    <w:qFormat/>
    <w:pPr>
      <w:widowControl/>
      <w:tabs>
        <w:tab w:val="clear" w:pos="708"/>
        <w:tab w:val="left" w:pos="1134" w:leader="none"/>
      </w:tabs>
      <w:suppressAutoHyphens w:val="true"/>
      <w:bidi w:val="0"/>
      <w:spacing w:lineRule="atLeast" w:line="264" w:before="0" w:after="340"/>
      <w:jc w:val="both"/>
    </w:pPr>
    <w:rPr>
      <w:rFonts w:ascii="AntiquaUz" w:hAnsi="AntiquaUz" w:cs="AntiquaUz" w:eastAsia="Times New Roman"/>
      <w:b/>
      <w:bCs/>
      <w:color w:val="auto"/>
      <w:kern w:val="0"/>
      <w:sz w:val="24"/>
      <w:szCs w:val="24"/>
      <w:lang w:val="ru-RU" w:eastAsia="zh-CN" w:bidi="ar-SA"/>
    </w:rPr>
  </w:style>
  <w:style w:type="paragraph" w:styleId="8" w:customStyle="1">
    <w:name w:val="по центру 8"/>
    <w:basedOn w:val="TextBody"/>
    <w:qFormat/>
    <w:pPr>
      <w:spacing w:before="283" w:after="283"/>
      <w:jc w:val="center"/>
    </w:pPr>
    <w:rPr>
      <w:rFonts w:ascii="AntiquaUz" w:hAnsi="AntiquaUz" w:cs="AntiquaUz"/>
      <w:b/>
      <w:bCs/>
      <w:sz w:val="22"/>
      <w:szCs w:val="22"/>
      <w:lang w:val="ru-RU"/>
    </w:rPr>
  </w:style>
  <w:style w:type="paragraph" w:styleId="Style24" w:customStyle="1">
    <w:name w:val="Дата"/>
    <w:basedOn w:val="TextBody"/>
    <w:next w:val="Normal"/>
    <w:qFormat/>
    <w:pPr>
      <w:spacing w:lineRule="atLeast" w:line="230" w:before="227" w:after="0"/>
      <w:ind w:left="425" w:right="5102" w:hanging="0"/>
      <w:jc w:val="center"/>
    </w:pPr>
    <w:rPr>
      <w:rFonts w:ascii="AntiquaUz" w:hAnsi="AntiquaUz" w:cs="AntiquaUz"/>
      <w:sz w:val="20"/>
      <w:szCs w:val="20"/>
      <w:lang w:val="ru-RU"/>
    </w:rPr>
  </w:style>
  <w:style w:type="paragraph" w:styleId="Signature">
    <w:name w:val="Signature"/>
    <w:basedOn w:val="TextBody"/>
    <w:pPr>
      <w:spacing w:before="340" w:after="0"/>
      <w:ind w:left="425" w:hanging="0"/>
    </w:pPr>
    <w:rPr>
      <w:rFonts w:ascii="AntiquaUz" w:hAnsi="AntiquaUz" w:cs="AntiquaUz"/>
      <w:b/>
      <w:bCs/>
      <w:sz w:val="22"/>
      <w:szCs w:val="22"/>
      <w:lang w:val="ru-RU"/>
    </w:rPr>
  </w:style>
  <w:style w:type="paragraph" w:styleId="Style25" w:customStyle="1">
    <w:name w:val="Название документа"/>
    <w:qFormat/>
    <w:pPr>
      <w:widowControl/>
      <w:tabs>
        <w:tab w:val="clear" w:pos="708"/>
        <w:tab w:val="left" w:pos="1134" w:leader="none"/>
      </w:tabs>
      <w:suppressAutoHyphens w:val="true"/>
      <w:bidi w:val="0"/>
      <w:spacing w:lineRule="atLeast" w:line="264" w:before="0" w:after="340"/>
      <w:ind w:left="1134" w:hanging="1134"/>
      <w:jc w:val="both"/>
    </w:pPr>
    <w:rPr>
      <w:rFonts w:ascii="AntiquaUz" w:hAnsi="AntiquaUz" w:cs="AntiquaUz" w:eastAsia="Times New Roman"/>
      <w:b/>
      <w:bCs/>
      <w:color w:val="auto"/>
      <w:kern w:val="0"/>
      <w:sz w:val="24"/>
      <w:szCs w:val="24"/>
      <w:lang w:val="ru-RU" w:eastAsia="zh-CN" w:bidi="ar-SA"/>
    </w:rPr>
  </w:style>
  <w:style w:type="paragraph" w:styleId="Style26" w:customStyle="1">
    <w:name w:val="Тип документа"/>
    <w:basedOn w:val="TextBody"/>
    <w:qFormat/>
    <w:pPr>
      <w:spacing w:before="0" w:after="0"/>
      <w:jc w:val="center"/>
    </w:pPr>
    <w:rPr>
      <w:rFonts w:ascii="AntiquaUz" w:hAnsi="AntiquaUz" w:cs="AntiquaUz"/>
      <w:caps/>
      <w:sz w:val="22"/>
      <w:szCs w:val="22"/>
      <w:lang w:val="ru-RU"/>
    </w:rPr>
  </w:style>
  <w:style w:type="paragraph" w:styleId="Style27" w:customStyle="1">
    <w:name w:val="Приложение"/>
    <w:basedOn w:val="TextBody"/>
    <w:qFormat/>
    <w:pPr>
      <w:keepLines/>
      <w:spacing w:before="454" w:after="0"/>
      <w:ind w:left="3402" w:hanging="0"/>
      <w:jc w:val="center"/>
    </w:pPr>
    <w:rPr>
      <w:rFonts w:ascii="AntiquaUz" w:hAnsi="AntiquaUz" w:cs="AntiquaUz"/>
      <w:sz w:val="20"/>
      <w:szCs w:val="20"/>
      <w:lang w:val="ru-RU"/>
    </w:rPr>
  </w:style>
  <w:style w:type="paragraph" w:styleId="Style28" w:customStyle="1">
    <w:name w:val="Подпись (копия)"/>
    <w:basedOn w:val="TextBody"/>
    <w:qFormat/>
    <w:pPr>
      <w:spacing w:before="340" w:after="0"/>
      <w:ind w:left="425" w:hanging="0"/>
    </w:pPr>
    <w:rPr>
      <w:rFonts w:ascii="AntiquaUz" w:hAnsi="AntiquaUz" w:cs="AntiquaUz"/>
      <w:b/>
      <w:bCs/>
      <w:i/>
      <w:iCs/>
      <w:sz w:val="22"/>
      <w:szCs w:val="22"/>
      <w:lang w:val="ru-RU"/>
    </w:rPr>
  </w:style>
  <w:style w:type="paragraph" w:styleId="Style29" w:customStyle="1">
    <w:name w:val="Регистрационный"/>
    <w:basedOn w:val="TextBody"/>
    <w:qFormat/>
    <w:pPr>
      <w:spacing w:before="0" w:after="170"/>
      <w:ind w:left="57" w:right="57" w:firstLine="425"/>
      <w:jc w:val="both"/>
    </w:pPr>
    <w:rPr>
      <w:rFonts w:ascii="AntiquaUz" w:hAnsi="AntiquaUz" w:cs="AntiquaUz"/>
      <w:b/>
      <w:bCs/>
      <w:i/>
      <w:iCs/>
      <w:sz w:val="22"/>
      <w:szCs w:val="22"/>
      <w:lang w:val="ru-RU"/>
    </w:rPr>
  </w:style>
  <w:style w:type="paragraph" w:styleId="1" w:customStyle="1">
    <w:name w:val="Приложение 1"/>
    <w:basedOn w:val="TextBody"/>
    <w:qFormat/>
    <w:pPr>
      <w:keepLines/>
      <w:spacing w:lineRule="atLeast" w:line="240" w:before="0" w:after="283"/>
      <w:ind w:left="3969" w:hanging="0"/>
    </w:pPr>
    <w:rPr>
      <w:rFonts w:ascii="AntiquaUz" w:hAnsi="AntiquaUz" w:cs="AntiquaUz"/>
      <w:sz w:val="20"/>
      <w:szCs w:val="20"/>
      <w:lang w:val="ru-RU"/>
    </w:rPr>
  </w:style>
  <w:style w:type="paragraph" w:styleId="Style30" w:customStyle="1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paragraph" w:styleId="Style31" w:customStyle="1">
    <w:name w:val="Обычный отступ"/>
    <w:basedOn w:val="Normal"/>
    <w:qFormat/>
    <w:pPr>
      <w:ind w:left="720" w:hanging="0"/>
    </w:pPr>
    <w:rPr>
      <w:rFonts w:eastAsia="MS Mincho"/>
      <w:sz w:val="20"/>
      <w:szCs w:val="20"/>
      <w:lang w:val="ru-RU"/>
    </w:rPr>
  </w:style>
  <w:style w:type="paragraph" w:styleId="21" w:customStyle="1">
    <w:name w:val="Маркированный список 2"/>
    <w:basedOn w:val="Normal"/>
    <w:qFormat/>
    <w:pPr>
      <w:spacing w:before="0" w:after="120"/>
      <w:jc w:val="both"/>
    </w:pPr>
    <w:rPr>
      <w:rFonts w:eastAsia="MS Mincho"/>
      <w:spacing w:val="-5"/>
      <w:sz w:val="21"/>
      <w:szCs w:val="21"/>
      <w:lang w:val="ru-RU" w:eastAsia="en-US"/>
    </w:rPr>
  </w:style>
  <w:style w:type="paragraph" w:styleId="4" w:customStyle="1">
    <w:name w:val="Маркированный список 4"/>
    <w:basedOn w:val="Normal"/>
    <w:qFormat/>
    <w:pPr>
      <w:numPr>
        <w:ilvl w:val="0"/>
        <w:numId w:val="1"/>
      </w:numPr>
      <w:spacing w:before="0" w:after="0"/>
      <w:contextualSpacing/>
    </w:pPr>
    <w:rPr/>
  </w:style>
  <w:style w:type="paragraph" w:styleId="Style32" w:customStyle="1">
    <w:name w:val="Рецензия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uz-Cyrl-UZ" w:eastAsia="zh-CN" w:bidi="ar-SA"/>
    </w:rPr>
  </w:style>
  <w:style w:type="paragraph" w:styleId="22" w:customStyle="1">
    <w:name w:val="Основной текст с отступом 2"/>
    <w:basedOn w:val="Normal"/>
    <w:qFormat/>
    <w:pPr>
      <w:spacing w:lineRule="auto" w:line="480" w:before="0" w:after="120"/>
      <w:ind w:left="283" w:hanging="0"/>
    </w:pPr>
    <w:rPr/>
  </w:style>
  <w:style w:type="paragraph" w:styleId="Style33" w:customStyle="1">
    <w:name w:val="Абзац списка"/>
    <w:basedOn w:val="Normal"/>
    <w:qFormat/>
    <w:pPr>
      <w:spacing w:lineRule="auto" w:line="254" w:before="0" w:after="160"/>
      <w:ind w:left="720" w:hanging="0"/>
      <w:contextualSpacing/>
    </w:pPr>
    <w:rPr>
      <w:rFonts w:ascii="Calibri" w:hAnsi="Calibri" w:eastAsia="Calibri"/>
      <w:sz w:val="22"/>
      <w:szCs w:val="22"/>
      <w:lang w:val="ru-RU"/>
    </w:rPr>
  </w:style>
  <w:style w:type="paragraph" w:styleId="Paragraph" w:customStyle="1">
    <w:name w:val="paragraph"/>
    <w:basedOn w:val="Normal"/>
    <w:qFormat/>
    <w:pPr>
      <w:spacing w:before="280" w:after="280"/>
    </w:pPr>
    <w:rPr>
      <w:lang w:val="ru-RU"/>
    </w:rPr>
  </w:style>
  <w:style w:type="paragraph" w:styleId="HeaderandFooter" w:customStyle="1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LOnormal" w:customStyle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0"/>
      <w:sz w:val="24"/>
      <w:szCs w:val="24"/>
      <w:lang w:val="en-GB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DocSecurity>4</DocSecurity>
  <Pages>9</Pages>
  <Words>2231</Words>
  <Characters>16127</Characters>
  <CharactersWithSpaces>18174</CharactersWithSpaces>
  <Paragraphs>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2024-09-27T03:04:00Z</dcterms:created>
  <dc:creator>8-1-7</dc:creator>
  <dc:description/>
  <dc:language>en-GB</dc:language>
  <cp:lastModifiedBy>word</cp:lastModifiedBy>
  <cp:lastPrinted>2024-09-23T11:00:00Z</cp:lastPrinted>
  <dcterms:modified xsi:type="dcterms:W3CDTF">2024-09-27T03:04:00Z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