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both"/>
        <w:rPr/>
      </w:pPr>
      <w:r>
        <w:rPr/>
      </w:r>
      <w:bookmarkStart w:id="0" w:name="_GoBack"/>
      <w:bookmarkStart w:id="1" w:name="_GoBack"/>
      <w:bookmarkEnd w:id="1"/>
    </w:p>
    <w:tbl>
      <w:tblPr>
        <w:tblW w:w="5000" w:type="pct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 w:noHBand="0" w:noVBand="0" w:firstColumn="0" w:lastRow="0" w:lastColumn="0" w:firstRow="0"/>
      </w:tblPr>
      <w:tblGrid>
        <w:gridCol w:w="4233"/>
        <w:gridCol w:w="5403"/>
      </w:tblGrid>
      <w:tr>
        <w:trPr/>
        <w:tc>
          <w:tcPr>
            <w:tcW w:w="4233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5403" w:type="dxa"/>
            <w:tcBorders/>
            <w:shd w:color="auto" w:fill="auto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lang w:val="ru-RU"/>
              </w:rPr>
              <w:t xml:space="preserve">На основании протокола общего собрания полных партнеров </w:t>
            </w:r>
            <w:bookmarkStart w:id="2" w:name="_Hlk175247742"/>
            <w:r>
              <w:rPr>
                <w:b/>
                <w:lang w:val="ru-RU"/>
              </w:rPr>
              <w:t>коммандитного товарищества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lang w:val="en-US"/>
              </w:rPr>
              <w:t>«</w:t>
            </w:r>
            <w:r>
              <w:rPr>
                <w:rFonts w:eastAsia="Arial"/>
                <w:b/>
              </w:rPr>
              <w:t>WAYLL FUND KOMMANDIT SHIRKAT KOMMANDIT SHIRKAT</w:t>
            </w:r>
            <w:bookmarkEnd w:id="2"/>
            <w:r>
              <w:rPr>
                <w:b/>
                <w:lang w:val="en-US"/>
              </w:rPr>
              <w:t>»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lang w:val="ru-RU"/>
              </w:rPr>
              <w:t xml:space="preserve">№ </w:t>
            </w:r>
            <w:r>
              <w:rPr>
                <w:b/>
                <w:lang w:val="ru-RU"/>
              </w:rPr>
              <w:t>{pdf_number} от {day} {month} 2024 г.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</w:tbl>
    <w:p>
      <w:pPr>
        <w:pStyle w:val="Normal"/>
        <w:spacing w:before="0" w:after="120"/>
        <w:jc w:val="both"/>
        <w:rPr/>
      </w:pPr>
      <w:r>
        <w:rPr/>
      </w:r>
    </w:p>
    <w:p>
      <w:pPr>
        <w:pStyle w:val="TextBody"/>
        <w:jc w:val="center"/>
        <w:rPr/>
      </w:pPr>
      <w:r>
        <w:rPr/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/>
      </w:pPr>
      <w:r>
        <w:rPr/>
      </w:r>
    </w:p>
    <w:p>
      <w:pPr>
        <w:pStyle w:val="TextBody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8"/>
        <w:spacing w:before="0" w:after="12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УЧРЕДИТЕЛЬНЫЙ ДОГОВОР</w:t>
      </w:r>
    </w:p>
    <w:p>
      <w:pPr>
        <w:pStyle w:val="8"/>
        <w:spacing w:before="0" w:after="12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 xml:space="preserve">КОММАНДИТНОГО ТОВАРИЩЕСТВА </w:t>
      </w:r>
    </w:p>
    <w:p>
      <w:pPr>
        <w:pStyle w:val="8"/>
        <w:spacing w:before="0" w:after="12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«</w:t>
      </w:r>
      <w:bookmarkStart w:id="3" w:name="_Hlk177463103"/>
      <w:r>
        <w:rPr>
          <w:rFonts w:cs="Times New Roman" w:ascii="Times New Roman" w:hAnsi="Times New Roman"/>
          <w:sz w:val="24"/>
          <w:szCs w:val="24"/>
          <w:lang w:val="uz-Cyrl-UZ"/>
        </w:rPr>
        <w:t>WAY II MANAGEMENT VA KOMPANIYA KOMMANDIT SHIRKAT</w:t>
      </w:r>
      <w:bookmarkEnd w:id="3"/>
      <w:r>
        <w:rPr>
          <w:rFonts w:cs="Times New Roman" w:ascii="Times New Roman" w:hAnsi="Times New Roman"/>
          <w:sz w:val="24"/>
          <w:szCs w:val="24"/>
          <w:lang w:val="uz-Cyrl-UZ"/>
        </w:rPr>
        <w:t>»</w:t>
      </w:r>
    </w:p>
    <w:p>
      <w:pPr>
        <w:pStyle w:val="Normal"/>
        <w:spacing w:before="0" w:after="120"/>
        <w:jc w:val="center"/>
        <w:rPr/>
      </w:pPr>
      <w:r>
        <w:rPr>
          <w:b/>
          <w:bCs/>
        </w:rPr>
        <w:t>(В новой редакции)</w:t>
      </w:r>
    </w:p>
    <w:p>
      <w:pPr>
        <w:pStyle w:val="Normal"/>
        <w:spacing w:before="0" w:after="12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lang w:val="ru-RU"/>
        </w:rPr>
        <w:t>Ташкент-2024 г.</w:t>
      </w:r>
      <w:r>
        <w:br w:type="page"/>
      </w:r>
    </w:p>
    <w:p>
      <w:pPr>
        <w:pStyle w:val="Normal"/>
        <w:spacing w:lineRule="auto" w:line="276" w:before="0" w:after="200"/>
        <w:jc w:val="center"/>
        <w:rPr/>
      </w:pPr>
      <w:r>
        <w:rPr>
          <w:b/>
          <w:bCs/>
          <w:lang w:val="ru-RU"/>
        </w:rPr>
        <w:t>ОБЩИЕ ПРАВИЛА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bookmarkStart w:id="4" w:name="_Hlk175248132"/>
      <w:r>
        <w:rPr>
          <w:b/>
          <w:bCs/>
        </w:rPr>
        <w:t xml:space="preserve">Коммандитное товарищество «WAY II MANAGEMENT VA KOMPANIYA KOMMANDIT SHIRKAT» </w:t>
      </w:r>
      <w:bookmarkEnd w:id="4"/>
      <w:r>
        <w:rPr/>
        <w:t>(далее по тексту-</w:t>
      </w:r>
      <w:r>
        <w:rPr>
          <w:lang w:val="ru-RU"/>
        </w:rPr>
        <w:t>«</w:t>
      </w:r>
      <w:r>
        <w:rPr/>
        <w:t>Товарищество</w:t>
      </w:r>
      <w:r>
        <w:rPr>
          <w:lang w:val="ru-RU"/>
        </w:rPr>
        <w:t>»</w:t>
      </w:r>
      <w:r>
        <w:rPr/>
        <w:t xml:space="preserve">) </w:t>
      </w:r>
      <w:r>
        <w:rPr>
          <w:lang w:val="ru-RU"/>
        </w:rPr>
        <w:t>я</w:t>
      </w:r>
      <w:r>
        <w:rPr/>
        <w:t>вляется юридическим лицом, учрежденным в соответствии с законодательством Республики Узбекистан, и осуществляет деятельность на этой основе.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Официальное полное фирменное наименование </w:t>
      </w:r>
      <w:r>
        <w:rPr>
          <w:lang w:val="ru-RU"/>
        </w:rPr>
        <w:t>Товарищества</w:t>
      </w:r>
      <w:r>
        <w:rPr/>
        <w:t xml:space="preserve">: </w:t>
      </w:r>
    </w:p>
    <w:tbl>
      <w:tblPr>
        <w:tblW w:w="9179" w:type="dxa"/>
        <w:jc w:val="left"/>
        <w:tblInd w:w="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34"/>
        <w:gridCol w:w="6944"/>
      </w:tblGrid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44" w:hanging="0"/>
              <w:rPr/>
            </w:pPr>
            <w:r>
              <w:rPr>
                <w:b/>
                <w:bCs/>
                <w:lang w:val="ru-RU"/>
              </w:rPr>
              <w:t>На узбекском языке</w:t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75" w:hanging="0"/>
              <w:jc w:val="both"/>
              <w:rPr/>
            </w:pPr>
            <w:r>
              <w:rPr/>
              <w:t>“</w:t>
            </w:r>
            <w:r>
              <w:rPr/>
              <w:t>WAY II MANAGEMENT VA KOMPANIYA KOMMANDIT SHIRKAT” коммандит ширкати</w:t>
            </w:r>
          </w:p>
        </w:tc>
      </w:tr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44" w:hanging="0"/>
              <w:rPr/>
            </w:pPr>
            <w:r>
              <w:rPr>
                <w:b/>
                <w:bCs/>
                <w:lang w:val="ru-RU"/>
              </w:rPr>
              <w:t>На русском языке</w:t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75" w:hanging="0"/>
              <w:jc w:val="both"/>
              <w:rPr/>
            </w:pPr>
            <w:r>
              <w:rPr/>
              <w:t>Коммандитное товариществ</w:t>
            </w:r>
            <w:r>
              <w:rPr>
                <w:lang w:val="ru-RU"/>
              </w:rPr>
              <w:t>о</w:t>
            </w:r>
            <w:r>
              <w:rPr/>
              <w:t xml:space="preserve"> </w:t>
            </w:r>
            <w:r>
              <w:rPr>
                <w:lang w:val="en-US"/>
              </w:rPr>
              <w:t>«</w:t>
            </w:r>
            <w:r>
              <w:rPr/>
              <w:t>WAY II MANAGEMENT VA KOMPANIYA KOMMANDIT SHIRKAT</w:t>
            </w:r>
            <w:r>
              <w:rPr>
                <w:lang w:val="en-US"/>
              </w:rPr>
              <w:t>»</w:t>
            </w:r>
          </w:p>
        </w:tc>
      </w:tr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44" w:hanging="0"/>
              <w:rPr/>
            </w:pPr>
            <w:r>
              <w:rPr>
                <w:b/>
                <w:bCs/>
                <w:lang w:val="ru-RU"/>
              </w:rPr>
              <w:t>На английском языке</w:t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75" w:hanging="0"/>
              <w:jc w:val="both"/>
              <w:rPr/>
            </w:pPr>
            <w:r>
              <w:rPr/>
              <w:t>“</w:t>
            </w:r>
            <w:r>
              <w:rPr/>
              <w:t xml:space="preserve">WAY II MANAGEMENT VA KOMPANIYA KOMMANDIT SHIRKAT” </w:t>
            </w:r>
            <w:r>
              <w:rPr>
                <w:lang w:val="en-US"/>
              </w:rPr>
              <w:t>limited Partnership</w:t>
            </w:r>
          </w:p>
        </w:tc>
      </w:tr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napToGrid w:val="false"/>
              <w:spacing w:before="0" w:after="120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napToGrid w:val="false"/>
              <w:spacing w:before="0" w:after="120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Деятельность </w:t>
      </w:r>
      <w:r>
        <w:rPr>
          <w:lang w:val="ru-RU"/>
        </w:rPr>
        <w:t xml:space="preserve">Товарищества </w:t>
      </w:r>
      <w:r>
        <w:rPr/>
        <w:t xml:space="preserve">и почтовый адрес: 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 xml:space="preserve">Республика Узбекистан, г. Ташкент, Шайхантахурский район, </w:t>
      </w:r>
      <w:r>
        <w:rPr>
          <w:lang w:val="ru-RU"/>
        </w:rPr>
        <w:t>СГМ Ук</w:t>
      </w:r>
      <w:r>
        <w:rPr/>
        <w:t>чи, ул. Ислама Каримова, д. 2-а.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1134" w:leader="none"/>
        </w:tabs>
        <w:jc w:val="center"/>
        <w:rPr/>
      </w:pPr>
      <w:r>
        <w:rPr>
          <w:b/>
          <w:bCs/>
        </w:rPr>
        <w:t>Правовой статус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Товарищество является юридическим лицом Республики Узбекистан.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Правовой статус Товарищества: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Товарищество имеет</w:t>
      </w:r>
      <w:r>
        <w:rPr/>
        <w:t xml:space="preserve"> круглую печать с </w:t>
      </w:r>
      <w:r>
        <w:rPr>
          <w:lang w:val="ru-RU"/>
        </w:rPr>
        <w:t>полным фирменным наименованием</w:t>
      </w:r>
      <w:r>
        <w:rPr/>
        <w:t xml:space="preserve"> и территорией, в которой она расположена, на государственном языке.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Товарищество участвует в гражданских правоотношениях через свои официальные бланки с указанием фирменного наименования и адреса;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является субъектом частной собственности, владеет, пользуется и распоряжается частной собственностью, возникающей в установленном законодательством порядке, имеет право владеть объектами интеллектуальной собственности, зарегистрированными в установленном порядке.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вправе заключать от своего имени и за свой счет все виды договоров и соглашений, приобретать имущественные и неимущественные права, совершать юридически значимые действия и участвовать в качестве истца, ответчика и третьей стороны в судах по экономическим, административным и гражданским делам, арбитражных судах и международных арбитражных судах на территории Республики Узбекистан и за ее пределами.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>
          <w:lang w:val="ru-RU"/>
        </w:rPr>
        <w:t>Товарищество имеет</w:t>
      </w:r>
      <w:r>
        <w:rPr/>
        <w:t xml:space="preserve"> самостоятельный баланс, имеет право открывать в банковских учреждениях основные и второстепенные счета, в том числе счета в иностранной валюте. 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осуществляет свою деятельность по владению имуществом, его покупке и продаже, осуществлению инвестиционной деятельности и всех финансовых операций на основе полного хозяйственного учета в соответствии с законодательством, на основе самофинансирования и самозанятости.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вправе создавать свои структурные подразделения, зависимые и дочерние общества (юридические лица), филиалы и представительства. Структурные подразделения Товарищества, зависимые и дочерние общества, филиалы и представительства действуют на основании уставов и положений, утверждаемых решениями общего собрания полных товариществ.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создан</w:t>
      </w:r>
      <w:r>
        <w:rPr>
          <w:lang w:val="ru-RU"/>
        </w:rPr>
        <w:t>о</w:t>
      </w:r>
      <w:r>
        <w:rPr/>
        <w:t xml:space="preserve"> на неопределенный срок.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Приостановление деятельности общества производится в соответствии с решением общего собрания полных </w:t>
      </w:r>
      <w:r>
        <w:rPr>
          <w:lang w:val="ru-RU"/>
        </w:rPr>
        <w:t>партнеров</w:t>
      </w:r>
      <w:r>
        <w:rPr/>
        <w:t xml:space="preserve"> </w:t>
      </w:r>
      <w:r>
        <w:rPr>
          <w:lang w:val="ru-RU"/>
        </w:rPr>
        <w:t>Товарищества</w:t>
      </w:r>
      <w:r>
        <w:rPr/>
        <w:t xml:space="preserve"> или на основании вступившего в законную силу решения суда.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Товарищество отвечает по своим обязательствам всем имуществом, полностью принадлежащим партнерам, а также имуществом, образованным в рамках вкладов вкладчика (коммандитчика).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1134" w:leader="none"/>
        </w:tabs>
        <w:jc w:val="center"/>
        <w:rPr/>
      </w:pPr>
      <w:r>
        <w:rPr>
          <w:b/>
          <w:bCs/>
          <w:lang w:val="ru-RU"/>
        </w:rPr>
        <w:t>Учредительные документы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Учредительным документом Товарищества является учредительный договор (</w:t>
      </w:r>
      <w:r>
        <w:rPr>
          <w:lang w:val="ru-RU"/>
        </w:rPr>
        <w:t>далее по тексту-»У</w:t>
      </w:r>
      <w:r>
        <w:rPr/>
        <w:t>чредительны</w:t>
      </w:r>
      <w:r>
        <w:rPr>
          <w:lang w:val="ru-RU"/>
        </w:rPr>
        <w:t>й</w:t>
      </w:r>
      <w:r>
        <w:rPr/>
        <w:t xml:space="preserve"> договор</w:t>
      </w:r>
      <w:r>
        <w:rPr>
          <w:lang w:val="ru-RU"/>
        </w:rPr>
        <w:t>»</w:t>
      </w:r>
      <w:r>
        <w:rPr/>
        <w:t xml:space="preserve">), который подписывают полные </w:t>
      </w:r>
      <w:r>
        <w:rPr>
          <w:lang w:val="ru-RU"/>
        </w:rPr>
        <w:t>партнеры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Учредительный договор Товарищества подписывается полными </w:t>
      </w:r>
      <w:r>
        <w:rPr>
          <w:lang w:val="ru-RU"/>
        </w:rPr>
        <w:t>партнерами</w:t>
      </w:r>
      <w:r>
        <w:rPr/>
        <w:t xml:space="preserve"> и подлежит государственной регистрации после его утверждения решением общего собрания полных </w:t>
      </w:r>
      <w:r>
        <w:rPr>
          <w:lang w:val="ru-RU"/>
        </w:rPr>
        <w:t>партнеров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Внесение изменений и дополнений в учредительный договор осуществляется путем утверждения, подписания и государственной регистрации новой редакции учредительного договора в соответствии с решениями общего собрания полных партнеров общества.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Изменения и дополнения к учредительному договору вступают в силу с момента государственной регистрации (перерегистрации).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1134" w:leader="none"/>
        </w:tabs>
        <w:jc w:val="center"/>
        <w:rPr/>
      </w:pPr>
      <w:r>
        <w:rPr>
          <w:b/>
          <w:bCs/>
          <w:lang w:val="ru-RU"/>
        </w:rPr>
        <w:t>Полные партнеры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Полными партнерами</w:t>
      </w:r>
      <w:r>
        <w:rPr>
          <w:lang w:val="ru-RU"/>
        </w:rPr>
        <w:t xml:space="preserve"> Товарищества</w:t>
      </w:r>
      <w:r>
        <w:rPr/>
        <w:t xml:space="preserve"> могут быть физические и юридические лица, осуществляющие предпринимательскую деятельность от имени </w:t>
      </w:r>
      <w:r>
        <w:rPr>
          <w:lang w:val="ru-RU"/>
        </w:rPr>
        <w:t>Товарищества</w:t>
      </w:r>
      <w:r>
        <w:rPr/>
        <w:t xml:space="preserve"> и отвечающие по обязательствам общества всем своим имуществом.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Полный список партнеров компании указан в пункте 7.4 настоящего учредительного договора.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 xml:space="preserve">Сфера деятельности, цели Товарищества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Основным направлением деятельности </w:t>
      </w:r>
      <w:r>
        <w:rPr>
          <w:lang w:val="ru-RU"/>
        </w:rPr>
        <w:t>Товарищества</w:t>
      </w:r>
      <w:r>
        <w:rPr/>
        <w:t xml:space="preserve"> является коммерческая деятельность и консультирование по вопросам управления.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/>
        <w:t xml:space="preserve">Основной целью </w:t>
      </w:r>
      <w:r>
        <w:rPr>
          <w:lang w:val="ru-RU"/>
        </w:rPr>
        <w:t>Товарищества</w:t>
      </w:r>
      <w:r>
        <w:rPr/>
        <w:t xml:space="preserve"> является получение прибыли в виде дивидендов путем приобретения части долей в его уставном фонде (уставном капитале) или долевого участия в их уставном фонде (уставном капитале) путем инвестирования принадлежащего ему имущества и инвестиционных средств в юридические лица в порядке, установленном законодательством Республики Узбекистан</w:t>
      </w:r>
      <w:r>
        <w:rPr>
          <w:b/>
          <w:bCs/>
        </w:rPr>
        <w:t>.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может заниматься любой другой деятельностью, не запрещенной законодательством, не указанной в настоящем </w:t>
      </w:r>
      <w:r>
        <w:rPr>
          <w:lang w:val="ru-RU"/>
        </w:rPr>
        <w:t>У</w:t>
      </w:r>
      <w:r>
        <w:rPr/>
        <w:t>чредительном договоре. Он</w:t>
      </w:r>
      <w:r>
        <w:rPr>
          <w:lang w:val="ru-RU"/>
        </w:rPr>
        <w:t>о</w:t>
      </w:r>
      <w:r>
        <w:rPr/>
        <w:t xml:space="preserve"> также имеет право заниматься видами деятельности, требующими получения уведомления или специального разрешения или лицензии в случаях, предусмотренных законодательством, после получения необходимого разрешения, лицензии или направления уведомлении.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Объекты инвестиционной деятельности и формы осуществления инвестиций, выбираемые </w:t>
      </w:r>
      <w:r>
        <w:rPr>
          <w:lang w:val="ru-RU"/>
        </w:rPr>
        <w:t>Товариществом</w:t>
      </w:r>
      <w:r>
        <w:rPr/>
        <w:t xml:space="preserve">, полностью реализуются в соответствии с решением общего собрания </w:t>
      </w:r>
      <w:r>
        <w:rPr>
          <w:lang w:val="ru-RU"/>
        </w:rPr>
        <w:t xml:space="preserve">полных </w:t>
      </w:r>
      <w:r>
        <w:rPr/>
        <w:t>партнеров.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 xml:space="preserve">Вкладчики Товарищества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 соответствии с Законом Республики Узбекистан «О хозяйственных Товариществах» вкладчиками в Товарищество могут быть граждане Республики Узбекистан, индивидуальные предприниматели и юридические лица, международные организации и иностранные юридические лица и граждане, а также лица без гражданства.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Вкладчиками Товарищества являются юридические и физические лица (Коммандит</w:t>
      </w:r>
      <w:r>
        <w:rPr>
          <w:lang w:val="ru-RU"/>
        </w:rPr>
        <w:t>ист</w:t>
      </w:r>
      <w:r>
        <w:rPr/>
        <w:t xml:space="preserve">), которые несут ответственность за убытки, связанные с деятельностью Товарищества, в пределах своих вкладов и не участвуют в осуществлении </w:t>
      </w:r>
      <w:r>
        <w:rPr>
          <w:lang w:val="ru-RU"/>
        </w:rPr>
        <w:t>Товариществом</w:t>
      </w:r>
      <w:r>
        <w:rPr/>
        <w:t xml:space="preserve"> предпринимательской деятельности.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Наименование вкладчиков Товарищества, номер соответствующего вклада и вид процентов указываются в приложении к учредительному договору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Вкладчики Товарищества самостоятельно распоряжаются принадлежащими им товарищескими взносами.</w:t>
      </w:r>
    </w:p>
    <w:p>
      <w:pPr>
        <w:pStyle w:val="8"/>
        <w:numPr>
          <w:ilvl w:val="0"/>
          <w:numId w:val="2"/>
        </w:numPr>
        <w:spacing w:before="0" w:after="120"/>
        <w:ind w:left="0" w:firstLine="709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Уставный фонд Товарищества и порядок его формирования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Уставный фонд Товарищества будет состоять из номинальной стоимости долей полных партнеров в уставном фонде Товарищества и номинальной стоимости вкладов вкладчиков в уставный фонд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bookmarkStart w:id="5" w:name="_Hlk175256408"/>
      <w:r>
        <w:rPr/>
        <w:t>7.2.</w:t>
        <w:tab/>
        <w:t>Номинальная и рыночная стоимость 1 (одного) вклада в уставный фонд общества определяется на электронной платформе «WAY Invest» с оценкой экономических показателей, в том числе полными партнерами, исходя из рыночной конъюнктуры.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Уставный фонд общества составляет 34 686 000 000 (тридцать четыре миллиарда шестьсот восемьдесят шесть миллионов) сумов. Где: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  <w:t>—  </w:t>
      </w:r>
      <w:r>
        <w:rPr/>
        <w:t>Номинальная стоимость долей полных партнеров в уставном фонде товарищества 21 000 000 (двадцать один миллион);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bookmarkStart w:id="6" w:name="_Hlk175256408"/>
      <w:r>
        <w:rPr/>
        <w:t>- Номинальная стоимость вкладов вкладчиков в уставный фонд общества составляет 34 665 000 000 (тридцать четыре миллиарда шестьсот шестьдесят пять миллионов) сумов.</w:t>
      </w:r>
      <w:bookmarkEnd w:id="6"/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Общее распределение полных участников и </w:t>
      </w:r>
      <w:r>
        <w:rPr>
          <w:lang w:val="ru-RU"/>
        </w:rPr>
        <w:t>вкладчиков Товарищества</w:t>
      </w:r>
      <w:r>
        <w:rPr/>
        <w:t xml:space="preserve"> и долей в уставном фонде </w:t>
      </w:r>
      <w:r>
        <w:rPr>
          <w:lang w:val="ru-RU"/>
        </w:rPr>
        <w:t>Товарищества</w:t>
      </w:r>
      <w:r>
        <w:rPr/>
        <w:t xml:space="preserve"> следующее:</w:t>
      </w:r>
    </w:p>
    <w:tbl>
      <w:tblPr>
        <w:tblW w:w="9853" w:type="dxa"/>
        <w:jc w:val="left"/>
        <w:tblInd w:w="-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16"/>
        <w:gridCol w:w="4109"/>
        <w:gridCol w:w="1"/>
        <w:gridCol w:w="2462"/>
        <w:gridCol w:w="1"/>
        <w:gridCol w:w="2463"/>
      </w:tblGrid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>№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>Список полн</w:t>
            </w:r>
            <w:r>
              <w:rPr>
                <w:b/>
                <w:bCs/>
                <w:lang w:val="ru-RU"/>
              </w:rPr>
              <w:t>ы</w:t>
            </w:r>
            <w:r>
              <w:rPr>
                <w:b/>
                <w:bCs/>
              </w:rPr>
              <w:t>х партнеров компании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 xml:space="preserve">Номинальная стоимость </w:t>
            </w:r>
            <w:r>
              <w:rPr>
                <w:b/>
                <w:bCs/>
                <w:lang w:val="ru-RU"/>
              </w:rPr>
              <w:t>доли</w:t>
            </w:r>
            <w:r>
              <w:rPr>
                <w:b/>
                <w:bCs/>
              </w:rPr>
              <w:t xml:space="preserve"> (в сумах)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>Процентная доля</w:t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1.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 xml:space="preserve">ООО </w:t>
            </w:r>
            <w:r>
              <w:rPr>
                <w:lang w:val="ru-RU"/>
              </w:rPr>
              <w:t>«</w:t>
            </w:r>
            <w:r>
              <w:rPr/>
              <w:t>WAY II Management</w:t>
            </w:r>
            <w:r>
              <w:rPr>
                <w:lang w:val="ru-RU"/>
              </w:rPr>
              <w:t>»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20 000 000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95,2%</w:t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2.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ООО “WAY Techno”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1 000 000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4,8%</w:t>
            </w:r>
          </w:p>
        </w:tc>
      </w:tr>
      <w:tr>
        <w:trPr/>
        <w:tc>
          <w:tcPr>
            <w:tcW w:w="4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right"/>
              <w:rPr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>
                <w:b/>
                <w:bCs/>
              </w:rPr>
              <w:t>21 000 000</w:t>
            </w:r>
          </w:p>
        </w:tc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>
                <w:b/>
                <w:bCs/>
              </w:rPr>
              <w:t>100 %</w:t>
            </w:r>
          </w:p>
        </w:tc>
      </w:tr>
    </w:tbl>
    <w:p>
      <w:pPr>
        <w:pStyle w:val="TextBody"/>
        <w:tabs>
          <w:tab w:val="clear" w:pos="708"/>
          <w:tab w:val="left" w:pos="1134" w:leader="none"/>
        </w:tabs>
        <w:jc w:val="both"/>
        <w:rPr/>
      </w:pPr>
      <w:r>
        <w:rPr/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Номинальная стоимость и процентное соотношение вкладов полных партнеров и вкладчиков в уставный фонд </w:t>
      </w:r>
      <w:r>
        <w:rPr>
          <w:lang w:val="ru-RU"/>
        </w:rPr>
        <w:t>Товарищества</w:t>
      </w:r>
      <w:r>
        <w:rPr/>
        <w:t xml:space="preserve"> определяются приложением к Учредительному договору.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С даты внесения вкладов вкладчиками в уставный фонд (уставный капитал) </w:t>
      </w:r>
      <w:r>
        <w:rPr>
          <w:lang w:val="ru-RU"/>
        </w:rPr>
        <w:t>Товарищества</w:t>
      </w:r>
      <w:r>
        <w:rPr/>
        <w:t xml:space="preserve">, включая дату приобретения, если вкладчик не может продать свой вклад третьим лицам и другим вкладчикам, </w:t>
      </w:r>
      <w:r>
        <w:rPr>
          <w:lang w:val="ru-RU"/>
        </w:rPr>
        <w:t>Товарищество</w:t>
      </w:r>
      <w:r>
        <w:rPr/>
        <w:t xml:space="preserve"> получает право на обратную продажу через год.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Полные партнер</w:t>
      </w:r>
      <w:r>
        <w:rPr>
          <w:lang w:val="ru-RU"/>
        </w:rPr>
        <w:t>ы</w:t>
      </w:r>
      <w:r>
        <w:rPr/>
        <w:t xml:space="preserve"> могут быть образованы путем внесения в уставный фонд общества долей денежных средств, объектов недвижимости, ценных бумаг, долей в хозяйственных обществах, имущественных прав и имущества и имущественных прав, которые могут быть переданы другому лицу, имеющему денежную оценку.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Стоимость имущества или имущественных прав, вносимых полным партнером и его вкладчиками, утверждается решением общего собрания полных партнеров.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</w:t>
      </w:r>
      <w:r>
        <w:rPr/>
        <w:t xml:space="preserve">от факт, что вклады вкладчиков были внесены в полном объеме, что вкладчик стал вкладчиком в результате приобретения соответствующего вклада, подтверждается свидетельством, выдаваемым </w:t>
      </w:r>
      <w:r>
        <w:rPr>
          <w:lang w:val="ru-RU"/>
        </w:rPr>
        <w:t>Товариществом</w:t>
      </w:r>
      <w:r>
        <w:rPr/>
        <w:t xml:space="preserve"> по форме и в порядке, утверждаемом решением общего собрания полных партнеров.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Увеличение и уменьшение уставного фонда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Увеличение уставного фонда (уставного капитала) Товарищества допускается после его полного формирования.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Увеличение уставного фонда Товарищества может производиться за счет имущества Товарищества, за счет дополнительных взносов участников Товарищества или за счет взносов новых вкладчиков, принимаемых в Товарищество.</w:t>
      </w:r>
    </w:p>
    <w:p>
      <w:pPr>
        <w:pStyle w:val="TextBody"/>
        <w:jc w:val="both"/>
        <w:rPr/>
      </w:pPr>
      <w:r>
        <w:rPr>
          <w:lang w:val="ru-RU"/>
        </w:rPr>
        <w:tab/>
      </w:r>
      <w:r>
        <w:rPr/>
        <w:t>Увеличение уставного фонда Товарищества производится по решению общего собрания полных товариществ.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Решение об увеличении уставного фонда общества за счет имущества </w:t>
      </w:r>
      <w:r>
        <w:rPr>
          <w:lang w:val="ru-RU"/>
        </w:rPr>
        <w:t>Товарищества</w:t>
      </w:r>
      <w:r>
        <w:rPr/>
        <w:t xml:space="preserve"> может быть принято только на основании данных бухгалтерской отчетности </w:t>
      </w:r>
      <w:r>
        <w:rPr>
          <w:lang w:val="ru-RU"/>
        </w:rPr>
        <w:t>Товарищества</w:t>
      </w:r>
      <w:r>
        <w:rPr/>
        <w:t xml:space="preserve"> за год, предшествующий году принятия такого решения.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Уставный фонд Товарищества</w:t>
      </w:r>
      <w:r>
        <w:rPr>
          <w:lang w:val="ru-RU"/>
        </w:rPr>
        <w:t>,</w:t>
      </w:r>
      <w:r>
        <w:rPr/>
        <w:t xml:space="preserve"> сумма, увеличиваемая за счет имущества Товарищества, не должна превышать разницу между стоимостью чистых активов Товарищества и суммой уставного фонда (уставного капитала).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вправе уменьшить свой уставный фонд в соответствии с действующим законодательством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Права и обязанности вкладчиков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Вкладчики Товарищества имеют </w:t>
      </w:r>
      <w:r>
        <w:rPr>
          <w:lang w:val="ru-RU"/>
        </w:rPr>
        <w:t xml:space="preserve">следующие </w:t>
      </w:r>
      <w:r>
        <w:rPr/>
        <w:t>прав</w:t>
      </w:r>
      <w:r>
        <w:rPr>
          <w:lang w:val="ru-RU"/>
        </w:rPr>
        <w:t>а</w:t>
      </w:r>
      <w:r>
        <w:rPr/>
        <w:t>:</w:t>
      </w:r>
    </w:p>
    <w:p>
      <w:pPr>
        <w:pStyle w:val="TextBody"/>
        <w:ind w:firstLine="709"/>
        <w:jc w:val="both"/>
        <w:rPr/>
      </w:pPr>
      <w:r>
        <w:rPr>
          <w:lang w:val="ru-RU"/>
        </w:rPr>
        <w:t>п</w:t>
      </w:r>
      <w:r>
        <w:rPr/>
        <w:t xml:space="preserve">олучение части прибыли </w:t>
      </w:r>
      <w:r>
        <w:rPr>
          <w:lang w:val="ru-RU"/>
        </w:rPr>
        <w:t>Товарищества</w:t>
      </w:r>
      <w:r>
        <w:rPr/>
        <w:t>, пропорционально его вкладу в уставный фонд, в порядке, предусмотренном учредительным договором;</w:t>
      </w:r>
    </w:p>
    <w:p>
      <w:pPr>
        <w:pStyle w:val="TextBody"/>
        <w:ind w:firstLine="709"/>
        <w:jc w:val="both"/>
        <w:rPr/>
      </w:pPr>
      <w:r>
        <w:rPr>
          <w:lang w:val="ru-RU"/>
        </w:rPr>
        <w:t xml:space="preserve">ознакомление </w:t>
      </w:r>
      <w:r>
        <w:rPr/>
        <w:t xml:space="preserve">с годовыми отчетами и балансами </w:t>
      </w:r>
      <w:r>
        <w:rPr>
          <w:lang w:val="ru-RU"/>
        </w:rPr>
        <w:t>Товарищества</w:t>
      </w:r>
      <w:r>
        <w:rPr/>
        <w:t>;</w:t>
      </w:r>
    </w:p>
    <w:p>
      <w:pPr>
        <w:pStyle w:val="TextBody"/>
        <w:ind w:firstLine="709"/>
        <w:jc w:val="both"/>
        <w:rPr/>
      </w:pPr>
      <w:r>
        <w:rPr/>
        <w:t>выход из Товарищества по окончании финансового года и получение взноса в порядке, предусмотренном учредительным договором;</w:t>
      </w:r>
    </w:p>
    <w:p>
      <w:pPr>
        <w:pStyle w:val="TextBody"/>
        <w:ind w:firstLine="709"/>
        <w:jc w:val="both"/>
        <w:rPr/>
      </w:pPr>
      <w:r>
        <w:rPr/>
        <w:t>передача доли или ее части в уставном фонде другому вкладчику или третьему лицу.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Вкладчики Товарищества несут следующие обязанности:</w:t>
      </w:r>
    </w:p>
    <w:p>
      <w:pPr>
        <w:pStyle w:val="TextBody"/>
        <w:ind w:firstLine="709"/>
        <w:jc w:val="both"/>
        <w:rPr/>
      </w:pPr>
      <w:r>
        <w:rPr>
          <w:lang w:val="ru-RU"/>
        </w:rPr>
        <w:t>все операции, связанные с собственными вкладами (их частью) и иные процессы отказа в пользу других лиц, осуществляются через электронную площадку «</w:t>
      </w:r>
      <w:r>
        <w:rPr/>
        <w:t xml:space="preserve">WAY </w:t>
      </w:r>
      <w:r>
        <w:rPr>
          <w:lang w:val="en-US"/>
        </w:rPr>
        <w:t>I</w:t>
      </w:r>
      <w:r>
        <w:rPr/>
        <w:t>nvest</w:t>
      </w:r>
      <w:r>
        <w:rPr>
          <w:lang w:val="ru-RU"/>
        </w:rPr>
        <w:t>»</w:t>
      </w:r>
      <w:r>
        <w:rPr/>
        <w:t>.</w:t>
      </w:r>
    </w:p>
    <w:p>
      <w:pPr>
        <w:pStyle w:val="TextBody"/>
        <w:ind w:firstLine="709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Продажа и покупка вкладов в уставный фонд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Вкладчики Товарищества имеют право продать свой вклад или его часть одному или нескольким вкладчикам Товарищества, а также третьим лицам или иным образом отказаться от него в их пользу. При этом все вышеперечисленные процессы, связанные с взносами или их частью, </w:t>
      </w:r>
      <w:r>
        <w:rPr>
          <w:b/>
          <w:bCs/>
        </w:rPr>
        <w:t>выполняются через электронную платформу «WAY Invest».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Вкладчики пользуются преимущественным правом перед третьими лицами при покупке доли (или ее части) по предложенной третьей стороне цене. Покупка и продажа вкладов осуществляется через электронную платформу «WAY Invest». При этом преимущественное право оставшихся участников действует в течение пяти дней с момента подачи предложения о продаже доли участника.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Товарищество не вправе получать свой вклад в уставный фонд или его часть, за исключением случаев, предусмотренных законодательством.</w:t>
      </w:r>
    </w:p>
    <w:p>
      <w:pPr>
        <w:pStyle w:val="TextBody"/>
        <w:tabs>
          <w:tab w:val="clear" w:pos="708"/>
          <w:tab w:val="left" w:pos="1134" w:leader="none"/>
        </w:tabs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Органы управления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Органы управления Товарищества </w:t>
      </w:r>
      <w:r>
        <w:rPr>
          <w:lang w:val="ru-RU"/>
        </w:rPr>
        <w:t>следующие</w:t>
      </w:r>
      <w:r>
        <w:rPr/>
        <w:t>: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</w:tabs>
        <w:spacing w:before="0" w:after="120"/>
        <w:ind w:left="0" w:firstLine="709"/>
        <w:contextualSpacing/>
        <w:jc w:val="both"/>
        <w:rPr/>
      </w:pPr>
      <w:r>
        <w:rPr/>
        <w:t>Общее собрание полных партнеров;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</w:tabs>
        <w:spacing w:before="0" w:after="120"/>
        <w:ind w:left="0" w:firstLine="709"/>
        <w:contextualSpacing/>
        <w:jc w:val="both"/>
        <w:rPr/>
      </w:pPr>
      <w:r>
        <w:rPr/>
        <w:t>Директор</w:t>
      </w:r>
      <w:r>
        <w:rPr>
          <w:lang w:val="ru-RU"/>
        </w:rPr>
        <w:t>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</w:rPr>
        <w:t>Общее собрание полных партнеров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Общее собрание полных партнеров является высшим органом управления Товариществом. Управление деятельностью Товарищества осуществляется полноправными партнерами. </w:t>
      </w:r>
    </w:p>
    <w:p>
      <w:pPr>
        <w:pStyle w:val="TextBody"/>
        <w:ind w:firstLine="709"/>
        <w:jc w:val="both"/>
        <w:rPr/>
      </w:pPr>
      <w:r>
        <w:rPr/>
        <w:t xml:space="preserve">Членом общего собрания полных партнеров могут быть только полные партнеры. </w:t>
      </w:r>
    </w:p>
    <w:p>
      <w:pPr>
        <w:pStyle w:val="TextBody"/>
        <w:ind w:firstLine="709"/>
        <w:jc w:val="both"/>
        <w:rPr/>
      </w:pPr>
      <w:r>
        <w:rPr/>
        <w:t xml:space="preserve">Вкладчики не вправе иным образом вести дела от его имени без доверенности на участие в управлении </w:t>
      </w:r>
      <w:r>
        <w:rPr>
          <w:lang w:val="ru-RU"/>
        </w:rPr>
        <w:t>Товариществом</w:t>
      </w:r>
      <w:r>
        <w:rPr/>
        <w:t xml:space="preserve"> и ведении его дел. Вкладчики не вправе оспаривать поведение полных партнеров по управлению </w:t>
      </w:r>
      <w:r>
        <w:rPr>
          <w:lang w:val="ru-RU"/>
        </w:rPr>
        <w:t>Товариществом</w:t>
      </w:r>
      <w:r>
        <w:rPr/>
        <w:t xml:space="preserve"> и ведению его дел.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Полномочия общего собрания полных партнеров:</w:t>
      </w:r>
    </w:p>
    <w:p>
      <w:pPr>
        <w:pStyle w:val="4"/>
        <w:numPr>
          <w:ilvl w:val="0"/>
          <w:numId w:val="1"/>
        </w:numPr>
        <w:rPr/>
      </w:pPr>
      <w:r>
        <w:rPr/>
        <w:t>определение основных направлений деятельности Товарищества;</w:t>
      </w:r>
    </w:p>
    <w:p>
      <w:pPr>
        <w:pStyle w:val="4"/>
        <w:numPr>
          <w:ilvl w:val="0"/>
          <w:numId w:val="1"/>
        </w:numPr>
        <w:rPr/>
      </w:pPr>
      <w:r>
        <w:rPr/>
        <w:t xml:space="preserve">реорганизация и ликвидация </w:t>
      </w:r>
      <w:r>
        <w:rPr>
          <w:lang w:val="ru-RU"/>
        </w:rPr>
        <w:t>Товарищества</w:t>
      </w:r>
      <w:r>
        <w:rPr/>
        <w:t>;</w:t>
      </w:r>
    </w:p>
    <w:p>
      <w:pPr>
        <w:pStyle w:val="4"/>
        <w:numPr>
          <w:ilvl w:val="0"/>
          <w:numId w:val="1"/>
        </w:numPr>
        <w:rPr/>
      </w:pPr>
      <w:r>
        <w:rPr>
          <w:lang w:val="ru-RU"/>
        </w:rPr>
        <w:t>в</w:t>
      </w:r>
      <w:r>
        <w:rPr/>
        <w:t>несение изменений и дополнений в учредительный договор;</w:t>
      </w:r>
    </w:p>
    <w:p>
      <w:pPr>
        <w:pStyle w:val="4"/>
        <w:numPr>
          <w:ilvl w:val="0"/>
          <w:numId w:val="1"/>
        </w:numPr>
        <w:rPr/>
      </w:pPr>
      <w:r>
        <w:rPr/>
        <w:t>принятие решения о распределении прибыли (убытков) Товарищества между ним и вкладчиками;</w:t>
      </w:r>
    </w:p>
    <w:p>
      <w:pPr>
        <w:pStyle w:val="4"/>
        <w:numPr>
          <w:ilvl w:val="0"/>
          <w:numId w:val="1"/>
        </w:numPr>
        <w:rPr/>
      </w:pPr>
      <w:r>
        <w:rPr/>
        <w:t>принятие решений об увеличении и уменьшении уставного фонда Товарищества;</w:t>
      </w:r>
    </w:p>
    <w:p>
      <w:pPr>
        <w:pStyle w:val="4"/>
        <w:numPr>
          <w:ilvl w:val="0"/>
          <w:numId w:val="1"/>
        </w:numPr>
        <w:rPr/>
      </w:pPr>
      <w:r>
        <w:rPr/>
        <w:t>проверка годовых отчетов и годовых балансов;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  <w:tab w:val="left" w:pos="1134" w:leader="none"/>
        </w:tabs>
        <w:spacing w:before="0" w:after="120"/>
        <w:ind w:left="0" w:firstLine="709"/>
        <w:contextualSpacing/>
        <w:jc w:val="both"/>
        <w:rPr/>
      </w:pPr>
      <w:r>
        <w:rPr/>
        <w:t>решение иных вопросов, предусмотренных договором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Управление деятельностью Товарищества осуществляется по общему соглашению всех его полных партнеров. Решение общего собрания полных партнеров Товарищества принимается единогласно всеми полными партнерами Товарищества.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ДИРЕКТОР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Исполнительным органом </w:t>
      </w:r>
      <w:r>
        <w:rPr>
          <w:lang w:val="ru-RU"/>
        </w:rPr>
        <w:t>Товарищества</w:t>
      </w:r>
      <w:r>
        <w:rPr/>
        <w:t xml:space="preserve"> является директор, который руководит текущей деятельностью </w:t>
      </w:r>
      <w:r>
        <w:rPr>
          <w:lang w:val="ru-RU"/>
        </w:rPr>
        <w:t>Товарищества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назначается на бессрочный срок на основании решения общего собрания полных товарищей и освобождается от обязанностей в таком порядке. 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действует от имени </w:t>
      </w:r>
      <w:r>
        <w:rPr>
          <w:lang w:val="ru-RU"/>
        </w:rPr>
        <w:t>Товарищества</w:t>
      </w:r>
      <w:r>
        <w:rPr/>
        <w:t xml:space="preserve"> без доверенности на основании настоящего учредительного договора и в пределах полномочий, предоставленных общим собранием полных партнеров, в том числе представляет его интересы во всех республиканских и зарубежных государственных органах, фирмах и организациях, совершает сделки, выдает доверенности, открывает счета и иные счета в банках, оформляет прием и увольнение сотрудников, осуществляет контроль за всеми видами деятельности </w:t>
      </w:r>
      <w:r>
        <w:rPr>
          <w:lang w:val="ru-RU"/>
        </w:rPr>
        <w:t>Товарищества</w:t>
      </w:r>
      <w:r>
        <w:rPr/>
        <w:t>, в том числе отдает приказы и распоряжения, обязательные для сотрудников.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может быть освобожден от должности на основании решения общего собрания полных партнеров.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Директор</w:t>
      </w:r>
      <w:r>
        <w:rPr>
          <w:lang w:val="ru-RU"/>
        </w:rPr>
        <w:t xml:space="preserve"> Товарищества</w:t>
      </w:r>
      <w:r>
        <w:rPr/>
        <w:t>: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/>
        <w:t>Организует подготовку и исполнение решений общего собрания полных партнеров и представляет отчеты об их исполнении на обще</w:t>
      </w:r>
      <w:r>
        <w:rPr>
          <w:lang w:val="ru-RU"/>
        </w:rPr>
        <w:t>м</w:t>
      </w:r>
      <w:r>
        <w:rPr/>
        <w:t xml:space="preserve"> собрание полных партнеров;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/>
        <w:t>отвечает за предоставление отчетов;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/>
        <w:t>выполняет другие функции, возложенные на общее собрание полных партнеров;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>
          <w:lang w:val="ru-RU"/>
        </w:rPr>
        <w:t>предоставляет</w:t>
      </w:r>
      <w:r>
        <w:rPr/>
        <w:t xml:space="preserve"> информации о результатах деятельности </w:t>
      </w:r>
      <w:r>
        <w:rPr>
          <w:lang w:val="ru-RU"/>
        </w:rPr>
        <w:t>Товарищества</w:t>
      </w:r>
      <w:r>
        <w:rPr/>
        <w:t xml:space="preserve"> на основе обращений вкладчиков;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</w:tabs>
        <w:spacing w:before="0" w:after="120"/>
        <w:ind w:left="0" w:firstLine="709"/>
        <w:contextualSpacing/>
        <w:jc w:val="both"/>
        <w:rPr/>
      </w:pPr>
      <w:r>
        <w:rPr/>
        <w:t>Использование и распоряжение имуществом Товарищества в интересах полных партнеров и вкладчиков.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подотчетен общему собранию полных партнеров </w:t>
      </w:r>
      <w:r>
        <w:rPr>
          <w:lang w:val="ru-RU"/>
        </w:rPr>
        <w:t>Товарищества</w:t>
      </w:r>
      <w:r>
        <w:rPr/>
        <w:t xml:space="preserve"> и несет ответственность за осуществление деятельности </w:t>
      </w:r>
      <w:r>
        <w:rPr>
          <w:lang w:val="ru-RU"/>
        </w:rPr>
        <w:t>Товарищества</w:t>
      </w:r>
      <w:r>
        <w:rPr/>
        <w:t xml:space="preserve"> и выполнение возложенных на него задач и функций. 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Распределение прибыли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567"/>
        <w:jc w:val="both"/>
        <w:rPr/>
      </w:pPr>
      <w:r>
        <w:rPr/>
        <w:t xml:space="preserve">Решение об определении части прибыли, распределяемой между вкладчиками (коммандитистами), принимается Общим собранием полных </w:t>
      </w:r>
      <w:r>
        <w:rPr>
          <w:lang w:val="ru-RU"/>
        </w:rPr>
        <w:t>партнеров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567"/>
        <w:jc w:val="both"/>
        <w:rPr/>
      </w:pPr>
      <w:r>
        <w:rPr/>
        <w:t>Дивидендный доход распределяется два раза в год. Вкладчики получают дивиденды, распределяемые в течение четырех месяцев со дня представления полугодовой и годовой бухгалтерской отчетности, пропорционально процентному соотношению их вкладов вкладчиков (</w:t>
      </w:r>
      <w:r>
        <w:rPr>
          <w:lang w:val="ru-RU"/>
        </w:rPr>
        <w:t>коммандитистов</w:t>
      </w:r>
      <w:r>
        <w:rPr/>
        <w:t>) в уставный фонд (уставный капитал) Товарищества к уставному фонду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Дивидендный доход каждого вкладчика формируется по формуле: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  <w:t>ДД=( Размер взноса вкладчика (</w:t>
      </w:r>
      <w:r>
        <w:rPr>
          <w:lang w:val="ru-RU"/>
        </w:rPr>
        <w:t>коммандитиста</w:t>
      </w:r>
      <w:r>
        <w:rPr/>
        <w:t>) * ДДС * срок владения в</w:t>
      </w:r>
      <w:r>
        <w:rPr>
          <w:lang w:val="ru-RU"/>
        </w:rPr>
        <w:t>кладом</w:t>
      </w:r>
      <w:r>
        <w:rPr/>
        <w:t xml:space="preserve"> в течение каждого финансового года / 365 </w:t>
      </w:r>
      <w:r>
        <w:rPr>
          <w:lang w:val="ru-RU"/>
        </w:rPr>
        <w:t>дней</w:t>
      </w:r>
      <w:r>
        <w:rPr/>
        <w:t>) – Дополнительный дивидендный доход полного партнера.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Где</w:t>
      </w:r>
      <w:r>
        <w:rPr/>
        <w:t>: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ДД – Дивидендный</w:t>
      </w:r>
      <w:r>
        <w:rPr>
          <w:lang w:val="ru-RU"/>
        </w:rPr>
        <w:t xml:space="preserve"> доход</w:t>
      </w:r>
      <w:r>
        <w:rPr/>
        <w:t>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 xml:space="preserve">ДДС – </w:t>
      </w:r>
      <w:r>
        <w:rPr>
          <w:lang w:val="ru-RU"/>
        </w:rPr>
        <w:t>ставка</w:t>
      </w:r>
      <w:r>
        <w:rPr/>
        <w:t xml:space="preserve"> дивидендно</w:t>
      </w:r>
      <w:r>
        <w:rPr>
          <w:lang w:val="ru-RU"/>
        </w:rPr>
        <w:t>го</w:t>
      </w:r>
      <w:r>
        <w:rPr/>
        <w:t xml:space="preserve"> доход</w:t>
      </w:r>
      <w:r>
        <w:rPr>
          <w:lang w:val="ru-RU"/>
        </w:rPr>
        <w:t>а</w:t>
      </w:r>
      <w:r>
        <w:rPr/>
        <w:t>, определяемая по результатам бухгалтерской отчетности;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Период владения вкладом в течение каждого финансового года – это период владения вкладом в течение каждого финансового года в результате его приобретения или внесения в уставный фонд (уставный капитал) общества. Каждый 1-й и 15-й день месяца;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Дополнительный дивидендный доход полного партнера – сумма, составляющая до 20 (двадцати) процентов от сумм дивидендного дохода вкладчика (</w:t>
      </w:r>
      <w:r>
        <w:rPr>
          <w:lang w:val="ru-RU"/>
        </w:rPr>
        <w:t>коммандитиста</w:t>
      </w:r>
      <w:r>
        <w:rPr/>
        <w:t xml:space="preserve">). 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  <w:t>При этом полные партнеры за первый год от вкладчиков (</w:t>
      </w:r>
      <w:r>
        <w:rPr>
          <w:lang w:val="ru-RU"/>
        </w:rPr>
        <w:t>коммандитистов</w:t>
      </w:r>
      <w:r>
        <w:rPr/>
        <w:t>) получают дополнительный доход в размере 0%. Полные партнеры могут увеличить процент дополнительного дохода на последующие годы. Увеличенный дополнительный дивидендный доход полных партнеров не может превышать 20 (двадцать) процентов.</w:t>
      </w:r>
    </w:p>
    <w:p>
      <w:pPr>
        <w:pStyle w:val="TextBody"/>
        <w:tabs>
          <w:tab w:val="clear" w:pos="708"/>
          <w:tab w:val="left" w:pos="1134" w:leader="none"/>
        </w:tabs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firstLine="709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Конфликтные ситуации в деятельности Товарищества и порядок их разрешения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Настоящий учредительный договор, разъяснения к нему и любые вытекающие из него или связанные с ним договорные обязательства регулируются в соответствии с законодательством Республики Узбекистан.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Стороны обязуются рассматривать и разрешать все споры, связанные с настоящим учредительным договором, в соответствии с настоящим учредительным договором.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Все споры, возникающие в рамках настоящего учредительного договора, в том числе споры о признании настоящего договора недействительным, должны проходить обязательную процедуру медиации в соответствии с Законом Республики Узбекистан «О медиации». Считается, что процесс посредничества начался с подачи жалобы от одной стороны к другой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 случае невозможности достижения взаимопонимания или разрешения спора, вытекающего из учредительного договора или связанного с ним, в том числе</w:t>
      </w:r>
      <w:r>
        <w:rPr>
          <w:lang w:val="ru-RU"/>
        </w:rPr>
        <w:t>, но не ограничиваясь,</w:t>
      </w:r>
      <w:r>
        <w:rPr/>
        <w:t xml:space="preserve"> по любому вопросу, касающемуся его существования, действительности и прекращения, а также ущерба, причиненного его нарушением или прекращением, будет рассмотрен в Арбитражном суде, постоянно действующем при НКО</w:t>
      </w:r>
      <w:r>
        <w:rPr>
          <w:lang w:val="ru-RU"/>
        </w:rPr>
        <w:t xml:space="preserve"> </w:t>
      </w:r>
      <w:r>
        <w:rPr/>
        <w:t>«</w:t>
      </w:r>
      <w:r>
        <w:rPr>
          <w:lang w:val="ru-RU"/>
        </w:rPr>
        <w:t>П</w:t>
      </w:r>
      <w:r>
        <w:rPr/>
        <w:t>равовая помощь потребителям», и должен быть подан для окончательного решения.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firstLine="709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ЗАКЛЮЧИТЕЛЬНОЕ ПОЛОЖЕНИЕ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Настоящий Договор вступает в силу с момента его государственной регистрации в порядке, установленном законодательством Республики Узбекистан.</w:t>
      </w:r>
    </w:p>
    <w:p>
      <w:pPr>
        <w:pStyle w:val="Normal"/>
        <w:spacing w:before="0" w:after="120"/>
        <w:ind w:firstLine="709"/>
        <w:rPr>
          <w:b/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spacing w:before="0" w:after="120"/>
        <w:ind w:firstLine="709"/>
        <w:rPr/>
      </w:pPr>
      <w:r>
        <w:rPr>
          <w:b/>
          <w:bCs/>
          <w:lang w:val="ru-RU"/>
        </w:rPr>
        <w:t>Полные партнеры</w:t>
      </w:r>
      <w:r>
        <w:rPr>
          <w:b/>
          <w:bCs/>
        </w:rPr>
        <w:t xml:space="preserve">: </w:t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</w:t>
      </w:r>
      <w:r>
        <w:rPr>
          <w:rFonts w:eastAsia="Arial"/>
          <w:lang w:val="en-US"/>
        </w:rPr>
        <w:t xml:space="preserve"> </w:t>
      </w:r>
      <w:r>
        <w:rPr>
          <w:rFonts w:eastAsia="Arial"/>
          <w:lang w:val="ru-RU"/>
        </w:rPr>
        <w:t>ООО</w:t>
      </w:r>
      <w:r>
        <w:rPr>
          <w:rFonts w:eastAsia="Arial"/>
          <w:lang w:val="en-US"/>
        </w:rPr>
        <w:t xml:space="preserve"> «</w:t>
      </w:r>
      <w:r>
        <w:rPr>
          <w:rFonts w:eastAsia="Arial"/>
        </w:rPr>
        <w:t>Way II Management</w:t>
      </w:r>
      <w:r>
        <w:rPr>
          <w:rFonts w:eastAsia="Arial"/>
          <w:lang w:val="en-US"/>
        </w:rPr>
        <w:t>»</w:t>
      </w:r>
      <w:r>
        <w:rPr>
          <w:rFonts w:eastAsia="Arial"/>
        </w:rPr>
        <w:t xml:space="preserve"> </w:t>
      </w:r>
    </w:p>
    <w:p>
      <w:pPr>
        <w:pStyle w:val="Normal"/>
        <w:ind w:firstLine="709"/>
        <w:rPr/>
      </w:pPr>
      <w:r>
        <w:rPr>
          <w:rFonts w:eastAsia="Arial"/>
        </w:rPr>
        <w:t xml:space="preserve">Касимходжаев Азиз Анварович  </w:t>
      </w:r>
      <w:r>
        <w:rPr>
          <w:rFonts w:eastAsia="Arial"/>
          <w:lang w:val="ru-RU"/>
        </w:rPr>
        <w:t>_______________________</w:t>
      </w:r>
    </w:p>
    <w:p>
      <w:pPr>
        <w:pStyle w:val="Normal"/>
        <w:spacing w:before="0" w:after="120"/>
        <w:ind w:firstLine="709"/>
        <w:rPr>
          <w:rFonts w:eastAsia="Arial"/>
          <w:b/>
          <w:b/>
          <w:bCs/>
          <w:lang w:val="ru-RU"/>
        </w:rPr>
      </w:pPr>
      <w:r>
        <w:rPr>
          <w:rFonts w:eastAsia="Arial"/>
          <w:b/>
          <w:bCs/>
          <w:lang w:val="ru-RU"/>
        </w:rPr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 ООО «</w:t>
      </w:r>
      <w:r>
        <w:rPr>
          <w:rFonts w:eastAsia="Arial"/>
        </w:rPr>
        <w:t>WAY TECHNO</w:t>
      </w:r>
      <w:r>
        <w:rPr>
          <w:rFonts w:eastAsia="Arial"/>
          <w:lang w:val="ru-RU"/>
        </w:rPr>
        <w:t>»</w:t>
      </w:r>
    </w:p>
    <w:p>
      <w:pPr>
        <w:pStyle w:val="Normal"/>
        <w:ind w:left="708" w:firstLine="1"/>
        <w:rPr/>
      </w:pPr>
      <w:r>
        <w:rPr>
          <w:rFonts w:eastAsia="Arial"/>
        </w:rPr>
        <w:t xml:space="preserve">Зокиров Темур Алишер </w:t>
      </w:r>
      <w:r>
        <w:rPr>
          <w:rFonts w:eastAsia="Arial"/>
          <w:lang w:val="ru-RU"/>
        </w:rPr>
        <w:t>углы</w:t>
      </w:r>
      <w:r>
        <w:rPr>
          <w:rFonts w:eastAsia="Arial"/>
        </w:rPr>
        <w:t xml:space="preserve">                        _______________________</w:t>
      </w:r>
    </w:p>
    <w:p>
      <w:pPr>
        <w:pStyle w:val="Normal"/>
        <w:ind w:left="708" w:firstLine="1"/>
        <w:rPr/>
      </w:pPr>
      <w:r>
        <w:rPr/>
        <w:t xml:space="preserve"> </w:t>
      </w:r>
      <w:r>
        <w:br w:type="page"/>
      </w:r>
    </w:p>
    <w:p>
      <w:pPr>
        <w:pStyle w:val="Style33"/>
        <w:spacing w:lineRule="auto" w:line="240" w:before="0" w:after="12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>ПРИЛОЖЕНИЕ</w:t>
      </w:r>
    </w:p>
    <w:p>
      <w:pPr>
        <w:pStyle w:val="Style33"/>
        <w:spacing w:lineRule="auto" w:line="240" w:before="0" w:after="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>УЧРЕДИТЕЛЬНОМУ ДОГОВОРУ</w:t>
      </w:r>
    </w:p>
    <w:p>
      <w:pPr>
        <w:pStyle w:val="Style33"/>
        <w:spacing w:lineRule="auto" w:line="240" w:before="0" w:after="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 xml:space="preserve">КОММАНДИТСКОГО ТОВАРИЩЕСТВА </w:t>
      </w:r>
    </w:p>
    <w:p>
      <w:pPr>
        <w:pStyle w:val="Style33"/>
        <w:spacing w:lineRule="auto" w:line="240" w:before="0" w:after="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 xml:space="preserve">«WAY II MANAGEMENT VA KOMPANIYA KOMMANDIT SHIRKAT» </w:t>
      </w:r>
    </w:p>
    <w:p>
      <w:pPr>
        <w:pStyle w:val="Style33"/>
        <w:spacing w:lineRule="auto" w:line="240" w:before="0" w:after="120"/>
        <w:ind w:left="4820" w:hanging="0"/>
        <w:contextualSpacing/>
        <w:jc w:val="center"/>
        <w:rPr>
          <w:rFonts w:ascii="Times New Roman" w:hAnsi="Times New Roman"/>
          <w:sz w:val="24"/>
          <w:szCs w:val="24"/>
          <w:lang w:val="uz-Cyrl-UZ" w:eastAsia="en-US"/>
        </w:rPr>
      </w:pPr>
      <w:r>
        <w:rPr>
          <w:rFonts w:ascii="Times New Roman" w:hAnsi="Times New Roman"/>
          <w:sz w:val="24"/>
          <w:szCs w:val="24"/>
          <w:lang w:val="uz-Cyrl-UZ" w:eastAsia="en-US"/>
        </w:rPr>
      </w:r>
    </w:p>
    <w:p>
      <w:pPr>
        <w:pStyle w:val="Style33"/>
        <w:spacing w:before="0" w:after="120"/>
        <w:ind w:left="0" w:hanging="0"/>
        <w:contextualSpacing/>
        <w:jc w:val="center"/>
        <w:rPr/>
      </w:pPr>
      <w:bookmarkStart w:id="7" w:name="_Hlk175690173"/>
      <w:bookmarkEnd w:id="7"/>
      <w:r>
        <w:rPr>
          <w:rFonts w:ascii="Times New Roman" w:hAnsi="Times New Roman"/>
          <w:b/>
          <w:bCs/>
          <w:sz w:val="24"/>
          <w:szCs w:val="24"/>
          <w:lang w:val="uz-Cyrl-UZ" w:eastAsia="en-US"/>
        </w:rPr>
        <w:t>НАИМЕНОВАНИЕ ПОЛНЫХ ПАРТНЕРОВ И ВКЛАДЧИКОВ В УСТАВНОМ ФОНДЕ «</w:t>
      </w:r>
      <w:bookmarkStart w:id="8" w:name="_Hlk177468593"/>
      <w:r>
        <w:rPr>
          <w:rFonts w:eastAsia="Arial" w:ascii="Times New Roman" w:hAnsi="Times New Roman"/>
          <w:b/>
          <w:sz w:val="24"/>
          <w:szCs w:val="24"/>
          <w:lang w:val="uz-Cyrl-UZ"/>
        </w:rPr>
        <w:t>WAY II MANAGEMENT VA KOMPANIYA KOMMANDIT SHIRKAT</w:t>
      </w:r>
      <w:bookmarkEnd w:id="8"/>
      <w:r>
        <w:rPr>
          <w:rFonts w:ascii="Times New Roman" w:hAnsi="Times New Roman"/>
          <w:b/>
          <w:bCs/>
          <w:sz w:val="24"/>
          <w:szCs w:val="24"/>
          <w:lang w:val="uz-Cyrl-UZ" w:eastAsia="en-US"/>
        </w:rPr>
        <w:t>» НОМИНАЛЬНАЯ СТОИМОСТЬ И ПРОЦЕНТНОЕ СООТНОШЕНИЕ ИХ ДОЛЕЙ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>
          <w:b/>
          <w:bCs/>
          <w:lang w:val="ru-RU"/>
        </w:rPr>
        <w:t>ВКЛАДЧИКИ</w:t>
      </w:r>
      <w:r>
        <w:rPr>
          <w:b/>
          <w:bCs/>
        </w:rPr>
        <w:t>:</w:t>
      </w:r>
    </w:p>
    <w:tbl>
      <w:tblPr>
        <w:tblW w:w="10422" w:type="dxa"/>
        <w:jc w:val="left"/>
        <w:tblInd w:w="-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03"/>
        <w:gridCol w:w="3686"/>
        <w:gridCol w:w="2489"/>
        <w:gridCol w:w="2126"/>
        <w:gridCol w:w="1418"/>
      </w:tblGrid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bCs/>
                <w:iCs/>
                <w:lang w:val="ru-RU" w:eastAsia="en-US"/>
              </w:rPr>
              <w:t>Наименование вкладчиков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bCs/>
                <w:iCs/>
                <w:lang w:val="en-US" w:eastAsia="en-US"/>
              </w:rPr>
              <w:t>Денежная стоимость вкладов (</w:t>
            </w:r>
            <w:r>
              <w:rPr>
                <w:b/>
                <w:bCs/>
                <w:iCs/>
                <w:lang w:val="ru-RU" w:eastAsia="en-US"/>
              </w:rPr>
              <w:t>с</w:t>
            </w:r>
            <w:r>
              <w:rPr>
                <w:b/>
                <w:bCs/>
                <w:iCs/>
                <w:lang w:val="en-US" w:eastAsia="en-US"/>
              </w:rPr>
              <w:t>ум)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bCs/>
                <w:iCs/>
                <w:lang w:val="en-US" w:eastAsia="en-US"/>
              </w:rPr>
              <w:t>Сумма вклада (в процентах)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lang w:val="ru-RU"/>
              </w:rPr>
              <w:t>Коль-во долей</w:t>
            </w:r>
          </w:p>
        </w:tc>
      </w:tr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</w:rPr>
              <w:t>{#kt_second_table} {no}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>{name}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>{</w:t>
            </w:r>
            <w:r>
              <w:rPr>
                <w:sz w:val="28"/>
                <w:szCs w:val="28"/>
                <w:highlight w:val="white"/>
              </w:rPr>
              <w:t>paid_amount</w:t>
            </w:r>
            <w:r>
              <w:rPr>
                <w:highlight w:val="white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>{percent}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  <w:lang w:val="ru-RU"/>
              </w:rPr>
              <w:t>{/kt_second_table}</w:t>
            </w:r>
            <w:r>
              <w:rPr>
                <w:highlight w:val="white"/>
                <w:lang w:val="ru-RU"/>
              </w:rPr>
              <w:t>{lotAmount}</w:t>
            </w:r>
          </w:p>
        </w:tc>
      </w:tr>
      <w:tr>
        <w:trPr/>
        <w:tc>
          <w:tcPr>
            <w:tcW w:w="43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20"/>
              <w:jc w:val="right"/>
              <w:rPr/>
            </w:pPr>
            <w:bookmarkStart w:id="9" w:name="_35nkun2"/>
            <w:bookmarkEnd w:id="9"/>
            <w:r>
              <w:rPr>
                <w:b/>
                <w:bCs/>
                <w:iCs/>
                <w:lang w:val="ru-RU" w:eastAsia="en-US"/>
              </w:rPr>
              <w:t>Итого</w:t>
            </w:r>
            <w:r>
              <w:rPr>
                <w:b/>
                <w:bCs/>
                <w:iCs/>
                <w:lang w:val="en-US" w:eastAsia="en-US"/>
              </w:rPr>
              <w:t>: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>{</w:t>
            </w:r>
            <w:r>
              <w:rPr>
                <w:sz w:val="28"/>
                <w:szCs w:val="28"/>
                <w:highlight w:val="white"/>
              </w:rPr>
              <w:t>total_amount</w:t>
            </w:r>
            <w:r>
              <w:rPr>
                <w:highlight w:val="white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>{total_percent}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  <w:lang w:val="ru-RU"/>
              </w:rPr>
              <w:t>{total_lotAmount}</w:t>
            </w:r>
          </w:p>
        </w:tc>
      </w:tr>
    </w:tbl>
    <w:p>
      <w:pPr>
        <w:pStyle w:val="Normal"/>
        <w:spacing w:before="0" w:after="120"/>
        <w:ind w:firstLine="709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ind w:firstLine="709"/>
        <w:rPr/>
      </w:pPr>
      <w:r>
        <w:rPr>
          <w:b/>
          <w:bCs/>
          <w:lang w:val="ru-RU"/>
        </w:rPr>
        <w:t>Полные партнеры</w:t>
      </w:r>
      <w:r>
        <w:rPr>
          <w:b/>
          <w:bCs/>
        </w:rPr>
        <w:t xml:space="preserve">: </w:t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</w:t>
      </w:r>
      <w:r>
        <w:rPr>
          <w:rFonts w:eastAsia="Arial"/>
          <w:lang w:val="en-US"/>
        </w:rPr>
        <w:t xml:space="preserve"> </w:t>
      </w:r>
      <w:r>
        <w:rPr>
          <w:rFonts w:eastAsia="Arial"/>
          <w:lang w:val="ru-RU"/>
        </w:rPr>
        <w:t>ООО</w:t>
      </w:r>
      <w:r>
        <w:rPr>
          <w:rFonts w:eastAsia="Arial"/>
          <w:lang w:val="en-US"/>
        </w:rPr>
        <w:t xml:space="preserve"> «</w:t>
      </w:r>
      <w:r>
        <w:rPr>
          <w:rFonts w:eastAsia="Arial"/>
        </w:rPr>
        <w:t>Way II Management</w:t>
      </w:r>
      <w:r>
        <w:rPr>
          <w:rFonts w:eastAsia="Arial"/>
          <w:lang w:val="en-US"/>
        </w:rPr>
        <w:t>»</w:t>
      </w:r>
      <w:r>
        <w:rPr>
          <w:rFonts w:eastAsia="Arial"/>
        </w:rPr>
        <w:t xml:space="preserve"> </w:t>
      </w:r>
    </w:p>
    <w:p>
      <w:pPr>
        <w:pStyle w:val="Normal"/>
        <w:ind w:firstLine="709"/>
        <w:rPr/>
      </w:pPr>
      <w:r>
        <w:rPr>
          <w:rFonts w:eastAsia="Arial"/>
        </w:rPr>
        <w:t xml:space="preserve">Касимходжаев Азиз Анварович  </w:t>
      </w:r>
      <w:r>
        <w:rPr>
          <w:rFonts w:eastAsia="Arial"/>
          <w:lang w:val="ru-RU"/>
        </w:rPr>
        <w:t>_______________________</w:t>
      </w:r>
    </w:p>
    <w:p>
      <w:pPr>
        <w:pStyle w:val="Normal"/>
        <w:spacing w:before="0" w:after="120"/>
        <w:ind w:firstLine="709"/>
        <w:rPr>
          <w:rFonts w:eastAsia="Arial"/>
          <w:b/>
          <w:b/>
          <w:bCs/>
          <w:lang w:val="ru-RU"/>
        </w:rPr>
      </w:pPr>
      <w:r>
        <w:rPr>
          <w:rFonts w:eastAsia="Arial"/>
          <w:b/>
          <w:bCs/>
          <w:lang w:val="ru-RU"/>
        </w:rPr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 ООО «</w:t>
      </w:r>
      <w:r>
        <w:rPr>
          <w:rFonts w:eastAsia="Arial"/>
        </w:rPr>
        <w:t>WAY TECHNO</w:t>
      </w:r>
      <w:r>
        <w:rPr>
          <w:rFonts w:eastAsia="Arial"/>
          <w:lang w:val="ru-RU"/>
        </w:rPr>
        <w:t>»</w:t>
      </w:r>
    </w:p>
    <w:p>
      <w:pPr>
        <w:pStyle w:val="Normal"/>
        <w:ind w:left="708" w:firstLine="1"/>
        <w:rPr/>
      </w:pPr>
      <w:r>
        <w:rPr>
          <w:rFonts w:eastAsia="Arial"/>
        </w:rPr>
        <w:t xml:space="preserve">Зокиров Темур Алишер </w:t>
      </w:r>
      <w:r>
        <w:rPr>
          <w:rFonts w:eastAsia="Arial"/>
          <w:lang w:val="ru-RU"/>
        </w:rPr>
        <w:t>углы</w:t>
      </w:r>
      <w:r>
        <w:rPr>
          <w:rFonts w:eastAsia="Arial"/>
        </w:rPr>
        <w:t xml:space="preserve">                        _______________________</w:t>
      </w:r>
    </w:p>
    <w:p>
      <w:pPr>
        <w:pStyle w:val="Normal"/>
        <w:spacing w:before="0" w:after="120"/>
        <w:rPr/>
      </w:pPr>
      <w:r>
        <w:rPr/>
      </w:r>
    </w:p>
    <w:sectPr>
      <w:headerReference w:type="default" r:id="rId2"/>
      <w:type w:val="nextPage"/>
      <w:pgSz w:w="11906" w:h="16838"/>
      <w:pgMar w:left="1418" w:right="851" w:gutter="0" w:header="709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AntiquaUz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_Journ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upperRoman"/>
      <w:suff w:val="space"/>
      <w:lvlText w:val="%1."/>
      <w:lvlJc w:val="right"/>
      <w:pPr>
        <w:tabs>
          <w:tab w:val="num" w:pos="0"/>
        </w:tabs>
        <w:ind w:left="720" w:hanging="360"/>
      </w:pPr>
      <w:rPr>
        <w:b/>
        <w:b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b w:val="false"/>
        <w:bCs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b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z-Cyrl-UZ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</w:rPr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>
      <w:sz w:val="26"/>
      <w:szCs w:val="26"/>
    </w:rPr>
  </w:style>
  <w:style w:type="character" w:styleId="WW8Num4z0" w:customStyle="1">
    <w:name w:val="WW8Num4z0"/>
    <w:qFormat/>
    <w:rPr>
      <w:b/>
      <w:bCs w:val="false"/>
    </w:rPr>
  </w:style>
  <w:style w:type="character" w:styleId="WW8Num4z1" w:customStyle="1">
    <w:name w:val="WW8Num4z1"/>
    <w:qFormat/>
    <w:rPr>
      <w:b w:val="false"/>
      <w:bCs/>
      <w:color w:val="000000"/>
    </w:rPr>
  </w:style>
  <w:style w:type="character" w:styleId="WW8Num4z2" w:customStyle="1">
    <w:name w:val="WW8Num4z2"/>
    <w:qFormat/>
    <w:rPr>
      <w:b/>
    </w:rPr>
  </w:style>
  <w:style w:type="character" w:styleId="WW8Num5z0" w:customStyle="1">
    <w:name w:val="WW8Num5z0"/>
    <w:qFormat/>
    <w:rPr>
      <w:u w:val="none"/>
    </w:rPr>
  </w:style>
  <w:style w:type="character" w:styleId="WW8Num6z0" w:customStyle="1">
    <w:name w:val="WW8Num6z0"/>
    <w:qFormat/>
    <w:rPr>
      <w:rFonts w:ascii="Times New Roman" w:hAnsi="Times New Roman" w:cs="Times New Roman"/>
    </w:rPr>
  </w:style>
  <w:style w:type="character" w:styleId="WW8Num6z1" w:customStyle="1">
    <w:name w:val="WW8Num6z1"/>
    <w:qFormat/>
    <w:rPr>
      <w:b w:val="false"/>
      <w:bCs w:val="false"/>
    </w:rPr>
  </w:style>
  <w:style w:type="character" w:styleId="WW8Num6z3" w:customStyle="1">
    <w:name w:val="WW8Num6z3"/>
    <w:qFormat/>
    <w:rPr/>
  </w:style>
  <w:style w:type="character" w:styleId="WW8Num7z0" w:customStyle="1">
    <w:name w:val="WW8Num7z0"/>
    <w:qFormat/>
    <w:rPr>
      <w:u w:val="none"/>
    </w:rPr>
  </w:style>
  <w:style w:type="character" w:styleId="WW8Num10z0" w:customStyle="1">
    <w:name w:val="WW8Num10z0"/>
    <w:qFormat/>
    <w:rPr>
      <w:u w:val="none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2z0" w:customStyle="1">
    <w:name w:val="WW8Num12z0"/>
    <w:qFormat/>
    <w:rPr/>
  </w:style>
  <w:style w:type="character" w:styleId="WW8Num13z0" w:customStyle="1">
    <w:name w:val="WW8Num13z0"/>
    <w:qFormat/>
    <w:rPr>
      <w:u w:val="none"/>
    </w:rPr>
  </w:style>
  <w:style w:type="character" w:styleId="Style14" w:customStyle="1">
    <w:name w:val="Основной шрифт абзаца"/>
    <w:qFormat/>
    <w:rPr/>
  </w:style>
  <w:style w:type="character" w:styleId="Style15" w:customStyle="1">
    <w:name w:val="Основной текст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character" w:styleId="Style16" w:customStyle="1">
    <w:name w:val="Дата Знак"/>
    <w:qFormat/>
    <w:rPr>
      <w:rFonts w:ascii="AntiquaUz" w:hAnsi="AntiquaUz" w:eastAsia="Times New Roman" w:cs="AntiquaUz"/>
      <w:sz w:val="20"/>
      <w:szCs w:val="20"/>
    </w:rPr>
  </w:style>
  <w:style w:type="character" w:styleId="Style17" w:customStyle="1">
    <w:name w:val="Подпись Знак"/>
    <w:qFormat/>
    <w:rPr>
      <w:rFonts w:ascii="AntiquaUz" w:hAnsi="AntiquaUz" w:eastAsia="Times New Roman" w:cs="AntiquaUz"/>
      <w:b/>
      <w:bCs/>
    </w:rPr>
  </w:style>
  <w:style w:type="character" w:styleId="Style18" w:customStyle="1">
    <w:name w:val="Текст выноски Знак"/>
    <w:qFormat/>
    <w:rPr>
      <w:rFonts w:ascii="Segoe UI" w:hAnsi="Segoe UI" w:eastAsia="Times New Roman" w:cs="Segoe UI"/>
      <w:sz w:val="18"/>
      <w:szCs w:val="18"/>
      <w:lang w:val="uz-Cyrl-UZ"/>
    </w:rPr>
  </w:style>
  <w:style w:type="character" w:styleId="2" w:customStyle="1">
    <w:name w:val="Основной текст с отступом 2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character" w:styleId="Normaltextrun" w:customStyle="1">
    <w:name w:val="normaltextrun"/>
    <w:basedOn w:val="Style14"/>
    <w:qFormat/>
    <w:rPr/>
  </w:style>
  <w:style w:type="character" w:styleId="InternetLink">
    <w:name w:val="Hyperlink"/>
    <w:rPr>
      <w:color w:val="0000FF"/>
      <w:u w:val="single"/>
    </w:rPr>
  </w:style>
  <w:style w:type="character" w:styleId="Exact" w:customStyle="1">
    <w:name w:val="Основной текст Exac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1"/>
      <w:w w:val="100"/>
      <w:position w:val="0"/>
      <w:sz w:val="20"/>
      <w:sz w:val="20"/>
      <w:szCs w:val="20"/>
      <w:u w:val="none"/>
      <w:vertAlign w:val="baseline"/>
    </w:rPr>
  </w:style>
  <w:style w:type="character" w:styleId="5Exact" w:customStyle="1">
    <w:name w:val="Основной текст (5) Exact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2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Style19" w:customStyle="1">
    <w:name w:val="Верхний колонтитул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character" w:styleId="Style20" w:customStyle="1">
    <w:name w:val="Нижний колонтитул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overflowPunct w:val="true"/>
      <w:ind w:left="283" w:hanging="283"/>
      <w:textAlignment w:val="baseline"/>
    </w:pPr>
    <w:rPr>
      <w:rFonts w:ascii="U_Journ" w:hAnsi="U_Journ" w:eastAsia="MS Mincho" w:cs="U_Journ"/>
      <w:sz w:val="28"/>
      <w:szCs w:val="28"/>
      <w:lang w:val="ru-RU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Style21" w:customStyle="1">
    <w:name w:val="Содержание"/>
    <w:basedOn w:val="TextBody"/>
    <w:qFormat/>
    <w:pPr>
      <w:spacing w:before="0" w:after="113"/>
      <w:ind w:left="425" w:hanging="425"/>
      <w:jc w:val="both"/>
    </w:pPr>
    <w:rPr>
      <w:rFonts w:ascii="AntiquaUz" w:hAnsi="AntiquaUz" w:cs="AntiquaUz"/>
      <w:sz w:val="22"/>
      <w:szCs w:val="22"/>
      <w:lang w:val="ru-RU"/>
    </w:rPr>
  </w:style>
  <w:style w:type="paragraph" w:styleId="Style22" w:customStyle="1">
    <w:name w:val="По центру"/>
    <w:basedOn w:val="TextBody"/>
    <w:qFormat/>
    <w:pPr>
      <w:spacing w:before="0" w:after="283"/>
      <w:jc w:val="center"/>
    </w:pPr>
    <w:rPr>
      <w:rFonts w:ascii="AntiquaUz" w:hAnsi="AntiquaUz" w:cs="AntiquaUz"/>
      <w:b/>
      <w:bCs/>
      <w:lang w:val="ru-RU"/>
    </w:rPr>
  </w:style>
  <w:style w:type="paragraph" w:styleId="Style23" w:customStyle="1">
    <w:name w:val="Название док-та"/>
    <w:qFormat/>
    <w:pPr>
      <w:widowControl/>
      <w:tabs>
        <w:tab w:val="clear" w:pos="708"/>
        <w:tab w:val="left" w:pos="1134" w:leader="none"/>
      </w:tabs>
      <w:suppressAutoHyphens w:val="true"/>
      <w:bidi w:val="0"/>
      <w:spacing w:lineRule="atLeast" w:line="264" w:before="0" w:after="340"/>
      <w:jc w:val="both"/>
    </w:pPr>
    <w:rPr>
      <w:rFonts w:ascii="AntiquaUz" w:hAnsi="AntiquaUz" w:cs="AntiquaUz" w:eastAsia="Times New Roman"/>
      <w:b/>
      <w:bCs/>
      <w:color w:val="auto"/>
      <w:kern w:val="0"/>
      <w:sz w:val="24"/>
      <w:szCs w:val="24"/>
      <w:lang w:val="ru-RU" w:eastAsia="zh-CN" w:bidi="ar-SA"/>
    </w:rPr>
  </w:style>
  <w:style w:type="paragraph" w:styleId="8" w:customStyle="1">
    <w:name w:val="по центру 8"/>
    <w:basedOn w:val="TextBody"/>
    <w:qFormat/>
    <w:pPr>
      <w:spacing w:before="283" w:after="283"/>
      <w:jc w:val="center"/>
    </w:pPr>
    <w:rPr>
      <w:rFonts w:ascii="AntiquaUz" w:hAnsi="AntiquaUz" w:cs="AntiquaUz"/>
      <w:b/>
      <w:bCs/>
      <w:sz w:val="22"/>
      <w:szCs w:val="22"/>
      <w:lang w:val="ru-RU"/>
    </w:rPr>
  </w:style>
  <w:style w:type="paragraph" w:styleId="Style24" w:customStyle="1">
    <w:name w:val="Дата"/>
    <w:basedOn w:val="TextBody"/>
    <w:next w:val="Normal"/>
    <w:qFormat/>
    <w:pPr>
      <w:spacing w:lineRule="atLeast" w:line="230" w:before="227" w:after="0"/>
      <w:ind w:left="425" w:right="5102" w:hanging="0"/>
      <w:jc w:val="center"/>
    </w:pPr>
    <w:rPr>
      <w:rFonts w:ascii="AntiquaUz" w:hAnsi="AntiquaUz" w:cs="AntiquaUz"/>
      <w:sz w:val="20"/>
      <w:szCs w:val="20"/>
      <w:lang w:val="ru-RU"/>
    </w:rPr>
  </w:style>
  <w:style w:type="paragraph" w:styleId="Signature">
    <w:name w:val="Signature"/>
    <w:basedOn w:val="TextBody"/>
    <w:pPr>
      <w:spacing w:before="340" w:after="0"/>
      <w:ind w:left="425" w:hanging="0"/>
    </w:pPr>
    <w:rPr>
      <w:rFonts w:ascii="AntiquaUz" w:hAnsi="AntiquaUz" w:cs="AntiquaUz"/>
      <w:b/>
      <w:bCs/>
      <w:sz w:val="22"/>
      <w:szCs w:val="22"/>
      <w:lang w:val="ru-RU"/>
    </w:rPr>
  </w:style>
  <w:style w:type="paragraph" w:styleId="Style25" w:customStyle="1">
    <w:name w:val="Название документа"/>
    <w:qFormat/>
    <w:pPr>
      <w:widowControl/>
      <w:tabs>
        <w:tab w:val="clear" w:pos="708"/>
        <w:tab w:val="left" w:pos="1134" w:leader="none"/>
      </w:tabs>
      <w:suppressAutoHyphens w:val="true"/>
      <w:bidi w:val="0"/>
      <w:spacing w:lineRule="atLeast" w:line="264" w:before="0" w:after="340"/>
      <w:ind w:left="1134" w:hanging="1134"/>
      <w:jc w:val="both"/>
    </w:pPr>
    <w:rPr>
      <w:rFonts w:ascii="AntiquaUz" w:hAnsi="AntiquaUz" w:cs="AntiquaUz" w:eastAsia="Times New Roman"/>
      <w:b/>
      <w:bCs/>
      <w:color w:val="auto"/>
      <w:kern w:val="0"/>
      <w:sz w:val="24"/>
      <w:szCs w:val="24"/>
      <w:lang w:val="ru-RU" w:eastAsia="zh-CN" w:bidi="ar-SA"/>
    </w:rPr>
  </w:style>
  <w:style w:type="paragraph" w:styleId="Style26" w:customStyle="1">
    <w:name w:val="Тип документа"/>
    <w:basedOn w:val="TextBody"/>
    <w:qFormat/>
    <w:pPr>
      <w:spacing w:before="0" w:after="0"/>
      <w:jc w:val="center"/>
    </w:pPr>
    <w:rPr>
      <w:rFonts w:ascii="AntiquaUz" w:hAnsi="AntiquaUz" w:cs="AntiquaUz"/>
      <w:caps/>
      <w:sz w:val="22"/>
      <w:szCs w:val="22"/>
      <w:lang w:val="ru-RU"/>
    </w:rPr>
  </w:style>
  <w:style w:type="paragraph" w:styleId="Style27" w:customStyle="1">
    <w:name w:val="Приложение"/>
    <w:basedOn w:val="TextBody"/>
    <w:qFormat/>
    <w:pPr>
      <w:keepLines/>
      <w:spacing w:before="454" w:after="0"/>
      <w:ind w:left="3402" w:hanging="0"/>
      <w:jc w:val="center"/>
    </w:pPr>
    <w:rPr>
      <w:rFonts w:ascii="AntiquaUz" w:hAnsi="AntiquaUz" w:cs="AntiquaUz"/>
      <w:sz w:val="20"/>
      <w:szCs w:val="20"/>
      <w:lang w:val="ru-RU"/>
    </w:rPr>
  </w:style>
  <w:style w:type="paragraph" w:styleId="Style28" w:customStyle="1">
    <w:name w:val="Подпись (копия)"/>
    <w:basedOn w:val="TextBody"/>
    <w:qFormat/>
    <w:pPr>
      <w:spacing w:before="340" w:after="0"/>
      <w:ind w:left="425" w:hanging="0"/>
    </w:pPr>
    <w:rPr>
      <w:rFonts w:ascii="AntiquaUz" w:hAnsi="AntiquaUz" w:cs="AntiquaUz"/>
      <w:b/>
      <w:bCs/>
      <w:i/>
      <w:iCs/>
      <w:sz w:val="22"/>
      <w:szCs w:val="22"/>
      <w:lang w:val="ru-RU"/>
    </w:rPr>
  </w:style>
  <w:style w:type="paragraph" w:styleId="Style29" w:customStyle="1">
    <w:name w:val="Регистрационный"/>
    <w:basedOn w:val="TextBody"/>
    <w:qFormat/>
    <w:pPr>
      <w:spacing w:before="0" w:after="170"/>
      <w:ind w:left="57" w:right="57" w:firstLine="425"/>
      <w:jc w:val="both"/>
    </w:pPr>
    <w:rPr>
      <w:rFonts w:ascii="AntiquaUz" w:hAnsi="AntiquaUz" w:cs="AntiquaUz"/>
      <w:b/>
      <w:bCs/>
      <w:i/>
      <w:iCs/>
      <w:sz w:val="22"/>
      <w:szCs w:val="22"/>
      <w:lang w:val="ru-RU"/>
    </w:rPr>
  </w:style>
  <w:style w:type="paragraph" w:styleId="1" w:customStyle="1">
    <w:name w:val="Приложение 1"/>
    <w:basedOn w:val="TextBody"/>
    <w:qFormat/>
    <w:pPr>
      <w:keepLines/>
      <w:spacing w:lineRule="atLeast" w:line="240" w:before="0" w:after="283"/>
      <w:ind w:left="3969" w:hanging="0"/>
    </w:pPr>
    <w:rPr>
      <w:rFonts w:ascii="AntiquaUz" w:hAnsi="AntiquaUz" w:cs="AntiquaUz"/>
      <w:sz w:val="20"/>
      <w:szCs w:val="20"/>
      <w:lang w:val="ru-RU"/>
    </w:rPr>
  </w:style>
  <w:style w:type="paragraph" w:styleId="Style30" w:customStyle="1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31" w:customStyle="1">
    <w:name w:val="Обычный отступ"/>
    <w:basedOn w:val="Normal"/>
    <w:qFormat/>
    <w:pPr>
      <w:ind w:left="720" w:hanging="0"/>
    </w:pPr>
    <w:rPr>
      <w:rFonts w:eastAsia="MS Mincho"/>
      <w:sz w:val="20"/>
      <w:szCs w:val="20"/>
      <w:lang w:val="ru-RU"/>
    </w:rPr>
  </w:style>
  <w:style w:type="paragraph" w:styleId="21" w:customStyle="1">
    <w:name w:val="Маркированный список 2"/>
    <w:basedOn w:val="Normal"/>
    <w:qFormat/>
    <w:pPr>
      <w:spacing w:before="0" w:after="120"/>
      <w:jc w:val="both"/>
    </w:pPr>
    <w:rPr>
      <w:rFonts w:eastAsia="MS Mincho"/>
      <w:spacing w:val="-5"/>
      <w:sz w:val="21"/>
      <w:szCs w:val="21"/>
      <w:lang w:val="ru-RU" w:eastAsia="en-US"/>
    </w:rPr>
  </w:style>
  <w:style w:type="paragraph" w:styleId="4" w:customStyle="1">
    <w:name w:val="Маркированный список 4"/>
    <w:basedOn w:val="Normal"/>
    <w:qFormat/>
    <w:pPr>
      <w:numPr>
        <w:ilvl w:val="0"/>
        <w:numId w:val="1"/>
      </w:numPr>
      <w:spacing w:before="0" w:after="0"/>
      <w:contextualSpacing/>
    </w:pPr>
    <w:rPr/>
  </w:style>
  <w:style w:type="paragraph" w:styleId="Style32" w:customStyle="1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z-Cyrl-UZ" w:eastAsia="zh-CN" w:bidi="ar-SA"/>
    </w:rPr>
  </w:style>
  <w:style w:type="paragraph" w:styleId="22" w:customStyle="1">
    <w:name w:val="Основной текст с отступом 2"/>
    <w:basedOn w:val="Normal"/>
    <w:qFormat/>
    <w:pPr>
      <w:spacing w:lineRule="auto" w:line="480" w:before="0" w:after="120"/>
      <w:ind w:left="283" w:hanging="0"/>
    </w:pPr>
    <w:rPr/>
  </w:style>
  <w:style w:type="paragraph" w:styleId="Style33" w:customStyle="1">
    <w:name w:val="Абзац списка"/>
    <w:basedOn w:val="Normal"/>
    <w:qFormat/>
    <w:pPr>
      <w:spacing w:lineRule="auto" w:line="254" w:before="0" w:after="160"/>
      <w:ind w:left="720" w:hanging="0"/>
      <w:contextualSpacing/>
    </w:pPr>
    <w:rPr>
      <w:rFonts w:ascii="Calibri" w:hAnsi="Calibri" w:eastAsia="Calibri"/>
      <w:sz w:val="22"/>
      <w:szCs w:val="22"/>
      <w:lang w:val="ru-RU"/>
    </w:rPr>
  </w:style>
  <w:style w:type="paragraph" w:styleId="Paragraph" w:customStyle="1">
    <w:name w:val="paragraph"/>
    <w:basedOn w:val="Normal"/>
    <w:qFormat/>
    <w:pPr>
      <w:spacing w:before="280" w:after="280"/>
    </w:pPr>
    <w:rPr>
      <w:lang w:val="ru-RU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LO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GB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DocSecurity>4</DocSecurity>
  <Pages>9</Pages>
  <Words>2231</Words>
  <Characters>16127</Characters>
  <CharactersWithSpaces>18174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2024-09-27T03:04:00Z</dcterms:created>
  <dc:creator>8-1-7</dc:creator>
  <dc:description/>
  <dc:language>en-GB</dc:language>
  <cp:lastModifiedBy>word</cp:lastModifiedBy>
  <cp:lastPrinted>2024-09-23T11:00:00Z</cp:lastPrinted>
  <dcterms:modified xsi:type="dcterms:W3CDTF">2024-09-27T03:04:00Z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