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both"/>
        <w:rPr>
          <w:sz w:val="28"/>
          <w:szCs w:val="28"/>
        </w:rPr>
      </w:pPr>
      <w:r w:rsidDel="00000000" w:rsidR="00000000" w:rsidRPr="00000000">
        <w:rPr>
          <w:rtl w:val="0"/>
        </w:rPr>
      </w:r>
    </w:p>
    <w:tbl>
      <w:tblPr>
        <w:tblStyle w:val="Table1"/>
        <w:tblW w:w="9751.0" w:type="dxa"/>
        <w:jc w:val="center"/>
        <w:tblLayout w:type="fixed"/>
        <w:tblLook w:val="0000"/>
      </w:tblPr>
      <w:tblGrid>
        <w:gridCol w:w="4284"/>
        <w:gridCol w:w="5467"/>
        <w:tblGridChange w:id="0">
          <w:tblGrid>
            <w:gridCol w:w="4284"/>
            <w:gridCol w:w="5467"/>
          </w:tblGrid>
        </w:tblGridChange>
      </w:tblGrid>
      <w:tr>
        <w:trPr>
          <w:cantSplit w:val="0"/>
          <w:tblHeader w:val="0"/>
        </w:trPr>
        <w:tc>
          <w:tcPr>
            <w:shd w:fill="auto" w:val="clear"/>
          </w:tcPr>
          <w:p w:rsidR="00000000" w:rsidDel="00000000" w:rsidP="00000000" w:rsidRDefault="00000000" w:rsidRPr="00000000" w14:paraId="00000002">
            <w:pPr>
              <w:spacing w:after="120" w:lineRule="auto"/>
              <w:jc w:val="center"/>
              <w:rPr>
                <w:sz w:val="28"/>
                <w:szCs w:val="28"/>
              </w:rPr>
            </w:pPr>
            <w:r w:rsidDel="00000000" w:rsidR="00000000" w:rsidRPr="00000000">
              <w:rPr>
                <w:rtl w:val="0"/>
              </w:rPr>
            </w:r>
          </w:p>
        </w:tc>
        <w:tc>
          <w:tcPr>
            <w:shd w:fill="auto" w:val="clear"/>
          </w:tcPr>
          <w:p w:rsidR="00000000" w:rsidDel="00000000" w:rsidP="00000000" w:rsidRDefault="00000000" w:rsidRPr="00000000" w14:paraId="00000003">
            <w:pPr>
              <w:jc w:val="center"/>
              <w:rPr/>
            </w:pPr>
            <w:bookmarkStart w:colFirst="0" w:colLast="0" w:name="_gjdgxs" w:id="0"/>
            <w:bookmarkEnd w:id="0"/>
            <w:r w:rsidDel="00000000" w:rsidR="00000000" w:rsidRPr="00000000">
              <w:rPr>
                <w:b w:val="1"/>
                <w:sz w:val="28"/>
                <w:szCs w:val="28"/>
                <w:rtl w:val="0"/>
              </w:rPr>
              <w:t xml:space="preserve">Based on the minutes of the general meeting of general partners of a limited partnership </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sz w:val="28"/>
                <w:szCs w:val="28"/>
                <w:rtl w:val="0"/>
              </w:rPr>
              <w:t xml:space="preserve">“</w:t>
            </w:r>
            <w:r w:rsidDel="00000000" w:rsidR="00000000" w:rsidRPr="00000000">
              <w:rPr>
                <w:b w:val="1"/>
                <w:sz w:val="26"/>
                <w:szCs w:val="26"/>
                <w:rtl w:val="0"/>
              </w:rPr>
              <w:t xml:space="preserve">WAYLL FUND KOMMANDIT SHIRKAT KOMMANDIT SHIRKAT</w:t>
            </w:r>
            <w:r w:rsidDel="00000000" w:rsidR="00000000" w:rsidRPr="00000000">
              <w:rPr>
                <w:b w:val="1"/>
                <w:sz w:val="28"/>
                <w:szCs w:val="28"/>
                <w:rtl w:val="0"/>
              </w:rPr>
              <w:t xml:space="preserve">” </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sz w:val="28"/>
                <w:szCs w:val="28"/>
                <w:rtl w:val="0"/>
              </w:rPr>
              <w:t xml:space="preserve">No. {pdf_number} dated {day} {month} 2025 </w:t>
            </w:r>
            <w:r w:rsidDel="00000000" w:rsidR="00000000" w:rsidRPr="00000000">
              <w:rPr>
                <w:rtl w:val="0"/>
              </w:rPr>
            </w:r>
          </w:p>
          <w:p w:rsidR="00000000" w:rsidDel="00000000" w:rsidP="00000000" w:rsidRDefault="00000000" w:rsidRPr="00000000" w14:paraId="00000006">
            <w:pPr>
              <w:jc w:val="center"/>
              <w:rPr>
                <w:b w:val="1"/>
                <w:sz w:val="28"/>
                <w:szCs w:val="28"/>
              </w:rPr>
            </w:pPr>
            <w:r w:rsidDel="00000000" w:rsidR="00000000" w:rsidRPr="00000000">
              <w:rPr>
                <w:rtl w:val="0"/>
              </w:rPr>
            </w:r>
          </w:p>
        </w:tc>
      </w:tr>
    </w:tbl>
    <w:p w:rsidR="00000000" w:rsidDel="00000000" w:rsidP="00000000" w:rsidRDefault="00000000" w:rsidRPr="00000000" w14:paraId="00000007">
      <w:pPr>
        <w:spacing w:after="120" w:lineRule="auto"/>
        <w:jc w:val="both"/>
        <w:rPr>
          <w:sz w:val="28"/>
          <w:szCs w:val="28"/>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ntiquaUz" w:cs="AntiquaUz" w:eastAsia="AntiquaUz" w:hAnsi="AntiquaUz"/>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44"/>
          <w:szCs w:val="44"/>
          <w:u w:val="none"/>
          <w:shd w:fill="auto" w:val="clear"/>
          <w:vertAlign w:val="baseline"/>
          <w:rtl w:val="0"/>
        </w:rPr>
        <w:t xml:space="preserve">FOUNDING AGREEMENT OF </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ntiquaUz" w:cs="AntiquaUz" w:eastAsia="AntiquaUz" w:hAnsi="AntiquaUz"/>
          <w:b w:val="1"/>
          <w:i w:val="0"/>
          <w:smallCaps w:val="0"/>
          <w:strike w:val="0"/>
          <w:color w:val="000000"/>
          <w:sz w:val="22"/>
          <w:szCs w:val="22"/>
          <w:u w:val="none"/>
          <w:shd w:fill="auto" w:val="clear"/>
          <w:vertAlign w:val="baseline"/>
        </w:rPr>
      </w:pPr>
      <w:bookmarkStart w:colFirst="0" w:colLast="0" w:name="_30j0zll" w:id="1"/>
      <w:bookmarkEnd w:id="1"/>
      <w:r w:rsidDel="00000000" w:rsidR="00000000" w:rsidRPr="00000000">
        <w:rPr>
          <w:rFonts w:ascii="Times New Roman" w:cs="Times New Roman" w:eastAsia="Times New Roman" w:hAnsi="Times New Roman"/>
          <w:b w:val="1"/>
          <w:i w:val="0"/>
          <w:smallCaps w:val="0"/>
          <w:strike w:val="0"/>
          <w:color w:val="000000"/>
          <w:sz w:val="44"/>
          <w:szCs w:val="44"/>
          <w:u w:val="none"/>
          <w:shd w:fill="auto" w:val="clear"/>
          <w:vertAlign w:val="baseline"/>
          <w:rtl w:val="0"/>
        </w:rPr>
        <w:t xml:space="preserve">«WAY II MANAGEMENT VA KOMPANIYA KOMMANDIT SHIRKAT»</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ntiquaUz" w:cs="AntiquaUz" w:eastAsia="AntiquaUz" w:hAnsi="AntiquaUz"/>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44"/>
          <w:szCs w:val="44"/>
          <w:u w:val="none"/>
          <w:shd w:fill="auto" w:val="clear"/>
          <w:vertAlign w:val="baseline"/>
          <w:rtl w:val="0"/>
        </w:rPr>
        <w:t xml:space="preserve">LIMITED PARTNERSHIP</w:t>
      </w:r>
      <w:r w:rsidDel="00000000" w:rsidR="00000000" w:rsidRPr="00000000">
        <w:rPr>
          <w:rtl w:val="0"/>
        </w:rPr>
      </w:r>
    </w:p>
    <w:p w:rsidR="00000000" w:rsidDel="00000000" w:rsidP="00000000" w:rsidRDefault="00000000" w:rsidRPr="00000000" w14:paraId="00000011">
      <w:pPr>
        <w:spacing w:after="120" w:lineRule="auto"/>
        <w:jc w:val="center"/>
        <w:rPr/>
      </w:pPr>
      <w:r w:rsidDel="00000000" w:rsidR="00000000" w:rsidRPr="00000000">
        <w:rPr>
          <w:b w:val="1"/>
          <w:sz w:val="44"/>
          <w:szCs w:val="44"/>
          <w:rtl w:val="0"/>
        </w:rPr>
        <w:t xml:space="preserve">(</w:t>
      </w:r>
      <w:r w:rsidDel="00000000" w:rsidR="00000000" w:rsidRPr="00000000">
        <w:rPr>
          <w:b w:val="1"/>
          <w:i w:val="1"/>
          <w:sz w:val="44"/>
          <w:szCs w:val="44"/>
          <w:rtl w:val="0"/>
        </w:rPr>
        <w:t xml:space="preserve">new edition</w:t>
      </w:r>
      <w:r w:rsidDel="00000000" w:rsidR="00000000" w:rsidRPr="00000000">
        <w:rPr>
          <w:b w:val="1"/>
          <w:sz w:val="44"/>
          <w:szCs w:val="44"/>
          <w:rtl w:val="0"/>
        </w:rPr>
        <w:t xml:space="preserve">)</w:t>
      </w:r>
      <w:r w:rsidDel="00000000" w:rsidR="00000000" w:rsidRPr="00000000">
        <w:rPr>
          <w:rtl w:val="0"/>
        </w:rPr>
      </w:r>
    </w:p>
    <w:p w:rsidR="00000000" w:rsidDel="00000000" w:rsidP="00000000" w:rsidRDefault="00000000" w:rsidRPr="00000000" w14:paraId="00000012">
      <w:pPr>
        <w:spacing w:after="120" w:lineRule="auto"/>
        <w:jc w:val="center"/>
        <w:rPr>
          <w:b w:val="1"/>
          <w:sz w:val="44"/>
          <w:szCs w:val="44"/>
        </w:rPr>
      </w:pPr>
      <w:r w:rsidDel="00000000" w:rsidR="00000000" w:rsidRPr="00000000">
        <w:rPr>
          <w:rtl w:val="0"/>
        </w:rPr>
      </w:r>
    </w:p>
    <w:p w:rsidR="00000000" w:rsidDel="00000000" w:rsidP="00000000" w:rsidRDefault="00000000" w:rsidRPr="00000000" w14:paraId="00000013">
      <w:pPr>
        <w:spacing w:after="120" w:lineRule="auto"/>
        <w:jc w:val="center"/>
        <w:rPr>
          <w:sz w:val="40"/>
          <w:szCs w:val="40"/>
        </w:rPr>
      </w:pPr>
      <w:r w:rsidDel="00000000" w:rsidR="00000000" w:rsidRPr="00000000">
        <w:rPr>
          <w:rtl w:val="0"/>
        </w:rPr>
      </w:r>
    </w:p>
    <w:p w:rsidR="00000000" w:rsidDel="00000000" w:rsidP="00000000" w:rsidRDefault="00000000" w:rsidRPr="00000000" w14:paraId="00000014">
      <w:pPr>
        <w:spacing w:after="120" w:lineRule="auto"/>
        <w:jc w:val="center"/>
        <w:rPr>
          <w:sz w:val="40"/>
          <w:szCs w:val="40"/>
        </w:rPr>
      </w:pPr>
      <w:r w:rsidDel="00000000" w:rsidR="00000000" w:rsidRPr="00000000">
        <w:rPr>
          <w:rtl w:val="0"/>
        </w:rPr>
      </w:r>
    </w:p>
    <w:p w:rsidR="00000000" w:rsidDel="00000000" w:rsidP="00000000" w:rsidRDefault="00000000" w:rsidRPr="00000000" w14:paraId="00000015">
      <w:pPr>
        <w:spacing w:after="120" w:lineRule="auto"/>
        <w:jc w:val="center"/>
        <w:rPr>
          <w:sz w:val="40"/>
          <w:szCs w:val="40"/>
        </w:rPr>
      </w:pPr>
      <w:r w:rsidDel="00000000" w:rsidR="00000000" w:rsidRPr="00000000">
        <w:rPr>
          <w:rtl w:val="0"/>
        </w:rPr>
      </w:r>
    </w:p>
    <w:p w:rsidR="00000000" w:rsidDel="00000000" w:rsidP="00000000" w:rsidRDefault="00000000" w:rsidRPr="00000000" w14:paraId="00000016">
      <w:pPr>
        <w:spacing w:after="120" w:lineRule="auto"/>
        <w:jc w:val="center"/>
        <w:rPr>
          <w:sz w:val="28"/>
          <w:szCs w:val="28"/>
        </w:rPr>
      </w:pPr>
      <w:r w:rsidDel="00000000" w:rsidR="00000000" w:rsidRPr="00000000">
        <w:rPr>
          <w:rtl w:val="0"/>
        </w:rPr>
      </w:r>
    </w:p>
    <w:p w:rsidR="00000000" w:rsidDel="00000000" w:rsidP="00000000" w:rsidRDefault="00000000" w:rsidRPr="00000000" w14:paraId="00000017">
      <w:pPr>
        <w:spacing w:after="120" w:lineRule="auto"/>
        <w:jc w:val="center"/>
        <w:rPr>
          <w:sz w:val="28"/>
          <w:szCs w:val="28"/>
        </w:rPr>
      </w:pPr>
      <w:r w:rsidDel="00000000" w:rsidR="00000000" w:rsidRPr="00000000">
        <w:rPr>
          <w:rtl w:val="0"/>
        </w:rPr>
      </w:r>
    </w:p>
    <w:p w:rsidR="00000000" w:rsidDel="00000000" w:rsidP="00000000" w:rsidRDefault="00000000" w:rsidRPr="00000000" w14:paraId="00000018">
      <w:pPr>
        <w:spacing w:after="120" w:lineRule="auto"/>
        <w:jc w:val="center"/>
        <w:rPr>
          <w:sz w:val="28"/>
          <w:szCs w:val="28"/>
        </w:rPr>
      </w:pPr>
      <w:r w:rsidDel="00000000" w:rsidR="00000000" w:rsidRPr="00000000">
        <w:rPr>
          <w:rtl w:val="0"/>
        </w:rPr>
      </w:r>
    </w:p>
    <w:p w:rsidR="00000000" w:rsidDel="00000000" w:rsidP="00000000" w:rsidRDefault="00000000" w:rsidRPr="00000000" w14:paraId="00000019">
      <w:pPr>
        <w:spacing w:after="120" w:lineRule="auto"/>
        <w:jc w:val="center"/>
        <w:rPr/>
      </w:pPr>
      <w:r w:rsidDel="00000000" w:rsidR="00000000" w:rsidRPr="00000000">
        <w:rPr>
          <w:sz w:val="28"/>
          <w:szCs w:val="28"/>
          <w:rtl w:val="0"/>
        </w:rPr>
        <w:t xml:space="preserve">Tashkent-2024 </w:t>
      </w:r>
      <w:r w:rsidDel="00000000" w:rsidR="00000000" w:rsidRPr="00000000">
        <w:rPr>
          <w:rtl w:val="0"/>
        </w:rPr>
      </w:r>
    </w:p>
    <w:p w:rsidR="00000000" w:rsidDel="00000000" w:rsidP="00000000" w:rsidRDefault="00000000" w:rsidRPr="00000000" w14:paraId="0000001A">
      <w:pPr>
        <w:pageBreakBefore w:val="1"/>
        <w:spacing w:after="200" w:line="276" w:lineRule="auto"/>
        <w:jc w:val="center"/>
        <w:rPr/>
      </w:pPr>
      <w:r w:rsidDel="00000000" w:rsidR="00000000" w:rsidRPr="00000000">
        <w:rPr>
          <w:b w:val="1"/>
          <w:sz w:val="28"/>
          <w:szCs w:val="28"/>
          <w:rtl w:val="0"/>
        </w:rPr>
        <w:t xml:space="preserve">GENERAL PROVISIONS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“WAY II MANAGEMENT VA KOMPANIYA KOMMANDIT SHIRKAT” limited partnership</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(hereinafter referred to as the “Partnership”) is a legal entity established in accordance with the legislation of the Republic of Uzbekistan and carries out activities on this basis.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Official full corporate name of the Partnership: </w:t>
      </w:r>
      <w:r w:rsidDel="00000000" w:rsidR="00000000" w:rsidRPr="00000000">
        <w:rPr>
          <w:rtl w:val="0"/>
        </w:rPr>
      </w:r>
    </w:p>
    <w:tbl>
      <w:tblPr>
        <w:tblStyle w:val="Table2"/>
        <w:tblW w:w="9179.0" w:type="dxa"/>
        <w:jc w:val="left"/>
        <w:tblInd w:w="486.0" w:type="dxa"/>
        <w:tblLayout w:type="fixed"/>
        <w:tblLook w:val="0000"/>
      </w:tblPr>
      <w:tblGrid>
        <w:gridCol w:w="2234"/>
        <w:gridCol w:w="6945"/>
        <w:tblGridChange w:id="0">
          <w:tblGrid>
            <w:gridCol w:w="2234"/>
            <w:gridCol w:w="6945"/>
          </w:tblGrid>
        </w:tblGridChange>
      </w:tblGrid>
      <w:tr>
        <w:trPr>
          <w:cantSplit w:val="0"/>
          <w:tblHeader w:val="0"/>
        </w:trPr>
        <w:tc>
          <w:tcPr>
            <w:shd w:fill="auto" w:val="clea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 Uzbek</w:t>
            </w:r>
            <w:r w:rsidDel="00000000" w:rsidR="00000000" w:rsidRPr="00000000">
              <w:rPr>
                <w:rtl w:val="0"/>
              </w:rPr>
            </w:r>
          </w:p>
        </w:tc>
        <w:tc>
          <w:tcPr>
            <w:shd w:fill="auto" w:val="clea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“WAY II MANAGEMENT VA KOMPANIYA KOMMANDIT SHIRKAT” коммандит ширкати</w:t>
            </w: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 Russian</w:t>
            </w:r>
            <w:r w:rsidDel="00000000" w:rsidR="00000000" w:rsidRPr="00000000">
              <w:rPr>
                <w:rtl w:val="0"/>
              </w:rPr>
            </w:r>
          </w:p>
        </w:tc>
        <w:tc>
          <w:tcPr>
            <w:shd w:fill="auto" w:val="clea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Коммандитное товарищество “WAY II MANAGEMENT VA KOMPANIYA KOMMANDIT SHIRKAT” </w:t>
            </w: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 English</w:t>
            </w:r>
            <w:r w:rsidDel="00000000" w:rsidR="00000000" w:rsidRPr="00000000">
              <w:rPr>
                <w:rtl w:val="0"/>
              </w:rPr>
            </w:r>
          </w:p>
        </w:tc>
        <w:tc>
          <w:tcPr>
            <w:shd w:fill="auto" w:val="clea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“WAY II MANAGEMENT VA KOMPANIYA KOMMANDIT SHIRKAT” limited Partnership </w:t>
            </w: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02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Activities of the Partnership and postal address:</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Republic of Uzbekistan, Tashkent, Shaykhantakhur district, MG Ukchi, Islam Karimov st., 2-A.</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Legal status of the Partnership</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is a legal entity of the Republic of Uzbekistan.</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Legal status of the Partnership:</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has a round seal with the full company name and the territory in which it is located, in the state language.</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participates in civil legal relations through its official letterheads indicating the company name and address;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is a subject of private property, owns, uses and disposes of private property arising in accordance with the procedure established by law, has the right to own intellectual property objects registered in accordance with the established procedure.</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has the right to conclude on its own behalf and at its own expense all types of contracts and agreements, acquire property and non-property rights, perform legally significant actions and participate as a plaintiff, defendant and third party in economic, administrative and civil courts, arbitration courts and international arbitration courts in the territory of the Republic of Uzbekistan and beyond.</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has an independent balance sheet and has the right to open main and secondary accounts in banking institutions, including accounts in foreign currency. </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carries out its activities on the ownership of property, its purchase and sale, investment activities and all financial transactions on the basis of full economic accounting in accordance with the law, on the basis of self-financing and self-employment.</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has the right to create its own structural divisions, dependent and subsidiary companies (legal entities), branches and representative offices. The structural divisions of the Partnership, affiliated and affiliated companies, branches and representative offices operate on the basis of charters and regulations approved by decisions of the general meeting of general partnerships.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was established for an indefinite period. </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suspension of the company's activities is carried out in accordance with the decision of the general meeting of the general partners of the Partnership or on the basis of a court decision that has entered into force.</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is liable for its obligations with all property fully owned by the partners, as well as property formed within the framework of the depositor's (limited liability company) deposits.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Founding documents of the Partnership</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founding document of the Partnership is the founding agreement (hereinafter referred to as the "Founding Agreement"), which is signed by the full partners.</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founding agreement of the Partnership is signed by full partners and is subject to state registration after its approval by a decision of the general meeting of full partners.</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Amendments and additions to the foundation agreement are made by approving, signing and state registration of a new version of the foundation agreement in accordance with the decisions of the general meeting of the company's full partners.</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Amendments and additions to the founding agreement come into force from the moment of state registration (re-registration).</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Full partners of the Partnership</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Full partners of the Partnership may be individuals and legal entities engaged in entrepreneurial activities on behalf of the Partnership and responsible for the obligations of the company with all their property.</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full list of the company's partners is specified in clause 7.4 of this founding agreement.</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567"/>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Scope of activity, objectives of the Partnership</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main activity of the Partnership is commercial activity and management consulting.</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main purpose of the Partnership is to receive profit in the form of dividends by acquiring a part of shares in its authorized fund (authorized capital) or equity participation in their authorized fund (authorized capital) by investing its property and investment funds in legal entities in accordance with the procedure established by the legislation of the Republic of Uzbekistan.</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may engage in any other activity not prohibited by law, not specified in this Founding Agreement. It also has the right to engage in activities that require notification or special permission or license in cases provided for by law, after obtaining the necessary permission, license or notification.</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objects of investment activity and the forms of investment chosen by the Partnership are fully implemented in accordance with the decision of the general meeting of full partners.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Contributors of the Partnership </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In accordance with the Law of the Republic of Uzbekistan "On Business Partnerships", investors in a Partnership can be citizens of the Republic of Uzbekistan, individual entrepreneurs and legal entities, international organizations and foreign legal entities and citizens, as well as stateless persons.</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depositors of the Partnership are legal entities and individuals (limited partners) who are responsible for losses related to the activities of the Partnership within the limits of their deposits and do not participate in the implementation of entrepreneurial activities by the Partnership.</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name of the depositors of the Partnership, the number of the corresponding deposit and the type of interest are indicated in the appendix to the founding agreement of the Partnership.</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depositors of the Partnership independently dispose of the partnership contributions belonging to them.</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The authorized fund of the Partnership and the procedure for its formation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bookmarkStart w:colFirst="0" w:colLast="0" w:name="_1fob9te" w:id="2"/>
      <w:bookmarkEnd w:id="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authorized fund of the Partnership will consist of the nominal value of the shares of full partners in the authorized fund of the Partnership and the nominal value of the contributions of depositors to the authorized fund of the Partnership.</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nominal and market value of 1 (one) contribution to the company's authorized capital is determined on the WAY Invest electronic platform with an assessment of economic indicators, including by full partners, based on market conditions.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authorized fund of the company is 34,686,000,000 (thirty-four billion six hundred and eighty-six million) soums. Where:</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The nominal value of the shares of full partners in the authorized capital of the partnership is 21,000,000 (twenty-one million);</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The nominal value of depositors' contributions to the authorized capital of the company is 34,665,000,000 (thirty-four billion six hundred and sixty-five million) soums.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general distribution of the full participants and contributors of the Partnership and shares in the authorized fund of the Partnership is as follows:</w:t>
      </w:r>
      <w:r w:rsidDel="00000000" w:rsidR="00000000" w:rsidRPr="00000000">
        <w:rPr>
          <w:rtl w:val="0"/>
        </w:rPr>
      </w:r>
    </w:p>
    <w:tbl>
      <w:tblPr>
        <w:tblStyle w:val="Table3"/>
        <w:tblW w:w="9853.0" w:type="dxa"/>
        <w:jc w:val="left"/>
        <w:tblInd w:w="-231.0" w:type="dxa"/>
        <w:tblLayout w:type="fixed"/>
        <w:tblLook w:val="0000"/>
      </w:tblPr>
      <w:tblGrid>
        <w:gridCol w:w="817"/>
        <w:gridCol w:w="4109"/>
        <w:gridCol w:w="2463"/>
        <w:gridCol w:w="2464"/>
        <w:tblGridChange w:id="0">
          <w:tblGrid>
            <w:gridCol w:w="817"/>
            <w:gridCol w:w="4109"/>
            <w:gridCol w:w="2463"/>
            <w:gridCol w:w="246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List of full partners of the company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Nominal value of the share (in soums)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Percentage share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“WAY II Management” LLC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20 000 000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95,2%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“WAY Techno” LLC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1 000 000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4,8%</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21 000 000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100 %</w:t>
            </w:r>
            <w:r w:rsidDel="00000000" w:rsidR="00000000" w:rsidRPr="00000000">
              <w:rPr>
                <w:rtl w:val="0"/>
              </w:rPr>
            </w:r>
          </w:p>
        </w:tc>
      </w:tr>
    </w:tbl>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nominal value and percentage ratio of the contributions of full partners and depositors to the authorized fund of the Partnership are determined by the appendix to the Founding Agreement.</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From the date of depositors' contributions to the authorized fund (authorized capital) Partnerships, including the date of acquisition, if the depositor cannot sell his contribution to third parties and other depositors, the Partnership receives the right to sell back after a year.</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Full partners can be formed by depositing shares of cash, real estate, securities, shares in business companies, property rights and property and property rights to the authorized fund of the company, which can be transferred to another person with a monetary valuation.</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value of the property or property rights contributed by the full partner and its depositors is approved by a decision of the general meeting of full partners.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fact that the depositors' deposits were made in full, that the depositor became a depositor as a result of the acquisition of the relevant deposit, is confirmed by a certificate issued by the Partnership in the form and in the manner approved by the decision of the general meeting of full partners.</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Increase and decrease in the authorized capital of the Partnership</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Increase in the authorized fund (authorized capital) The partnership is allowed after its full formation.</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increase in the authorized fund of the Partnership may be made at the expense of the property of the Partnership, at the expense of additional contributions from the participants of the Partnership or at the expense of contributions from new depositors accepted into the Partnership.</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The increase in the authorized fund of the Partnership is made by decision of the general meeting of general partnerships.</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decision to increase the authorized fund of the company at the expense of the property of the Partnership can be made only on the basis of the accounting statements of the Partnership for the year preceding the year of such a decision.</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authorized fund of the Partnership, the amount increased at the expense of the property of the Partnership, should not exceed the difference between the value of the net assets of the Partnership and the amount of the authorized fund (authorized capital).</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has the right to reduce its authorized fund in accordance with the current legislation</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Rights and obligations of depositors</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depositors of the Partnership have the following rights:</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receipt of a part of the Partnership's profit, in proportion to its contribution to the authorized capital, in accordance with the procedure provided for in the founding agreement;</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familiarization with the annual reports and balance sheets of the Partnership;</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withdrawal from the Partnership at the end of the financial year and receipt of a contribution in accordance with the procedure provided for in the founding agreement;</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transfer of a share or part of it in the authorized capital to another contributor or a third party.</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depositors of the Partnership have the following responsibilities: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all transactions related to own deposits (part of them) and other processes of refusal in favor of other persons are carried out through the electronic platform WAY Invest.</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Sale and purchase of contributions to the authorized fund of the Partnership</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depositors of the Partnership have the right to sell their contribution or part of it to one or more depositors of the Partnership, as well as to third parties, or otherwise abandon it in their favor. At the same time, all of the above processes related to contributions or part of them are carried out through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the electronic platform "WAY Invest".</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Depositors enjoy a preferential right over third parties when buying a share (or part of it) at a price offered to a third party. The purchase and sale of deposits is carried out through the electronic platform "WAY Invest". In this case, the pre-emptive right of the remaining participants is valid for five days from the date of submission of the offer to sell the participant's share.</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Partnership is not entitled to receive its contribution to the authorized capital or part of it, except in cases provided for by law.</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Management bodies of the Partnership</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management bodies of the Partnership are as follows:</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209" w:right="0" w:hanging="360"/>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General Meeting of Full Partners;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209" w:right="0" w:hanging="360"/>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Director.</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General Meeting of Full Partners</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General Meeting of Full Partners is the supreme governing body of the Partnership. The Partnership's activities are managed by full-fledged partners.</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Only full partners can be a member of the general meeting of full partners. </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Depositors are not entitled to conduct business on his behalf in any other way without a power of attorney to participate in the management of the Partnership and conduct its affairs. Depositors have no right to challenge the conduct of full partners in the management of the Partnership and the conduct of its affairs.</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Powers of the General Meeting of full partners:</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definition of the main activities of the Partnership;</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reorganization and liquidation of the Partnership;</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amendments and additions to the founding agreement;</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making a decision on the distribution of profits (losses) Partnerships between him and investors;</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making decisions on increasing and decreasing the authorized capital of the Partnership;</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checking annual reports and annual balance sheets;</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resolution of other issues stipulated by the Partnership agreement.</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management of the Partnership's activities is carried out by general agreement of all its full partners. The decision of the general meeting of full partners of the Partnership is adopted unanimously by all full partners of the Partnership.</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DIRECTOR</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executive body of the Partnership is the director, who manages the current activities of the Partnership.</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Director is appointed for an indefinite period on the basis of a decision of the general meeting of general associates and is relieved of duties in this order.  </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Director acts on behalf of the Partnership without a power of attorney on the basis of this founding agreement and within the powers granted by the general meeting of full partners, including representing its interests in all republican and foreign government agencies, firms and organizations, makes transactions, issues power of attorney, opens accounts and other bank accounts, issues the admission and dismissal of employees, monitors all types of activities of the Partnership, including giving orders and orders that are mandatory for employees.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Director may be dismissed on the basis of a decision of the general meeting of full partners.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Director of the Partnership:</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209" w:right="0" w:hanging="360"/>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Organizes the preparation and execution of decisions of the general meeting of full partners and submits reports on their execution to the general meeting of full partners;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209" w:right="0" w:hanging="360"/>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responsible for providing reports;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209" w:right="0" w:hanging="360"/>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performs other functions assigned to the general meeting of full partners;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209" w:right="0" w:hanging="360"/>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provides information on the results of the Partnership's activities based on requests from depositors;</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209" w:right="0" w:hanging="360"/>
        <w:jc w:val="left"/>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use and disposal of the property of the Partnership in the interests of full partners and depositors.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Director is accountable to the general meeting of the general partners of the Partnership and is responsible for the implementation of the activities of the Partnership and the fulfillment of the tasks and functions assigned to it.</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Distribution of the Partnership's profits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decision on determining the part of the profit to be distributed among depositors (limited partners) is made by the General Meeting of Full partners.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dividend income is distributed twice a year. Depositors receive dividends distributed within four months from the date of submission of semi-annual and annual financial statements, in proportion to the percentage of their contributions of depositors (limited partners) to the authorized fund (authorized capital) Of the Partnership to the authorized fund of the Partnership.</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dividend income of each depositor is formed according to the formula:</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DI = (The amount of the contribution of the depositor (contributor) * DIR * the term of ownership of the deposit during each financial year / 365 days) – Additional dividend income of the full partner.</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Where:</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DI</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Dividend income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DIR</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dividend income rate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determined based on the results of accounting statements;</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period of ownership of a deposit during each financial year is the period of ownership of a deposit during each financial year as a result of its acquisition or contribution to the authorized fund (authorized capital) of the company. Every 1st and 15th day of the month;</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Additional dividend income of a full partner is an amount amounting to up to 20 (twenty) percent of the amount of the depositor's (limited partner's) dividend income. </w:t>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At the same time, full partners receive an additional income of 0% from depositors (limited partners) in the first year. Full partners can increase the percentage of additional income for subsequent years. The increased additional dividend income of full partners may not exceed 20 (twenty) percent.</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Conflict situations in the activities of the Partnership and the procedure for their resolution</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This founding agreement, its clarifications and any contractual obligations arising from it or related to it are regulated in accordance with the legislation of the Republic of Uzbekistan. </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The Parties undertake to consider and resolve all disputes related to this founding agreement in accordance with this founding agreement. </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All disputes arising under this founding agreement, including disputes on the invalidation of this agreement, must undergo a mandatory mediation procedure in accordance with the Law of the Republic of Uzbekistan "On Mediation". It is believed that the mediation process began with the filing of a complaint from one party to the other </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If it is impossible to reach mutual understanding or resolve a dispute arising from or related to the founding agreement, including, but not limited to, any issue related to its existence, validity and termination, as well as damage caused by its violation or termination, it will be considered in the Arbitration Court permanently operating under the NSE "Legal consumer assistance", and must be submitted for a final decision.</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center"/>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THE FINAL PROVISION</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567"/>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This Agreement shall enter into force from the moment of its state registration in accordance with the procedure established by the legislation of the Republic of Uzbekistan.</w:t>
      </w:r>
      <w:r w:rsidDel="00000000" w:rsidR="00000000" w:rsidRPr="00000000">
        <w:rPr>
          <w:rtl w:val="0"/>
        </w:rPr>
      </w:r>
    </w:p>
    <w:p w:rsidR="00000000" w:rsidDel="00000000" w:rsidP="00000000" w:rsidRDefault="00000000" w:rsidRPr="00000000" w14:paraId="000000AA">
      <w:pPr>
        <w:spacing w:after="120" w:lineRule="auto"/>
        <w:ind w:firstLine="709"/>
        <w:rPr>
          <w:b w:val="1"/>
          <w:sz w:val="28"/>
          <w:szCs w:val="28"/>
        </w:rPr>
      </w:pPr>
      <w:r w:rsidDel="00000000" w:rsidR="00000000" w:rsidRPr="00000000">
        <w:rPr>
          <w:rtl w:val="0"/>
        </w:rPr>
      </w:r>
    </w:p>
    <w:p w:rsidR="00000000" w:rsidDel="00000000" w:rsidP="00000000" w:rsidRDefault="00000000" w:rsidRPr="00000000" w14:paraId="000000AB">
      <w:pPr>
        <w:spacing w:after="120" w:lineRule="auto"/>
        <w:ind w:firstLine="709"/>
        <w:rPr/>
      </w:pPr>
      <w:r w:rsidDel="00000000" w:rsidR="00000000" w:rsidRPr="00000000">
        <w:rPr>
          <w:b w:val="1"/>
          <w:sz w:val="28"/>
          <w:szCs w:val="28"/>
          <w:rtl w:val="0"/>
        </w:rPr>
        <w:t xml:space="preserve">Full Partners: </w:t>
      </w:r>
      <w:r w:rsidDel="00000000" w:rsidR="00000000" w:rsidRPr="00000000">
        <w:rPr>
          <w:rtl w:val="0"/>
        </w:rPr>
      </w:r>
    </w:p>
    <w:p w:rsidR="00000000" w:rsidDel="00000000" w:rsidP="00000000" w:rsidRDefault="00000000" w:rsidRPr="00000000" w14:paraId="000000AC">
      <w:pPr>
        <w:ind w:firstLine="709"/>
        <w:rPr/>
      </w:pPr>
      <w:r w:rsidDel="00000000" w:rsidR="00000000" w:rsidRPr="00000000">
        <w:rPr>
          <w:sz w:val="26"/>
          <w:szCs w:val="26"/>
          <w:rtl w:val="0"/>
        </w:rPr>
        <w:t xml:space="preserve">Director of Way II Management LLC </w:t>
      </w:r>
      <w:r w:rsidDel="00000000" w:rsidR="00000000" w:rsidRPr="00000000">
        <w:rPr>
          <w:rtl w:val="0"/>
        </w:rPr>
      </w:r>
    </w:p>
    <w:p w:rsidR="00000000" w:rsidDel="00000000" w:rsidP="00000000" w:rsidRDefault="00000000" w:rsidRPr="00000000" w14:paraId="000000AD">
      <w:pPr>
        <w:ind w:firstLine="709"/>
        <w:rPr/>
      </w:pPr>
      <w:r w:rsidDel="00000000" w:rsidR="00000000" w:rsidRPr="00000000">
        <w:rPr>
          <w:sz w:val="26"/>
          <w:szCs w:val="26"/>
          <w:rtl w:val="0"/>
        </w:rPr>
        <w:t xml:space="preserve">Kasimkhodjaev Aziz Anvarovich _______________________</w:t>
      </w:r>
      <w:r w:rsidDel="00000000" w:rsidR="00000000" w:rsidRPr="00000000">
        <w:rPr>
          <w:rtl w:val="0"/>
        </w:rPr>
      </w:r>
    </w:p>
    <w:p w:rsidR="00000000" w:rsidDel="00000000" w:rsidP="00000000" w:rsidRDefault="00000000" w:rsidRPr="00000000" w14:paraId="000000AE">
      <w:pPr>
        <w:spacing w:after="120" w:lineRule="auto"/>
        <w:ind w:firstLine="709"/>
        <w:rPr>
          <w:b w:val="1"/>
          <w:sz w:val="26"/>
          <w:szCs w:val="26"/>
        </w:rPr>
      </w:pPr>
      <w:r w:rsidDel="00000000" w:rsidR="00000000" w:rsidRPr="00000000">
        <w:rPr>
          <w:rtl w:val="0"/>
        </w:rPr>
      </w:r>
    </w:p>
    <w:p w:rsidR="00000000" w:rsidDel="00000000" w:rsidP="00000000" w:rsidRDefault="00000000" w:rsidRPr="00000000" w14:paraId="000000AF">
      <w:pPr>
        <w:ind w:left="708" w:firstLine="0.9999999999999432"/>
        <w:rPr/>
      </w:pPr>
      <w:r w:rsidDel="00000000" w:rsidR="00000000" w:rsidRPr="00000000">
        <w:rPr>
          <w:sz w:val="26"/>
          <w:szCs w:val="26"/>
          <w:rtl w:val="0"/>
        </w:rPr>
        <w:t xml:space="preserve">Director of WAY TECHNO LLC</w:t>
      </w:r>
      <w:r w:rsidDel="00000000" w:rsidR="00000000" w:rsidRPr="00000000">
        <w:rPr>
          <w:rtl w:val="0"/>
        </w:rPr>
      </w:r>
    </w:p>
    <w:p w:rsidR="00000000" w:rsidDel="00000000" w:rsidP="00000000" w:rsidRDefault="00000000" w:rsidRPr="00000000" w14:paraId="000000B0">
      <w:pPr>
        <w:ind w:left="708" w:firstLine="0.9999999999999432"/>
        <w:rPr/>
      </w:pPr>
      <w:r w:rsidDel="00000000" w:rsidR="00000000" w:rsidRPr="00000000">
        <w:rPr>
          <w:sz w:val="26"/>
          <w:szCs w:val="26"/>
          <w:rtl w:val="0"/>
        </w:rPr>
        <w:t xml:space="preserve">Zokirov Temur Alisher ugli                        _______________________</w:t>
      </w:r>
      <w:r w:rsidDel="00000000" w:rsidR="00000000" w:rsidRPr="00000000">
        <w:rPr>
          <w:rtl w:val="0"/>
        </w:rPr>
      </w:r>
    </w:p>
    <w:p w:rsidR="00000000" w:rsidDel="00000000" w:rsidP="00000000" w:rsidRDefault="00000000" w:rsidRPr="00000000" w14:paraId="000000B1">
      <w:pPr>
        <w:ind w:left="708" w:firstLine="0.9999999999999432"/>
        <w:rPr/>
      </w:pPr>
      <w:r w:rsidDel="00000000" w:rsidR="00000000" w:rsidRPr="00000000">
        <w:rPr>
          <w:sz w:val="26"/>
          <w:szCs w:val="26"/>
          <w:rtl w:val="0"/>
        </w:rPr>
        <w:t xml:space="preserve"> </w:t>
      </w:r>
      <w:r w:rsidDel="00000000" w:rsidR="00000000" w:rsidRPr="00000000">
        <w:rPr>
          <w:rtl w:val="0"/>
        </w:rPr>
      </w:r>
    </w:p>
    <w:p w:rsidR="00000000" w:rsidDel="00000000" w:rsidP="00000000" w:rsidRDefault="00000000" w:rsidRPr="00000000" w14:paraId="000000B2">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ANEX TO THE FOUNDING AGREEMENT OF WAY II MANAGEMENT VA KOMPANIYA KOMMANDIT SHIRKAT LIMITED PARTNERSHIP</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bookmarkStart w:colFirst="0" w:colLast="0" w:name="_3znysh7" w:id="3"/>
      <w:bookmarkEnd w:id="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NAME OF FULL PARTNERS AND DEPOSITORS IN THE AUTHORIZED FUND “WAY II MANAGEMENT VA KOMPANIYA KOMMANDIT SHIRKAT” NOMINAL VALUE AND PERCENTAGE OF THEIR SHARES</w:t>
      </w:r>
      <w:r w:rsidDel="00000000" w:rsidR="00000000" w:rsidRPr="00000000">
        <w:rPr>
          <w:rtl w:val="0"/>
        </w:rPr>
      </w:r>
    </w:p>
    <w:p w:rsidR="00000000" w:rsidDel="00000000" w:rsidP="00000000" w:rsidRDefault="00000000" w:rsidRPr="00000000" w14:paraId="000000B5">
      <w:pPr>
        <w:pBdr>
          <w:top w:color="000000" w:space="0" w:sz="0" w:val="none"/>
          <w:left w:color="000000" w:space="0" w:sz="0" w:val="none"/>
          <w:bottom w:color="000000" w:space="1" w:sz="6" w:val="single"/>
          <w:right w:color="000000" w:space="0" w:sz="0" w:val="none"/>
        </w:pBdr>
        <w:spacing w:after="120" w:lineRule="auto"/>
        <w:rPr/>
      </w:pPr>
      <w:r w:rsidDel="00000000" w:rsidR="00000000" w:rsidRPr="00000000">
        <w:rPr>
          <w:b w:val="1"/>
          <w:sz w:val="28"/>
          <w:szCs w:val="28"/>
          <w:rtl w:val="0"/>
        </w:rPr>
        <w:t xml:space="preserve">DEPOSITORS:</w:t>
      </w:r>
      <w:r w:rsidDel="00000000" w:rsidR="00000000" w:rsidRPr="00000000">
        <w:rPr>
          <w:rtl w:val="0"/>
        </w:rPr>
      </w:r>
    </w:p>
    <w:tbl>
      <w:tblPr>
        <w:tblStyle w:val="Table4"/>
        <w:tblW w:w="10422.0" w:type="dxa"/>
        <w:jc w:val="left"/>
        <w:tblInd w:w="-212.0" w:type="dxa"/>
        <w:tblLayout w:type="fixed"/>
        <w:tblLook w:val="0000"/>
      </w:tblPr>
      <w:tblGrid>
        <w:gridCol w:w="704"/>
        <w:gridCol w:w="3686"/>
        <w:gridCol w:w="2489"/>
        <w:gridCol w:w="2126"/>
        <w:gridCol w:w="1417"/>
        <w:tblGridChange w:id="0">
          <w:tblGrid>
            <w:gridCol w:w="704"/>
            <w:gridCol w:w="3686"/>
            <w:gridCol w:w="2489"/>
            <w:gridCol w:w="2126"/>
            <w:gridCol w:w="141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6">
            <w:pPr>
              <w:spacing w:after="120" w:lineRule="auto"/>
              <w:jc w:val="center"/>
              <w:rPr/>
            </w:pPr>
            <w:r w:rsidDel="00000000" w:rsidR="00000000" w:rsidRPr="00000000">
              <w:rPr>
                <w:b w:val="1"/>
                <w:sz w:val="28"/>
                <w:szCs w:val="28"/>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7">
            <w:pPr>
              <w:spacing w:after="120" w:lineRule="auto"/>
              <w:jc w:val="center"/>
              <w:rPr/>
            </w:pPr>
            <w:r w:rsidDel="00000000" w:rsidR="00000000" w:rsidRPr="00000000">
              <w:rPr>
                <w:b w:val="1"/>
                <w:sz w:val="28"/>
                <w:szCs w:val="28"/>
                <w:rtl w:val="0"/>
              </w:rPr>
              <w:t xml:space="preserve">Name of depositors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8">
            <w:pPr>
              <w:spacing w:after="120" w:lineRule="auto"/>
              <w:jc w:val="center"/>
              <w:rPr/>
            </w:pPr>
            <w:r w:rsidDel="00000000" w:rsidR="00000000" w:rsidRPr="00000000">
              <w:rPr>
                <w:b w:val="1"/>
                <w:sz w:val="28"/>
                <w:szCs w:val="28"/>
                <w:rtl w:val="0"/>
              </w:rPr>
              <w:t xml:space="preserve">Monetary value of deposits (sum)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9">
            <w:pPr>
              <w:spacing w:after="120" w:lineRule="auto"/>
              <w:jc w:val="center"/>
              <w:rPr/>
            </w:pPr>
            <w:r w:rsidDel="00000000" w:rsidR="00000000" w:rsidRPr="00000000">
              <w:rPr>
                <w:b w:val="1"/>
                <w:sz w:val="28"/>
                <w:szCs w:val="28"/>
                <w:rtl w:val="0"/>
              </w:rPr>
              <w:t xml:space="preserve">Deposit amount (as a percentage)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A">
            <w:pPr>
              <w:spacing w:after="120" w:lineRule="auto"/>
              <w:jc w:val="center"/>
              <w:rPr/>
            </w:pPr>
            <w:r w:rsidDel="00000000" w:rsidR="00000000" w:rsidRPr="00000000">
              <w:rPr>
                <w:b w:val="1"/>
                <w:sz w:val="28"/>
                <w:szCs w:val="28"/>
                <w:rtl w:val="0"/>
              </w:rPr>
              <w:t xml:space="preserve">Number of shares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B">
            <w:pPr>
              <w:spacing w:after="120" w:lineRule="auto"/>
              <w:rPr/>
            </w:pPr>
            <w:r w:rsidDel="00000000" w:rsidR="00000000" w:rsidRPr="00000000">
              <w:rPr>
                <w:sz w:val="28"/>
                <w:szCs w:val="28"/>
                <w:highlight w:val="white"/>
                <w:rtl w:val="0"/>
              </w:rPr>
              <w:t xml:space="preserve"> {#kt_second_table}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C">
            <w:pPr>
              <w:widowControl w:val="0"/>
              <w:spacing w:after="120" w:lineRule="auto"/>
              <w:rPr/>
            </w:pPr>
            <w:r w:rsidDel="00000000" w:rsidR="00000000" w:rsidRPr="00000000">
              <w:rPr>
                <w:sz w:val="28"/>
                <w:szCs w:val="28"/>
                <w:highlight w:val="white"/>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D">
            <w:pPr>
              <w:widowControl w:val="0"/>
              <w:spacing w:after="120" w:lineRule="auto"/>
              <w:rPr/>
            </w:pPr>
            <w:r w:rsidDel="00000000" w:rsidR="00000000" w:rsidRPr="00000000">
              <w:rPr>
                <w:sz w:val="28"/>
                <w:szCs w:val="28"/>
                <w:highlight w:val="white"/>
                <w:rtl w:val="0"/>
              </w:rPr>
              <w:t xml:space="preserve">{paid_amount}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E">
            <w:pPr>
              <w:widowControl w:val="0"/>
              <w:spacing w:after="120" w:lineRule="auto"/>
              <w:rPr/>
            </w:pPr>
            <w:r w:rsidDel="00000000" w:rsidR="00000000" w:rsidRPr="00000000">
              <w:rPr>
                <w:sz w:val="28"/>
                <w:szCs w:val="28"/>
                <w:highlight w:val="white"/>
                <w:rtl w:val="0"/>
              </w:rPr>
              <w:t xml:space="preserve">{percent}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F">
            <w:pPr>
              <w:widowControl w:val="0"/>
              <w:spacing w:after="120" w:lineRule="auto"/>
              <w:rPr/>
            </w:pPr>
            <w:r w:rsidDel="00000000" w:rsidR="00000000" w:rsidRPr="00000000">
              <w:rPr>
                <w:sz w:val="28"/>
                <w:szCs w:val="28"/>
                <w:highlight w:val="white"/>
                <w:rtl w:val="0"/>
              </w:rPr>
              <w:t xml:space="preserve">{/kt_second_table}{lotAmount}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0">
            <w:pPr>
              <w:spacing w:after="120" w:lineRule="auto"/>
              <w:jc w:val="right"/>
              <w:rPr/>
            </w:pPr>
            <w:bookmarkStart w:colFirst="0" w:colLast="0" w:name="_2et92p0" w:id="4"/>
            <w:bookmarkEnd w:id="4"/>
            <w:r w:rsidDel="00000000" w:rsidR="00000000" w:rsidRPr="00000000">
              <w:rPr>
                <w:b w:val="1"/>
                <w:sz w:val="28"/>
                <w:szCs w:val="28"/>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2">
            <w:pPr>
              <w:widowControl w:val="0"/>
              <w:spacing w:after="120" w:lineRule="auto"/>
              <w:rPr/>
            </w:pPr>
            <w:r w:rsidDel="00000000" w:rsidR="00000000" w:rsidRPr="00000000">
              <w:rPr>
                <w:sz w:val="28"/>
                <w:szCs w:val="28"/>
                <w:highlight w:val="white"/>
                <w:rtl w:val="0"/>
              </w:rPr>
              <w:t xml:space="preserve">{total_amount}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3">
            <w:pPr>
              <w:widowControl w:val="0"/>
              <w:spacing w:after="120" w:lineRule="auto"/>
              <w:rPr/>
            </w:pPr>
            <w:r w:rsidDel="00000000" w:rsidR="00000000" w:rsidRPr="00000000">
              <w:rPr>
                <w:sz w:val="28"/>
                <w:szCs w:val="28"/>
                <w:highlight w:val="white"/>
                <w:rtl w:val="0"/>
              </w:rPr>
              <w:t xml:space="preserve">{total_percent}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4">
            <w:pPr>
              <w:widowControl w:val="0"/>
              <w:spacing w:after="120" w:lineRule="auto"/>
              <w:rPr/>
            </w:pPr>
            <w:r w:rsidDel="00000000" w:rsidR="00000000" w:rsidRPr="00000000">
              <w:rPr>
                <w:sz w:val="28"/>
                <w:szCs w:val="28"/>
                <w:highlight w:val="white"/>
                <w:rtl w:val="0"/>
              </w:rPr>
              <w:t xml:space="preserve">{total_lotAmount}</w:t>
            </w:r>
            <w:r w:rsidDel="00000000" w:rsidR="00000000" w:rsidRPr="00000000">
              <w:rPr>
                <w:rtl w:val="0"/>
              </w:rPr>
            </w:r>
          </w:p>
        </w:tc>
      </w:tr>
    </w:tbl>
    <w:p w:rsidR="00000000" w:rsidDel="00000000" w:rsidP="00000000" w:rsidRDefault="00000000" w:rsidRPr="00000000" w14:paraId="000000C5">
      <w:pPr>
        <w:spacing w:after="120" w:lineRule="auto"/>
        <w:ind w:firstLine="709"/>
        <w:rPr>
          <w:b w:val="1"/>
          <w:sz w:val="28"/>
          <w:szCs w:val="28"/>
        </w:rPr>
      </w:pPr>
      <w:r w:rsidDel="00000000" w:rsidR="00000000" w:rsidRPr="00000000">
        <w:rPr>
          <w:rtl w:val="0"/>
        </w:rPr>
      </w:r>
    </w:p>
    <w:p w:rsidR="00000000" w:rsidDel="00000000" w:rsidP="00000000" w:rsidRDefault="00000000" w:rsidRPr="00000000" w14:paraId="000000C6">
      <w:pPr>
        <w:spacing w:after="120" w:lineRule="auto"/>
        <w:ind w:firstLine="709"/>
        <w:rPr/>
      </w:pPr>
      <w:r w:rsidDel="00000000" w:rsidR="00000000" w:rsidRPr="00000000">
        <w:rPr>
          <w:b w:val="1"/>
          <w:sz w:val="28"/>
          <w:szCs w:val="28"/>
          <w:rtl w:val="0"/>
        </w:rPr>
        <w:t xml:space="preserve">Full Partners: </w:t>
      </w:r>
      <w:r w:rsidDel="00000000" w:rsidR="00000000" w:rsidRPr="00000000">
        <w:rPr>
          <w:rtl w:val="0"/>
        </w:rPr>
      </w:r>
    </w:p>
    <w:p w:rsidR="00000000" w:rsidDel="00000000" w:rsidP="00000000" w:rsidRDefault="00000000" w:rsidRPr="00000000" w14:paraId="000000C7">
      <w:pPr>
        <w:ind w:firstLine="709"/>
        <w:rPr/>
      </w:pPr>
      <w:r w:rsidDel="00000000" w:rsidR="00000000" w:rsidRPr="00000000">
        <w:rPr>
          <w:sz w:val="26"/>
          <w:szCs w:val="26"/>
          <w:rtl w:val="0"/>
        </w:rPr>
        <w:t xml:space="preserve">Director of Way II Management LLC </w:t>
      </w:r>
      <w:r w:rsidDel="00000000" w:rsidR="00000000" w:rsidRPr="00000000">
        <w:rPr>
          <w:rtl w:val="0"/>
        </w:rPr>
      </w:r>
    </w:p>
    <w:p w:rsidR="00000000" w:rsidDel="00000000" w:rsidP="00000000" w:rsidRDefault="00000000" w:rsidRPr="00000000" w14:paraId="000000C8">
      <w:pPr>
        <w:ind w:firstLine="709"/>
        <w:rPr/>
      </w:pPr>
      <w:r w:rsidDel="00000000" w:rsidR="00000000" w:rsidRPr="00000000">
        <w:rPr>
          <w:sz w:val="26"/>
          <w:szCs w:val="26"/>
          <w:rtl w:val="0"/>
        </w:rPr>
        <w:t xml:space="preserve">Kasimkhodjaev Aziz Anvarovich _______________________</w:t>
      </w:r>
      <w:r w:rsidDel="00000000" w:rsidR="00000000" w:rsidRPr="00000000">
        <w:rPr>
          <w:rtl w:val="0"/>
        </w:rPr>
      </w:r>
    </w:p>
    <w:p w:rsidR="00000000" w:rsidDel="00000000" w:rsidP="00000000" w:rsidRDefault="00000000" w:rsidRPr="00000000" w14:paraId="000000C9">
      <w:pPr>
        <w:spacing w:after="120" w:lineRule="auto"/>
        <w:ind w:firstLine="709"/>
        <w:rPr>
          <w:b w:val="1"/>
          <w:sz w:val="26"/>
          <w:szCs w:val="26"/>
        </w:rPr>
      </w:pPr>
      <w:r w:rsidDel="00000000" w:rsidR="00000000" w:rsidRPr="00000000">
        <w:rPr>
          <w:rtl w:val="0"/>
        </w:rPr>
      </w:r>
    </w:p>
    <w:p w:rsidR="00000000" w:rsidDel="00000000" w:rsidP="00000000" w:rsidRDefault="00000000" w:rsidRPr="00000000" w14:paraId="000000CA">
      <w:pPr>
        <w:ind w:left="708" w:firstLine="0.9999999999999432"/>
        <w:rPr/>
      </w:pPr>
      <w:r w:rsidDel="00000000" w:rsidR="00000000" w:rsidRPr="00000000">
        <w:rPr>
          <w:sz w:val="26"/>
          <w:szCs w:val="26"/>
          <w:rtl w:val="0"/>
        </w:rPr>
        <w:t xml:space="preserve">Director of WAY TECHNO LLC</w:t>
      </w:r>
      <w:r w:rsidDel="00000000" w:rsidR="00000000" w:rsidRPr="00000000">
        <w:rPr>
          <w:rtl w:val="0"/>
        </w:rPr>
      </w:r>
    </w:p>
    <w:p w:rsidR="00000000" w:rsidDel="00000000" w:rsidP="00000000" w:rsidRDefault="00000000" w:rsidRPr="00000000" w14:paraId="000000CB">
      <w:pPr>
        <w:ind w:left="708" w:firstLine="0.9999999999999432"/>
        <w:rPr/>
      </w:pPr>
      <w:r w:rsidDel="00000000" w:rsidR="00000000" w:rsidRPr="00000000">
        <w:rPr>
          <w:sz w:val="26"/>
          <w:szCs w:val="26"/>
          <w:rtl w:val="0"/>
        </w:rPr>
        <w:t xml:space="preserve">Zokirov Temur Alisher ugli                        _______________________</w:t>
      </w:r>
      <w:r w:rsidDel="00000000" w:rsidR="00000000" w:rsidRPr="00000000">
        <w:rPr>
          <w:rtl w:val="0"/>
        </w:rPr>
      </w:r>
    </w:p>
    <w:p w:rsidR="00000000" w:rsidDel="00000000" w:rsidP="00000000" w:rsidRDefault="00000000" w:rsidRPr="00000000" w14:paraId="000000CC">
      <w:pPr>
        <w:spacing w:after="120" w:lineRule="auto"/>
        <w:rPr/>
      </w:pPr>
      <w:r w:rsidDel="00000000" w:rsidR="00000000" w:rsidRPr="00000000">
        <w:rPr>
          <w:rtl w:val="0"/>
        </w:rPr>
      </w:r>
    </w:p>
    <w:sectPr>
      <w:headerReference r:id="rId6" w:type="default"/>
      <w:headerReference r:id="rId7" w:type="first"/>
      <w:pgSz w:h="16838" w:w="11906" w:orient="portrait"/>
      <w:pgMar w:bottom="851" w:top="851" w:left="1418" w:right="851" w:header="709"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ntiquaUz"/>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209"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upperRoman"/>
      <w:lvlText w:val="%1."/>
      <w:lvlJc w:val="right"/>
      <w:pPr>
        <w:ind w:left="720" w:hanging="360"/>
      </w:pPr>
      <w:rPr>
        <w:b w:val="1"/>
      </w:rPr>
    </w:lvl>
    <w:lvl w:ilvl="1">
      <w:start w:val="1"/>
      <w:numFmt w:val="decimal"/>
      <w:lvlText w:val="%1.%2."/>
      <w:lvlJc w:val="left"/>
      <w:pPr>
        <w:ind w:left="720" w:hanging="360"/>
      </w:pPr>
      <w:rPr>
        <w:b w:val="0"/>
        <w:color w:val="000000"/>
      </w:rPr>
    </w:lvl>
    <w:lvl w:ilvl="2">
      <w:start w:val="1"/>
      <w:numFmt w:val="decimal"/>
      <w:lvlText w:val="%1.%2.%3."/>
      <w:lvlJc w:val="left"/>
      <w:pPr>
        <w:ind w:left="1080" w:hanging="720"/>
      </w:pPr>
      <w:rPr>
        <w:b w:val="1"/>
      </w:rPr>
    </w:lvl>
    <w:lvl w:ilvl="3">
      <w:start w:val="1"/>
      <w:numFmt w:val="decimal"/>
      <w:lvlText w:val="%1.%2.%3.%4."/>
      <w:lvlJc w:val="left"/>
      <w:pPr>
        <w:ind w:left="1080" w:hanging="720"/>
      </w:pPr>
      <w:rPr>
        <w:b w:val="1"/>
      </w:rPr>
    </w:lvl>
    <w:lvl w:ilvl="4">
      <w:start w:val="1"/>
      <w:numFmt w:val="decimal"/>
      <w:lvlText w:val="%1.%2.%3.%4.%5."/>
      <w:lvlJc w:val="left"/>
      <w:pPr>
        <w:ind w:left="1440" w:hanging="1080"/>
      </w:pPr>
      <w:rPr>
        <w:b w:val="1"/>
      </w:rPr>
    </w:lvl>
    <w:lvl w:ilvl="5">
      <w:start w:val="1"/>
      <w:numFmt w:val="decimal"/>
      <w:lvlText w:val="%1.%2.%3.%4.%5.%6."/>
      <w:lvlJc w:val="left"/>
      <w:pPr>
        <w:ind w:left="1440" w:hanging="1080"/>
      </w:pPr>
      <w:rPr>
        <w:b w:val="1"/>
      </w:rPr>
    </w:lvl>
    <w:lvl w:ilvl="6">
      <w:start w:val="1"/>
      <w:numFmt w:val="decimal"/>
      <w:lvlText w:val="%1.%2.%3.%4.%5.%6.%7."/>
      <w:lvlJc w:val="left"/>
      <w:pPr>
        <w:ind w:left="1800" w:hanging="1440"/>
      </w:pPr>
      <w:rPr>
        <w:b w:val="1"/>
      </w:rPr>
    </w:lvl>
    <w:lvl w:ilvl="7">
      <w:start w:val="1"/>
      <w:numFmt w:val="decimal"/>
      <w:lvlText w:val="%1.%2.%3.%4.%5.%6.%7.%8."/>
      <w:lvlJc w:val="left"/>
      <w:pPr>
        <w:ind w:left="1800" w:hanging="1440"/>
      </w:pPr>
      <w:rPr>
        <w:b w:val="1"/>
      </w:rPr>
    </w:lvl>
    <w:lvl w:ilvl="8">
      <w:start w:val="1"/>
      <w:numFmt w:val="decimal"/>
      <w:lvlText w:val="%1.%2.%3.%4.%5.%6.%7.%8.%9."/>
      <w:lvlJc w:val="left"/>
      <w:pPr>
        <w:ind w:left="2160" w:hanging="1800"/>
      </w:pPr>
      <w:rPr>
        <w:b w:val="1"/>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z-Cyrl-UZ"/>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57.0" w:type="dxa"/>
        <w:bottom w:w="0.0" w:type="dxa"/>
        <w:right w:w="57.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