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6F17" w14:textId="550F5FCD" w:rsidR="680AF375" w:rsidRDefault="680AF375" w:rsidP="665FE07B">
      <w:pPr>
        <w:jc w:val="center"/>
        <w:rPr>
          <w:sz w:val="40"/>
          <w:szCs w:val="40"/>
        </w:rPr>
      </w:pPr>
      <w:r w:rsidRPr="665FE07B">
        <w:rPr>
          <w:sz w:val="40"/>
          <w:szCs w:val="40"/>
        </w:rPr>
        <w:t>Mental Health in Workplace - Technology</w:t>
      </w:r>
    </w:p>
    <w:p w14:paraId="0E082B8E" w14:textId="0918CF2E" w:rsidR="665FE07B" w:rsidRDefault="665FE07B" w:rsidP="665FE07B">
      <w:pPr>
        <w:jc w:val="both"/>
      </w:pPr>
    </w:p>
    <w:p w14:paraId="1A649155" w14:textId="3198D722" w:rsidR="665FE07B" w:rsidRDefault="665FE07B" w:rsidP="665FE07B">
      <w:pPr>
        <w:jc w:val="both"/>
      </w:pPr>
    </w:p>
    <w:p w14:paraId="15177BAF" w14:textId="76461F16" w:rsidR="009E016B" w:rsidRPr="00642312" w:rsidRDefault="00642312" w:rsidP="00642312">
      <w:pPr>
        <w:jc w:val="both"/>
        <w:rPr>
          <w:b/>
          <w:bCs/>
          <w:szCs w:val="20"/>
        </w:rPr>
      </w:pPr>
      <w:r w:rsidRPr="00642312">
        <w:rPr>
          <w:b/>
          <w:bCs/>
          <w:szCs w:val="20"/>
        </w:rPr>
        <w:t>NOTE: All the insights are gathered from the OSMI 2021 TECH Survey dataset.</w:t>
      </w:r>
    </w:p>
    <w:p w14:paraId="16D4E08B" w14:textId="77777777" w:rsidR="00642312" w:rsidRDefault="00642312" w:rsidP="00642312">
      <w:pPr>
        <w:jc w:val="both"/>
        <w:rPr>
          <w:b/>
          <w:bCs/>
        </w:rPr>
      </w:pPr>
    </w:p>
    <w:p w14:paraId="278F05E3" w14:textId="34E1AE68" w:rsidR="00642312" w:rsidRDefault="00642312" w:rsidP="00642312">
      <w:pPr>
        <w:jc w:val="both"/>
        <w:rPr>
          <w:b/>
          <w:bCs/>
          <w:szCs w:val="20"/>
        </w:rPr>
      </w:pPr>
      <w:r w:rsidRPr="00642312">
        <w:rPr>
          <w:szCs w:val="20"/>
        </w:rPr>
        <w:t>This project aims to study the OSMI 2021 Mental Health Tech Survey data to find important insights, understand trends, and discover ways to improve mental health support in the technological department. By looking closely at the data, we hope to provide useful information to help enhance mental health services with the help of technology</w:t>
      </w:r>
      <w:r w:rsidRPr="00642312">
        <w:rPr>
          <w:b/>
          <w:bCs/>
          <w:szCs w:val="20"/>
        </w:rPr>
        <w:t>.</w:t>
      </w:r>
    </w:p>
    <w:p w14:paraId="737FA22E" w14:textId="77777777" w:rsidR="00642312" w:rsidRDefault="00642312" w:rsidP="00642312">
      <w:pPr>
        <w:jc w:val="both"/>
        <w:rPr>
          <w:b/>
          <w:bCs/>
          <w:szCs w:val="20"/>
        </w:rPr>
      </w:pPr>
    </w:p>
    <w:p w14:paraId="2D9EC258" w14:textId="16D6EBA7" w:rsidR="00642312" w:rsidRDefault="00642312" w:rsidP="00642312">
      <w:pPr>
        <w:jc w:val="both"/>
        <w:rPr>
          <w:szCs w:val="20"/>
        </w:rPr>
      </w:pPr>
      <w:r>
        <w:rPr>
          <w:noProof/>
        </w:rPr>
        <w:drawing>
          <wp:inline distT="0" distB="0" distL="0" distR="0" wp14:anchorId="4E1B2535" wp14:editId="026F3D4C">
            <wp:extent cx="4368800" cy="2853055"/>
            <wp:effectExtent l="0" t="0" r="0" b="4445"/>
            <wp:docPr id="1849784713"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84713" name="Picture 3" descr="A graph with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2853055"/>
                    </a:xfrm>
                    <a:prstGeom prst="rect">
                      <a:avLst/>
                    </a:prstGeom>
                    <a:noFill/>
                  </pic:spPr>
                </pic:pic>
              </a:graphicData>
            </a:graphic>
          </wp:inline>
        </w:drawing>
      </w:r>
    </w:p>
    <w:p w14:paraId="1917BD94" w14:textId="27A4A2EE" w:rsidR="00642312" w:rsidRDefault="00642312" w:rsidP="00642312">
      <w:pPr>
        <w:jc w:val="both"/>
        <w:rPr>
          <w:b/>
          <w:bCs/>
          <w:sz w:val="16"/>
          <w:szCs w:val="16"/>
        </w:rPr>
      </w:pPr>
      <w:r>
        <w:t xml:space="preserve">                                               </w:t>
      </w:r>
      <w:r w:rsidRPr="391556E5">
        <w:rPr>
          <w:b/>
          <w:bCs/>
          <w:sz w:val="16"/>
          <w:szCs w:val="16"/>
        </w:rPr>
        <w:t>Fig</w:t>
      </w:r>
      <w:r w:rsidR="40FA0820" w:rsidRPr="391556E5">
        <w:rPr>
          <w:b/>
          <w:bCs/>
          <w:sz w:val="16"/>
          <w:szCs w:val="16"/>
        </w:rPr>
        <w:t xml:space="preserve">. </w:t>
      </w:r>
      <w:r w:rsidRPr="391556E5">
        <w:rPr>
          <w:b/>
          <w:bCs/>
          <w:sz w:val="16"/>
          <w:szCs w:val="16"/>
        </w:rPr>
        <w:t>1.1</w:t>
      </w:r>
    </w:p>
    <w:p w14:paraId="3DBED65C" w14:textId="77777777" w:rsidR="00642312" w:rsidRPr="00642312" w:rsidRDefault="00642312" w:rsidP="00642312">
      <w:pPr>
        <w:jc w:val="both"/>
        <w:rPr>
          <w:b/>
          <w:bCs/>
          <w:sz w:val="16"/>
          <w:szCs w:val="16"/>
        </w:rPr>
      </w:pPr>
    </w:p>
    <w:p w14:paraId="410E8A82" w14:textId="09C2D2CA" w:rsidR="00642312" w:rsidRDefault="3301F655" w:rsidP="00642312">
      <w:pPr>
        <w:jc w:val="both"/>
      </w:pPr>
      <w:r w:rsidRPr="391556E5">
        <w:rPr>
          <w:b/>
          <w:bCs/>
        </w:rPr>
        <w:t>Observation 1</w:t>
      </w:r>
    </w:p>
    <w:p w14:paraId="1808FDA7" w14:textId="23265388" w:rsidR="00642312" w:rsidRDefault="00642312" w:rsidP="00642312">
      <w:pPr>
        <w:jc w:val="both"/>
        <w:rPr>
          <w:b/>
          <w:bCs/>
        </w:rPr>
      </w:pPr>
      <w:r>
        <w:t xml:space="preserve">The ease of obtaining leave for mental health reasons varies depending on the company's size. We categorized companies by their workforce, and our findings indicate that employees in medium-sized companies (100-500 employees) have a 27% higher likelihood of securing mental health-related leave compared to those in smaller and larger firms. </w:t>
      </w:r>
      <w:r w:rsidRPr="391556E5">
        <w:rPr>
          <w:b/>
          <w:bCs/>
        </w:rPr>
        <w:t>The data</w:t>
      </w:r>
      <w:r w:rsidR="2662677A" w:rsidRPr="391556E5">
        <w:rPr>
          <w:b/>
          <w:bCs/>
        </w:rPr>
        <w:t xml:space="preserve"> in Fig</w:t>
      </w:r>
      <w:r w:rsidR="074A8047" w:rsidRPr="391556E5">
        <w:rPr>
          <w:b/>
          <w:bCs/>
        </w:rPr>
        <w:t>.</w:t>
      </w:r>
      <w:r w:rsidR="2662677A" w:rsidRPr="391556E5">
        <w:rPr>
          <w:b/>
          <w:bCs/>
        </w:rPr>
        <w:t xml:space="preserve"> 1.1</w:t>
      </w:r>
      <w:r w:rsidRPr="391556E5">
        <w:rPr>
          <w:b/>
          <w:bCs/>
        </w:rPr>
        <w:t xml:space="preserve"> represents the ease of obtaining leave for mental health reasons and </w:t>
      </w:r>
      <w:r w:rsidR="613EB76F" w:rsidRPr="391556E5">
        <w:rPr>
          <w:b/>
          <w:bCs/>
        </w:rPr>
        <w:t xml:space="preserve">confirms that </w:t>
      </w:r>
      <w:r w:rsidRPr="391556E5">
        <w:rPr>
          <w:b/>
          <w:bCs/>
        </w:rPr>
        <w:t>it is influenced by the size of the company.</w:t>
      </w:r>
    </w:p>
    <w:p w14:paraId="3A158A4A" w14:textId="77777777" w:rsidR="00642312" w:rsidRDefault="00642312" w:rsidP="00642312">
      <w:pPr>
        <w:jc w:val="both"/>
        <w:rPr>
          <w:b/>
          <w:bCs/>
        </w:rPr>
      </w:pPr>
    </w:p>
    <w:p w14:paraId="72932472" w14:textId="77777777" w:rsidR="00642312" w:rsidRDefault="00642312" w:rsidP="00642312">
      <w:pPr>
        <w:jc w:val="both"/>
        <w:rPr>
          <w:b/>
          <w:bCs/>
        </w:rPr>
      </w:pPr>
    </w:p>
    <w:p w14:paraId="78CA4EED" w14:textId="3A41F735" w:rsidR="00642312" w:rsidRDefault="00642312" w:rsidP="00642312">
      <w:pPr>
        <w:jc w:val="both"/>
        <w:rPr>
          <w:b/>
          <w:bCs/>
        </w:rPr>
      </w:pPr>
      <w:r>
        <w:rPr>
          <w:noProof/>
        </w:rPr>
        <w:lastRenderedPageBreak/>
        <w:drawing>
          <wp:inline distT="0" distB="0" distL="0" distR="0" wp14:anchorId="0FB58CFD" wp14:editId="42EE8C7E">
            <wp:extent cx="3810635" cy="1810385"/>
            <wp:effectExtent l="0" t="0" r="0" b="0"/>
            <wp:docPr id="14099318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3186" name="Picture 5"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635" cy="1810385"/>
                    </a:xfrm>
                    <a:prstGeom prst="rect">
                      <a:avLst/>
                    </a:prstGeom>
                    <a:noFill/>
                  </pic:spPr>
                </pic:pic>
              </a:graphicData>
            </a:graphic>
          </wp:inline>
        </w:drawing>
      </w:r>
    </w:p>
    <w:p w14:paraId="59CEC15D" w14:textId="25CBEBEE" w:rsidR="00642312" w:rsidRDefault="00642312" w:rsidP="00642312">
      <w:pPr>
        <w:jc w:val="both"/>
        <w:rPr>
          <w:b/>
          <w:bCs/>
          <w:sz w:val="16"/>
          <w:szCs w:val="16"/>
        </w:rPr>
      </w:pPr>
      <w:r w:rsidRPr="391556E5">
        <w:rPr>
          <w:b/>
          <w:bCs/>
          <w:sz w:val="16"/>
          <w:szCs w:val="16"/>
        </w:rPr>
        <w:t xml:space="preserve">                                             Fig</w:t>
      </w:r>
      <w:r w:rsidR="005E44C4" w:rsidRPr="391556E5">
        <w:rPr>
          <w:b/>
          <w:bCs/>
          <w:sz w:val="16"/>
          <w:szCs w:val="16"/>
        </w:rPr>
        <w:t>.</w:t>
      </w:r>
      <w:r w:rsidR="1A4B4440" w:rsidRPr="391556E5">
        <w:rPr>
          <w:b/>
          <w:bCs/>
          <w:sz w:val="16"/>
          <w:szCs w:val="16"/>
        </w:rPr>
        <w:t xml:space="preserve"> </w:t>
      </w:r>
      <w:r w:rsidRPr="391556E5">
        <w:rPr>
          <w:b/>
          <w:bCs/>
          <w:sz w:val="16"/>
          <w:szCs w:val="16"/>
        </w:rPr>
        <w:t>1.2</w:t>
      </w:r>
    </w:p>
    <w:p w14:paraId="5E2E8EA2" w14:textId="77777777" w:rsidR="00642312" w:rsidRPr="00642312" w:rsidRDefault="00642312" w:rsidP="00642312">
      <w:pPr>
        <w:jc w:val="both"/>
        <w:rPr>
          <w:b/>
          <w:bCs/>
          <w:sz w:val="16"/>
          <w:szCs w:val="16"/>
        </w:rPr>
      </w:pPr>
    </w:p>
    <w:p w14:paraId="3DB46EE9" w14:textId="6D396A07" w:rsidR="148D9CC7" w:rsidRDefault="148D9CC7" w:rsidP="391556E5">
      <w:pPr>
        <w:jc w:val="both"/>
      </w:pPr>
      <w:r w:rsidRPr="391556E5">
        <w:rPr>
          <w:b/>
          <w:bCs/>
        </w:rPr>
        <w:t>Observation 2</w:t>
      </w:r>
    </w:p>
    <w:p w14:paraId="72D13133" w14:textId="2C643652" w:rsidR="00642312" w:rsidRDefault="00642312" w:rsidP="00642312">
      <w:pPr>
        <w:jc w:val="both"/>
        <w:rPr>
          <w:b/>
          <w:bCs/>
        </w:rPr>
      </w:pPr>
      <w:r>
        <w:t>Our research focused on whether employers include mental health benefits in their health coverage. We found that 49% of employees in different companies</w:t>
      </w:r>
      <w:r w:rsidR="277C04B2">
        <w:t xml:space="preserve"> confirmed that</w:t>
      </w:r>
      <w:r>
        <w:t xml:space="preserve"> their employers provide</w:t>
      </w:r>
      <w:r w:rsidR="7CE26064">
        <w:t xml:space="preserve"> mental health</w:t>
      </w:r>
      <w:r>
        <w:t xml:space="preserve"> benefits. Meanwhile, 27%</w:t>
      </w:r>
      <w:r w:rsidR="77A5FF69">
        <w:t xml:space="preserve"> confirmed that</w:t>
      </w:r>
      <w:r>
        <w:t xml:space="preserve"> their employers do</w:t>
      </w:r>
      <w:r w:rsidR="3926A3CA">
        <w:t xml:space="preserve"> no</w:t>
      </w:r>
      <w:r>
        <w:t xml:space="preserve">t offer </w:t>
      </w:r>
      <w:r w:rsidR="7520277B">
        <w:t>mental health benefits</w:t>
      </w:r>
      <w:r>
        <w:t>, and 24% weren't sure if th</w:t>
      </w:r>
      <w:r w:rsidR="7E07BC71">
        <w:t>e</w:t>
      </w:r>
      <w:r>
        <w:t xml:space="preserve"> benefit was part of their workplace health coverage. </w:t>
      </w:r>
      <w:r w:rsidRPr="391556E5">
        <w:rPr>
          <w:b/>
          <w:bCs/>
        </w:rPr>
        <w:t xml:space="preserve">The data </w:t>
      </w:r>
      <w:r w:rsidR="559F4156" w:rsidRPr="391556E5">
        <w:rPr>
          <w:b/>
          <w:bCs/>
        </w:rPr>
        <w:t xml:space="preserve">in </w:t>
      </w:r>
      <w:r w:rsidR="05B75604" w:rsidRPr="391556E5">
        <w:rPr>
          <w:b/>
          <w:bCs/>
        </w:rPr>
        <w:t>F</w:t>
      </w:r>
      <w:r w:rsidR="559F4156" w:rsidRPr="391556E5">
        <w:rPr>
          <w:b/>
          <w:bCs/>
        </w:rPr>
        <w:t>ig</w:t>
      </w:r>
      <w:r w:rsidR="099F1C6E" w:rsidRPr="391556E5">
        <w:rPr>
          <w:b/>
          <w:bCs/>
        </w:rPr>
        <w:t>.</w:t>
      </w:r>
      <w:r w:rsidR="559F4156" w:rsidRPr="391556E5">
        <w:rPr>
          <w:b/>
          <w:bCs/>
        </w:rPr>
        <w:t xml:space="preserve"> 1.2 </w:t>
      </w:r>
      <w:r w:rsidRPr="391556E5">
        <w:rPr>
          <w:b/>
          <w:bCs/>
        </w:rPr>
        <w:t>represents the findings of a research study that examined whether employers offer mental health benefits as part of their health coverage for employees.</w:t>
      </w:r>
    </w:p>
    <w:p w14:paraId="0ABCC3CD" w14:textId="77777777" w:rsidR="00642312" w:rsidRDefault="00642312" w:rsidP="00642312">
      <w:pPr>
        <w:jc w:val="both"/>
        <w:rPr>
          <w:b/>
          <w:bCs/>
        </w:rPr>
      </w:pPr>
    </w:p>
    <w:p w14:paraId="5EC44A26" w14:textId="77777777" w:rsidR="00642312" w:rsidRDefault="00642312" w:rsidP="00642312">
      <w:pPr>
        <w:jc w:val="both"/>
        <w:rPr>
          <w:b/>
          <w:bCs/>
        </w:rPr>
      </w:pPr>
    </w:p>
    <w:p w14:paraId="347AE523" w14:textId="0998A4E8" w:rsidR="00642312" w:rsidRDefault="00642312" w:rsidP="00642312">
      <w:pPr>
        <w:jc w:val="both"/>
      </w:pPr>
      <w:r>
        <w:rPr>
          <w:noProof/>
          <w14:ligatures w14:val="standardContextual"/>
        </w:rPr>
        <w:drawing>
          <wp:inline distT="0" distB="0" distL="0" distR="0" wp14:anchorId="3FFB1B31" wp14:editId="1F4F0882">
            <wp:extent cx="4883150" cy="3035300"/>
            <wp:effectExtent l="0" t="0" r="12700" b="12700"/>
            <wp:docPr id="1037641340" name="Chart 1" descr="Chart type: Clustered Bar. 'What is your age?' by '*Do you have previous employers?*' and 'Do you have a family history of mental illness?'&#10;&#10;Description automatically generated">
              <a:extLst xmlns:a="http://schemas.openxmlformats.org/drawingml/2006/main">
                <a:ext uri="{FF2B5EF4-FFF2-40B4-BE49-F238E27FC236}">
                  <a16:creationId xmlns:a16="http://schemas.microsoft.com/office/drawing/2014/main" id="{590B9F46-0CE9-41D1-BE3B-444A0538D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9C46C4" w14:textId="278BC6A1" w:rsidR="00642312" w:rsidRDefault="00642312" w:rsidP="00642312">
      <w:pPr>
        <w:jc w:val="both"/>
        <w:rPr>
          <w:b/>
          <w:bCs/>
          <w:sz w:val="16"/>
          <w:szCs w:val="16"/>
        </w:rPr>
      </w:pPr>
      <w:r>
        <w:t xml:space="preserve">                                                                </w:t>
      </w:r>
      <w:r w:rsidRPr="391556E5">
        <w:rPr>
          <w:b/>
          <w:bCs/>
          <w:sz w:val="16"/>
          <w:szCs w:val="16"/>
        </w:rPr>
        <w:t>Fig</w:t>
      </w:r>
      <w:r w:rsidR="72827F19" w:rsidRPr="391556E5">
        <w:rPr>
          <w:b/>
          <w:bCs/>
          <w:sz w:val="16"/>
          <w:szCs w:val="16"/>
        </w:rPr>
        <w:t xml:space="preserve">. </w:t>
      </w:r>
      <w:r w:rsidRPr="391556E5">
        <w:rPr>
          <w:b/>
          <w:bCs/>
          <w:sz w:val="16"/>
          <w:szCs w:val="16"/>
        </w:rPr>
        <w:t>1.3</w:t>
      </w:r>
    </w:p>
    <w:p w14:paraId="62F9AAE5" w14:textId="77777777" w:rsidR="00642312" w:rsidRPr="00642312" w:rsidRDefault="00642312" w:rsidP="00642312">
      <w:pPr>
        <w:jc w:val="both"/>
        <w:rPr>
          <w:b/>
          <w:bCs/>
          <w:sz w:val="16"/>
          <w:szCs w:val="16"/>
        </w:rPr>
      </w:pPr>
    </w:p>
    <w:p w14:paraId="74FD4C42" w14:textId="4DD86AE0" w:rsidR="6B8F3B8E" w:rsidRDefault="6B8F3B8E" w:rsidP="391556E5">
      <w:pPr>
        <w:jc w:val="both"/>
      </w:pPr>
      <w:r w:rsidRPr="391556E5">
        <w:rPr>
          <w:b/>
          <w:bCs/>
        </w:rPr>
        <w:t>Observation 3</w:t>
      </w:r>
    </w:p>
    <w:p w14:paraId="36D3426C" w14:textId="2F3EE65B" w:rsidR="00642312" w:rsidRDefault="00642312" w:rsidP="391556E5">
      <w:pPr>
        <w:pStyle w:val="ListParagraph"/>
        <w:numPr>
          <w:ilvl w:val="0"/>
          <w:numId w:val="1"/>
        </w:numPr>
        <w:jc w:val="both"/>
        <w:rPr>
          <w:color w:val="77756F" w:themeColor="background2"/>
          <w:szCs w:val="20"/>
        </w:rPr>
      </w:pPr>
      <w:r>
        <w:t>58% of employees, averaging 39 years old, have a family history of mental health issues.</w:t>
      </w:r>
      <w:r w:rsidR="646AE614">
        <w:t xml:space="preserve"> </w:t>
      </w:r>
      <w:r>
        <w:t>Despite this family history, they are employed and have prior employment experience.</w:t>
      </w:r>
    </w:p>
    <w:p w14:paraId="05C15F1F" w14:textId="7FBBB1BC" w:rsidR="00642312" w:rsidRDefault="00642312" w:rsidP="391556E5">
      <w:pPr>
        <w:pStyle w:val="ListParagraph"/>
        <w:numPr>
          <w:ilvl w:val="0"/>
          <w:numId w:val="1"/>
        </w:numPr>
        <w:jc w:val="both"/>
        <w:rPr>
          <w:color w:val="77756F" w:themeColor="background2"/>
          <w:szCs w:val="20"/>
        </w:rPr>
      </w:pPr>
      <w:r>
        <w:lastRenderedPageBreak/>
        <w:t>42% of individuals, with an average age of 29, have a family history of mental health issues and have no prior employment history.</w:t>
      </w:r>
    </w:p>
    <w:p w14:paraId="2C2F16D3" w14:textId="1AA73815" w:rsidR="00642312" w:rsidRDefault="00642312" w:rsidP="391556E5">
      <w:pPr>
        <w:pStyle w:val="ListParagraph"/>
        <w:numPr>
          <w:ilvl w:val="0"/>
          <w:numId w:val="1"/>
        </w:numPr>
        <w:jc w:val="both"/>
        <w:rPr>
          <w:b/>
          <w:bCs/>
          <w:color w:val="77756F" w:themeColor="background2"/>
          <w:szCs w:val="20"/>
        </w:rPr>
      </w:pPr>
      <w:r>
        <w:t>56% of respondents, averaging 33 years old, have previous employers.</w:t>
      </w:r>
      <w:r w:rsidR="77BB6238">
        <w:t xml:space="preserve"> </w:t>
      </w:r>
      <w:r>
        <w:t>However, they are unaware whether their family has a history of mental health issues.</w:t>
      </w:r>
      <w:r>
        <w:br/>
      </w:r>
      <w:r>
        <w:br/>
      </w:r>
      <w:r w:rsidRPr="391556E5">
        <w:rPr>
          <w:b/>
          <w:bCs/>
        </w:rPr>
        <w:t xml:space="preserve">The data </w:t>
      </w:r>
      <w:r w:rsidR="1924EED2" w:rsidRPr="391556E5">
        <w:rPr>
          <w:b/>
          <w:bCs/>
        </w:rPr>
        <w:t>in Fig</w:t>
      </w:r>
      <w:r w:rsidR="139AA1FB" w:rsidRPr="391556E5">
        <w:rPr>
          <w:b/>
          <w:bCs/>
        </w:rPr>
        <w:t>.</w:t>
      </w:r>
      <w:r w:rsidR="1924EED2" w:rsidRPr="391556E5">
        <w:rPr>
          <w:b/>
          <w:bCs/>
        </w:rPr>
        <w:t xml:space="preserve"> 1.3 </w:t>
      </w:r>
      <w:r w:rsidRPr="391556E5">
        <w:rPr>
          <w:b/>
          <w:bCs/>
        </w:rPr>
        <w:t>represents statistical information about three groups of individuals and their characteristics related to family history of mental health issues, employment status, and age.</w:t>
      </w:r>
    </w:p>
    <w:p w14:paraId="7B107E66" w14:textId="77777777" w:rsidR="00642312" w:rsidRDefault="00642312" w:rsidP="00642312">
      <w:pPr>
        <w:jc w:val="both"/>
        <w:rPr>
          <w:b/>
          <w:bCs/>
        </w:rPr>
      </w:pPr>
    </w:p>
    <w:p w14:paraId="75DE8C23" w14:textId="2EA3A8F9" w:rsidR="00642312" w:rsidRDefault="00642312" w:rsidP="00642312">
      <w:pPr>
        <w:jc w:val="both"/>
        <w:rPr>
          <w:b/>
          <w:bCs/>
        </w:rPr>
      </w:pPr>
      <w:r>
        <w:rPr>
          <w:noProof/>
        </w:rPr>
        <w:drawing>
          <wp:inline distT="0" distB="0" distL="0" distR="0" wp14:anchorId="57961440" wp14:editId="3393B324">
            <wp:extent cx="4584700" cy="2279650"/>
            <wp:effectExtent l="0" t="0" r="6350" b="6350"/>
            <wp:docPr id="1442895239" name="Picture 4"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95239" name="Picture 4" descr="A graph with orange and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279650"/>
                    </a:xfrm>
                    <a:prstGeom prst="rect">
                      <a:avLst/>
                    </a:prstGeom>
                    <a:noFill/>
                  </pic:spPr>
                </pic:pic>
              </a:graphicData>
            </a:graphic>
          </wp:inline>
        </w:drawing>
      </w:r>
    </w:p>
    <w:p w14:paraId="5F84551B" w14:textId="7C75DB22" w:rsidR="00642312" w:rsidRDefault="00642312" w:rsidP="00642312">
      <w:pPr>
        <w:jc w:val="both"/>
        <w:rPr>
          <w:b/>
          <w:bCs/>
          <w:sz w:val="16"/>
          <w:szCs w:val="16"/>
        </w:rPr>
      </w:pPr>
      <w:r w:rsidRPr="391556E5">
        <w:rPr>
          <w:b/>
          <w:bCs/>
        </w:rPr>
        <w:t xml:space="preserve">                                                  </w:t>
      </w:r>
      <w:r w:rsidRPr="391556E5">
        <w:rPr>
          <w:b/>
          <w:bCs/>
          <w:sz w:val="16"/>
          <w:szCs w:val="16"/>
        </w:rPr>
        <w:t>Fig</w:t>
      </w:r>
      <w:r w:rsidR="428CF426" w:rsidRPr="391556E5">
        <w:rPr>
          <w:b/>
          <w:bCs/>
          <w:sz w:val="16"/>
          <w:szCs w:val="16"/>
        </w:rPr>
        <w:t>.v</w:t>
      </w:r>
      <w:r w:rsidRPr="391556E5">
        <w:rPr>
          <w:b/>
          <w:bCs/>
          <w:sz w:val="16"/>
          <w:szCs w:val="16"/>
        </w:rPr>
        <w:t>1.4</w:t>
      </w:r>
    </w:p>
    <w:p w14:paraId="3A7AC228" w14:textId="77777777" w:rsidR="00642312" w:rsidRPr="00642312" w:rsidRDefault="00642312" w:rsidP="00642312">
      <w:pPr>
        <w:jc w:val="both"/>
        <w:rPr>
          <w:b/>
          <w:bCs/>
          <w:sz w:val="16"/>
          <w:szCs w:val="16"/>
        </w:rPr>
      </w:pPr>
    </w:p>
    <w:p w14:paraId="22F16460" w14:textId="6411A5AA" w:rsidR="00642312" w:rsidRDefault="297661AA" w:rsidP="00642312">
      <w:pPr>
        <w:jc w:val="both"/>
      </w:pPr>
      <w:r w:rsidRPr="391556E5">
        <w:rPr>
          <w:b/>
          <w:bCs/>
        </w:rPr>
        <w:t xml:space="preserve">Observation 4 </w:t>
      </w:r>
    </w:p>
    <w:p w14:paraId="61727792" w14:textId="22E3B967" w:rsidR="00642312" w:rsidRDefault="00642312" w:rsidP="00642312">
      <w:pPr>
        <w:jc w:val="both"/>
        <w:rPr>
          <w:b/>
          <w:bCs/>
        </w:rPr>
      </w:pPr>
      <w:r>
        <w:t xml:space="preserve">Companies with more than 1,000 employees consistently receive higher ratings for their handling of mental health issues. Following closely, medium-sized companies with 500-1000 employees secure the second position in these ratings. </w:t>
      </w:r>
      <w:r w:rsidRPr="391556E5">
        <w:rPr>
          <w:b/>
          <w:bCs/>
        </w:rPr>
        <w:t xml:space="preserve">This data </w:t>
      </w:r>
      <w:r w:rsidR="53D8E51C" w:rsidRPr="391556E5">
        <w:rPr>
          <w:b/>
          <w:bCs/>
        </w:rPr>
        <w:t xml:space="preserve">in Fig. 1.4 </w:t>
      </w:r>
      <w:r w:rsidRPr="391556E5">
        <w:rPr>
          <w:b/>
          <w:bCs/>
        </w:rPr>
        <w:t>underscores the significant impact of company size on the quality of mental health support offered in the workplace.</w:t>
      </w:r>
    </w:p>
    <w:p w14:paraId="6A1C99FB" w14:textId="77777777" w:rsidR="00642312" w:rsidRDefault="00642312" w:rsidP="00642312">
      <w:pPr>
        <w:jc w:val="both"/>
        <w:rPr>
          <w:b/>
          <w:bCs/>
        </w:rPr>
      </w:pPr>
    </w:p>
    <w:p w14:paraId="6E5230E4" w14:textId="77777777" w:rsidR="00642312" w:rsidRDefault="00642312" w:rsidP="00642312">
      <w:pPr>
        <w:jc w:val="both"/>
        <w:rPr>
          <w:b/>
          <w:bCs/>
        </w:rPr>
      </w:pPr>
    </w:p>
    <w:p w14:paraId="1365A374" w14:textId="52A74F2A" w:rsidR="00642312" w:rsidRDefault="00642312" w:rsidP="00642312">
      <w:pPr>
        <w:jc w:val="both"/>
      </w:pPr>
      <w:r>
        <w:rPr>
          <w:noProof/>
          <w14:ligatures w14:val="standardContextual"/>
        </w:rPr>
        <w:lastRenderedPageBreak/>
        <w:drawing>
          <wp:inline distT="0" distB="0" distL="0" distR="0" wp14:anchorId="7794E774" wp14:editId="1E03FE21">
            <wp:extent cx="5594350" cy="3994150"/>
            <wp:effectExtent l="0" t="0" r="6350" b="6350"/>
            <wp:docPr id="1279548607" name="Chart 1" descr="Chart type: Clustered Bar. 'Would you bring up your *mental* health with a potential employer in an interview?': No has noticeably higher 'How has it affected your career?'.&#10;&#10;Description automatically generated">
              <a:extLst xmlns:a="http://schemas.openxmlformats.org/drawingml/2006/main">
                <a:ext uri="{FF2B5EF4-FFF2-40B4-BE49-F238E27FC236}">
                  <a16:creationId xmlns:a16="http://schemas.microsoft.com/office/drawing/2014/main" id="{72FDCDA9-EF36-4E3A-AAF7-620E7B486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D78F22" w14:textId="71F92C93" w:rsidR="00642312" w:rsidRDefault="00642312" w:rsidP="00642312">
      <w:pPr>
        <w:jc w:val="both"/>
        <w:rPr>
          <w:b/>
          <w:bCs/>
          <w:sz w:val="16"/>
          <w:szCs w:val="16"/>
        </w:rPr>
      </w:pPr>
      <w:r>
        <w:t xml:space="preserve">                                                                      </w:t>
      </w:r>
      <w:r w:rsidRPr="391556E5">
        <w:rPr>
          <w:b/>
          <w:bCs/>
          <w:sz w:val="16"/>
          <w:szCs w:val="16"/>
        </w:rPr>
        <w:t>Fig</w:t>
      </w:r>
      <w:r w:rsidR="3E89F438" w:rsidRPr="391556E5">
        <w:rPr>
          <w:b/>
          <w:bCs/>
          <w:sz w:val="16"/>
          <w:szCs w:val="16"/>
        </w:rPr>
        <w:t xml:space="preserve">. </w:t>
      </w:r>
      <w:r w:rsidRPr="391556E5">
        <w:rPr>
          <w:b/>
          <w:bCs/>
          <w:sz w:val="16"/>
          <w:szCs w:val="16"/>
        </w:rPr>
        <w:t>1.5</w:t>
      </w:r>
    </w:p>
    <w:p w14:paraId="06523BAE" w14:textId="77777777" w:rsidR="00642312" w:rsidRPr="00642312" w:rsidRDefault="00642312" w:rsidP="00642312">
      <w:pPr>
        <w:jc w:val="both"/>
        <w:rPr>
          <w:b/>
          <w:bCs/>
          <w:sz w:val="16"/>
          <w:szCs w:val="16"/>
        </w:rPr>
      </w:pPr>
    </w:p>
    <w:p w14:paraId="0587E896" w14:textId="5141D241" w:rsidR="0900FBEA" w:rsidRDefault="0900FBEA" w:rsidP="391556E5">
      <w:pPr>
        <w:jc w:val="both"/>
      </w:pPr>
      <w:r w:rsidRPr="391556E5">
        <w:rPr>
          <w:b/>
          <w:bCs/>
        </w:rPr>
        <w:t>Observation 5</w:t>
      </w:r>
    </w:p>
    <w:p w14:paraId="5BA18CBB" w14:textId="24120778" w:rsidR="00642312" w:rsidRDefault="00642312" w:rsidP="00642312">
      <w:pPr>
        <w:jc w:val="both"/>
        <w:rPr>
          <w:b/>
          <w:bCs/>
        </w:rPr>
      </w:pPr>
      <w:r>
        <w:t xml:space="preserve">When it comes to disclosing mental health issues to potential employers, 56% of individuals choose not to do so. On a scale from 1 to 10, they rate the potential impact on their career at an average of 6.66. This finding reflects the hesitation among individuals to share their mental health status during the employment process. </w:t>
      </w:r>
      <w:r w:rsidRPr="391556E5">
        <w:rPr>
          <w:b/>
          <w:bCs/>
        </w:rPr>
        <w:t xml:space="preserve">The data </w:t>
      </w:r>
      <w:r w:rsidR="7710E6C6" w:rsidRPr="391556E5">
        <w:rPr>
          <w:b/>
          <w:bCs/>
        </w:rPr>
        <w:t xml:space="preserve">in Fig. 1.5 </w:t>
      </w:r>
      <w:r w:rsidRPr="391556E5">
        <w:rPr>
          <w:b/>
          <w:bCs/>
        </w:rPr>
        <w:t>represents findings related to the disclosure of mental health issues to potential employers during the job application and interview process.</w:t>
      </w:r>
    </w:p>
    <w:p w14:paraId="09F92CCF" w14:textId="77777777" w:rsidR="00642312" w:rsidRDefault="00642312" w:rsidP="00642312">
      <w:pPr>
        <w:jc w:val="both"/>
        <w:rPr>
          <w:b/>
          <w:bCs/>
        </w:rPr>
      </w:pPr>
    </w:p>
    <w:p w14:paraId="18AC376C" w14:textId="7AF1088A" w:rsidR="00642312" w:rsidRDefault="00642312" w:rsidP="00642312">
      <w:pPr>
        <w:jc w:val="both"/>
      </w:pPr>
      <w:r w:rsidRPr="391556E5">
        <w:rPr>
          <w:b/>
          <w:bCs/>
        </w:rPr>
        <w:t>Conclusion:</w:t>
      </w:r>
      <w:r>
        <w:br/>
      </w:r>
      <w:r w:rsidR="3F1C57B0">
        <w:t>We can conclude that the following factors impact mental health at the workplace.</w:t>
      </w:r>
    </w:p>
    <w:p w14:paraId="35C88211" w14:textId="6975AA58" w:rsidR="00642312" w:rsidRDefault="00642312" w:rsidP="00642312">
      <w:pPr>
        <w:jc w:val="both"/>
      </w:pPr>
      <w:r>
        <w:br/>
      </w:r>
      <w:r w:rsidR="64E587DE" w:rsidRPr="391556E5">
        <w:rPr>
          <w:b/>
          <w:bCs/>
        </w:rPr>
        <w:t xml:space="preserve">1. </w:t>
      </w:r>
      <w:r w:rsidR="00655FD0" w:rsidRPr="391556E5">
        <w:rPr>
          <w:b/>
          <w:bCs/>
        </w:rPr>
        <w:t>Corporate Size and Its Impact on Mental Health Assistance</w:t>
      </w:r>
      <w:r w:rsidRPr="391556E5">
        <w:rPr>
          <w:b/>
          <w:bCs/>
        </w:rPr>
        <w:t>:</w:t>
      </w:r>
    </w:p>
    <w:p w14:paraId="6832838A" w14:textId="319C3A37" w:rsidR="00642312" w:rsidRDefault="00655FD0" w:rsidP="391556E5">
      <w:pPr>
        <w:jc w:val="both"/>
        <w:rPr>
          <w:u w:val="single"/>
        </w:rPr>
      </w:pPr>
      <w:r>
        <w:t xml:space="preserve">Company size plays a significant role in the ease of obtaining mental health-related leave and support. </w:t>
      </w:r>
      <w:r w:rsidR="00642312">
        <w:t xml:space="preserve">Larger companies with over 1000 employees consistently excel in providing mental health support, with medium-sized companies </w:t>
      </w:r>
      <w:r>
        <w:t>providing ease of obtaining mental health-related leave.</w:t>
      </w:r>
      <w:r>
        <w:br/>
      </w:r>
      <w:r>
        <w:br/>
      </w:r>
      <w:r w:rsidR="0EA1A82D" w:rsidRPr="391556E5">
        <w:rPr>
          <w:u w:val="single"/>
        </w:rPr>
        <w:t xml:space="preserve">Recommended Action / </w:t>
      </w:r>
      <w:proofErr w:type="spellStart"/>
      <w:r w:rsidR="0EA1A82D" w:rsidRPr="391556E5">
        <w:rPr>
          <w:u w:val="single"/>
        </w:rPr>
        <w:t>Soution</w:t>
      </w:r>
      <w:proofErr w:type="spellEnd"/>
      <w:r w:rsidR="0EA1A82D" w:rsidRPr="391556E5">
        <w:rPr>
          <w:u w:val="single"/>
        </w:rPr>
        <w:t xml:space="preserve">: </w:t>
      </w:r>
      <w:r w:rsidRPr="391556E5">
        <w:rPr>
          <w:u w:val="single"/>
        </w:rPr>
        <w:t>Workplace culture should promote mental well-being, reducing the need for leave in the first place. Encourage open conversations about mental health.</w:t>
      </w:r>
    </w:p>
    <w:p w14:paraId="74ED3C44" w14:textId="77777777" w:rsidR="00642312" w:rsidRDefault="00642312" w:rsidP="00642312">
      <w:pPr>
        <w:jc w:val="both"/>
      </w:pPr>
    </w:p>
    <w:p w14:paraId="4C2DF590" w14:textId="61724951" w:rsidR="00642312" w:rsidRPr="002B4ABA" w:rsidRDefault="6DF41AC5" w:rsidP="00642312">
      <w:pPr>
        <w:jc w:val="both"/>
        <w:rPr>
          <w:b/>
          <w:bCs/>
        </w:rPr>
      </w:pPr>
      <w:r w:rsidRPr="391556E5">
        <w:rPr>
          <w:b/>
          <w:bCs/>
        </w:rPr>
        <w:t xml:space="preserve">2. </w:t>
      </w:r>
      <w:r w:rsidR="00642312" w:rsidRPr="391556E5">
        <w:rPr>
          <w:b/>
          <w:bCs/>
        </w:rPr>
        <w:t>Hesitation to Disclose Mental Health Status:</w:t>
      </w:r>
    </w:p>
    <w:p w14:paraId="1BCDBD9E" w14:textId="6D1A1B71" w:rsidR="00642312" w:rsidRDefault="00642312" w:rsidP="00655FD0">
      <w:r>
        <w:lastRenderedPageBreak/>
        <w:t>A significant portion of individuals, 56%, choose not to disclose their mental health issues to potential employers, reflecting concerns about its impact on their careers.</w:t>
      </w:r>
    </w:p>
    <w:p w14:paraId="0CF11338" w14:textId="77777777" w:rsidR="00655FD0" w:rsidRDefault="00655FD0" w:rsidP="00655FD0"/>
    <w:p w14:paraId="5CCD0002" w14:textId="56D0ABF9" w:rsidR="00655FD0" w:rsidRPr="00655FD0" w:rsidRDefault="1E2BFE8C" w:rsidP="391556E5">
      <w:pPr>
        <w:jc w:val="both"/>
        <w:rPr>
          <w:u w:val="single"/>
        </w:rPr>
      </w:pPr>
      <w:r w:rsidRPr="391556E5">
        <w:rPr>
          <w:u w:val="single"/>
        </w:rPr>
        <w:t xml:space="preserve">Recommended Action / </w:t>
      </w:r>
      <w:proofErr w:type="spellStart"/>
      <w:r w:rsidRPr="391556E5">
        <w:rPr>
          <w:u w:val="single"/>
        </w:rPr>
        <w:t>Soution</w:t>
      </w:r>
      <w:proofErr w:type="spellEnd"/>
      <w:r w:rsidRPr="391556E5">
        <w:rPr>
          <w:u w:val="single"/>
        </w:rPr>
        <w:t xml:space="preserve">: </w:t>
      </w:r>
      <w:r w:rsidR="00D95A35" w:rsidRPr="391556E5">
        <w:rPr>
          <w:u w:val="single"/>
        </w:rPr>
        <w:t>Continuously monitor your organization's recruitment processes and policies to identify and address any barriers or biases related to mental health disclosure. Seek feedback from applicants and new hires for insights.</w:t>
      </w:r>
    </w:p>
    <w:p w14:paraId="3EF02227" w14:textId="77777777" w:rsidR="00642312" w:rsidRDefault="00642312" w:rsidP="00642312">
      <w:pPr>
        <w:jc w:val="both"/>
      </w:pPr>
    </w:p>
    <w:p w14:paraId="1D5AFE26" w14:textId="3D59A049" w:rsidR="00642312" w:rsidRPr="002B4ABA" w:rsidRDefault="5187BDBE" w:rsidP="00642312">
      <w:pPr>
        <w:jc w:val="both"/>
        <w:rPr>
          <w:b/>
          <w:bCs/>
        </w:rPr>
      </w:pPr>
      <w:r w:rsidRPr="391556E5">
        <w:rPr>
          <w:b/>
          <w:bCs/>
        </w:rPr>
        <w:t xml:space="preserve">3. </w:t>
      </w:r>
      <w:r w:rsidR="00642312" w:rsidRPr="391556E5">
        <w:rPr>
          <w:b/>
          <w:bCs/>
        </w:rPr>
        <w:t>Variability in Mental Health Benefits:</w:t>
      </w:r>
    </w:p>
    <w:p w14:paraId="46D4B253" w14:textId="77777777" w:rsidR="00642312" w:rsidRDefault="00642312" w:rsidP="00642312">
      <w:pPr>
        <w:jc w:val="both"/>
      </w:pPr>
      <w:r w:rsidRPr="003F42E1">
        <w:t>Many employees have access to mental health benefits at work, but not everyone does, and the availability varies a lot</w:t>
      </w:r>
      <w:r>
        <w:t>.</w:t>
      </w:r>
    </w:p>
    <w:p w14:paraId="186E3B41" w14:textId="77777777" w:rsidR="00655FD0" w:rsidRDefault="00655FD0" w:rsidP="00642312">
      <w:pPr>
        <w:jc w:val="both"/>
      </w:pPr>
    </w:p>
    <w:p w14:paraId="605A1303" w14:textId="72CC02A3" w:rsidR="00655FD0" w:rsidRPr="00655FD0" w:rsidRDefault="55BB2FBC" w:rsidP="391556E5">
      <w:pPr>
        <w:jc w:val="both"/>
        <w:rPr>
          <w:u w:val="single"/>
        </w:rPr>
      </w:pPr>
      <w:r w:rsidRPr="391556E5">
        <w:rPr>
          <w:u w:val="single"/>
        </w:rPr>
        <w:t xml:space="preserve">Recommended Action / </w:t>
      </w:r>
      <w:proofErr w:type="spellStart"/>
      <w:r w:rsidRPr="391556E5">
        <w:rPr>
          <w:u w:val="single"/>
        </w:rPr>
        <w:t>Soution</w:t>
      </w:r>
      <w:proofErr w:type="spellEnd"/>
      <w:r w:rsidRPr="391556E5">
        <w:rPr>
          <w:u w:val="single"/>
        </w:rPr>
        <w:t xml:space="preserve">: </w:t>
      </w:r>
      <w:r w:rsidR="00655FD0" w:rsidRPr="391556E5">
        <w:rPr>
          <w:u w:val="single"/>
        </w:rPr>
        <w:t>Conduct periodic surveys to gauge employee satisfaction with the available mental health benefits and programs and gather feedback for improvement.</w:t>
      </w:r>
    </w:p>
    <w:p w14:paraId="68C9EEAB" w14:textId="77777777" w:rsidR="00642312" w:rsidRDefault="00642312" w:rsidP="00642312">
      <w:pPr>
        <w:jc w:val="both"/>
      </w:pPr>
    </w:p>
    <w:p w14:paraId="25D61221" w14:textId="737222BF" w:rsidR="00642312" w:rsidRPr="002B4ABA" w:rsidRDefault="09EB653B" w:rsidP="00642312">
      <w:pPr>
        <w:jc w:val="both"/>
        <w:rPr>
          <w:b/>
          <w:bCs/>
        </w:rPr>
      </w:pPr>
      <w:r w:rsidRPr="391556E5">
        <w:rPr>
          <w:b/>
          <w:bCs/>
        </w:rPr>
        <w:t xml:space="preserve">4. </w:t>
      </w:r>
      <w:r w:rsidR="00642312" w:rsidRPr="391556E5">
        <w:rPr>
          <w:b/>
          <w:bCs/>
        </w:rPr>
        <w:t>Diversity in Employee Backgrounds:</w:t>
      </w:r>
    </w:p>
    <w:p w14:paraId="20824712" w14:textId="2ADB9EA6" w:rsidR="00642312" w:rsidRDefault="3824C17F" w:rsidP="391556E5">
      <w:pPr>
        <w:jc w:val="both"/>
        <w:rPr>
          <w:u w:val="single"/>
        </w:rPr>
      </w:pPr>
      <w:r w:rsidRPr="391556E5">
        <w:rPr>
          <w:u w:val="single"/>
        </w:rPr>
        <w:t xml:space="preserve">Recommended Action / </w:t>
      </w:r>
      <w:proofErr w:type="spellStart"/>
      <w:r w:rsidRPr="391556E5">
        <w:rPr>
          <w:u w:val="single"/>
        </w:rPr>
        <w:t>Soution</w:t>
      </w:r>
      <w:proofErr w:type="spellEnd"/>
      <w:r w:rsidRPr="391556E5">
        <w:rPr>
          <w:u w:val="single"/>
        </w:rPr>
        <w:t>:</w:t>
      </w:r>
      <w:r>
        <w:t xml:space="preserve"> </w:t>
      </w:r>
      <w:r w:rsidR="00642312">
        <w:t>Employees exhibit diverse backgrounds, including family history, employment history, and awareness of mental health issues within their families.</w:t>
      </w:r>
    </w:p>
    <w:p w14:paraId="6683F7DD" w14:textId="77777777" w:rsidR="00642312" w:rsidRDefault="00642312" w:rsidP="00642312">
      <w:pPr>
        <w:jc w:val="both"/>
      </w:pPr>
    </w:p>
    <w:p w14:paraId="13D75546" w14:textId="7840B9D0" w:rsidR="00642312" w:rsidRPr="00655FD0" w:rsidRDefault="00655FD0" w:rsidP="00642312">
      <w:pPr>
        <w:jc w:val="both"/>
        <w:rPr>
          <w:u w:val="single"/>
        </w:rPr>
      </w:pPr>
      <w:r w:rsidRPr="391556E5">
        <w:rPr>
          <w:u w:val="single"/>
        </w:rPr>
        <w:t xml:space="preserve">Encourage regular communication and feedback between employees and management to ensure that mental health support remains effective and responsive to </w:t>
      </w:r>
      <w:r w:rsidR="6F6D24E1" w:rsidRPr="391556E5">
        <w:rPr>
          <w:u w:val="single"/>
        </w:rPr>
        <w:t xml:space="preserve">diverse and </w:t>
      </w:r>
      <w:r w:rsidRPr="391556E5">
        <w:rPr>
          <w:u w:val="single"/>
        </w:rPr>
        <w:t>individual backgrounds.</w:t>
      </w:r>
    </w:p>
    <w:p w14:paraId="59DE9FE7" w14:textId="77777777" w:rsidR="00642312" w:rsidRDefault="00642312" w:rsidP="00642312">
      <w:pPr>
        <w:jc w:val="both"/>
      </w:pPr>
    </w:p>
    <w:p w14:paraId="161FD50B" w14:textId="77777777" w:rsidR="00642312" w:rsidRDefault="00642312" w:rsidP="00642312">
      <w:pPr>
        <w:jc w:val="both"/>
      </w:pPr>
    </w:p>
    <w:p w14:paraId="5D99254C" w14:textId="77777777" w:rsidR="00642312" w:rsidRDefault="00642312" w:rsidP="00642312">
      <w:pPr>
        <w:jc w:val="both"/>
      </w:pPr>
    </w:p>
    <w:p w14:paraId="109DCC95" w14:textId="77777777" w:rsidR="00642312" w:rsidRDefault="00642312" w:rsidP="00642312">
      <w:pPr>
        <w:jc w:val="both"/>
        <w:rPr>
          <w:b/>
          <w:bCs/>
        </w:rPr>
      </w:pPr>
    </w:p>
    <w:p w14:paraId="7278A290" w14:textId="77777777" w:rsidR="00642312" w:rsidRDefault="00642312" w:rsidP="00642312">
      <w:pPr>
        <w:jc w:val="both"/>
        <w:rPr>
          <w:b/>
          <w:bCs/>
        </w:rPr>
      </w:pPr>
    </w:p>
    <w:p w14:paraId="63F7325B" w14:textId="77777777" w:rsidR="00642312" w:rsidRDefault="00642312" w:rsidP="00642312">
      <w:pPr>
        <w:jc w:val="both"/>
        <w:rPr>
          <w:b/>
          <w:bCs/>
        </w:rPr>
      </w:pPr>
    </w:p>
    <w:p w14:paraId="32B9F7BB" w14:textId="77777777" w:rsidR="00642312" w:rsidRDefault="00642312" w:rsidP="00642312">
      <w:pPr>
        <w:jc w:val="both"/>
        <w:rPr>
          <w:b/>
          <w:bCs/>
        </w:rPr>
      </w:pPr>
    </w:p>
    <w:p w14:paraId="6E2301A6" w14:textId="77777777" w:rsidR="00642312" w:rsidRDefault="00642312" w:rsidP="00642312">
      <w:pPr>
        <w:jc w:val="both"/>
        <w:rPr>
          <w:b/>
          <w:bCs/>
        </w:rPr>
      </w:pPr>
    </w:p>
    <w:p w14:paraId="24D4B326" w14:textId="77777777" w:rsidR="00642312" w:rsidRDefault="00642312" w:rsidP="00642312">
      <w:pPr>
        <w:jc w:val="both"/>
        <w:rPr>
          <w:b/>
          <w:bCs/>
        </w:rPr>
      </w:pPr>
    </w:p>
    <w:p w14:paraId="2EEB554D" w14:textId="77777777" w:rsidR="00642312" w:rsidRDefault="00642312" w:rsidP="00642312">
      <w:pPr>
        <w:jc w:val="both"/>
        <w:rPr>
          <w:b/>
          <w:bCs/>
        </w:rPr>
      </w:pPr>
    </w:p>
    <w:p w14:paraId="0D443F26" w14:textId="77777777" w:rsidR="00642312" w:rsidRDefault="00642312" w:rsidP="00642312">
      <w:pPr>
        <w:jc w:val="both"/>
        <w:rPr>
          <w:b/>
          <w:bCs/>
        </w:rPr>
      </w:pPr>
    </w:p>
    <w:p w14:paraId="7A91DBAD" w14:textId="77777777" w:rsidR="00642312" w:rsidRDefault="00642312" w:rsidP="00642312">
      <w:pPr>
        <w:jc w:val="both"/>
      </w:pPr>
    </w:p>
    <w:p w14:paraId="369AA762" w14:textId="77777777" w:rsidR="00642312" w:rsidRDefault="00642312" w:rsidP="00642312">
      <w:pPr>
        <w:jc w:val="both"/>
      </w:pPr>
    </w:p>
    <w:p w14:paraId="1590CDE7" w14:textId="77777777" w:rsidR="00642312" w:rsidRDefault="00642312" w:rsidP="00642312">
      <w:pPr>
        <w:jc w:val="both"/>
        <w:rPr>
          <w:b/>
          <w:bCs/>
        </w:rPr>
      </w:pPr>
    </w:p>
    <w:p w14:paraId="04DC2FE2" w14:textId="77777777" w:rsidR="00642312" w:rsidRDefault="00642312" w:rsidP="00642312">
      <w:pPr>
        <w:jc w:val="both"/>
        <w:rPr>
          <w:b/>
          <w:bCs/>
        </w:rPr>
      </w:pPr>
    </w:p>
    <w:p w14:paraId="56B44197" w14:textId="77777777" w:rsidR="00642312" w:rsidRDefault="00642312" w:rsidP="00642312">
      <w:pPr>
        <w:jc w:val="both"/>
      </w:pPr>
    </w:p>
    <w:p w14:paraId="63BE4263" w14:textId="77777777" w:rsidR="00642312" w:rsidRPr="00642312" w:rsidRDefault="00642312" w:rsidP="00642312">
      <w:pPr>
        <w:jc w:val="both"/>
        <w:rPr>
          <w:szCs w:val="20"/>
        </w:rPr>
      </w:pPr>
    </w:p>
    <w:p w14:paraId="40F0AEDB" w14:textId="77777777" w:rsidR="008C062B" w:rsidRDefault="008C062B" w:rsidP="00C01A6F"/>
    <w:p w14:paraId="6C70EFEE" w14:textId="77777777" w:rsidR="004C1567" w:rsidRDefault="004C1567" w:rsidP="00C01A6F"/>
    <w:p w14:paraId="43B17EA3" w14:textId="77777777" w:rsidR="008C062B" w:rsidRDefault="008C062B" w:rsidP="00C01A6F"/>
    <w:p w14:paraId="0B5412C1" w14:textId="77777777" w:rsidR="008C062B" w:rsidRDefault="008C062B" w:rsidP="00C01A6F"/>
    <w:p w14:paraId="336019EE" w14:textId="77777777" w:rsidR="002155F1" w:rsidRDefault="002155F1" w:rsidP="00C01A6F"/>
    <w:p w14:paraId="08CF928F" w14:textId="77777777" w:rsidR="008C062B" w:rsidRDefault="008C062B" w:rsidP="00C01A6F"/>
    <w:p w14:paraId="1E363C49" w14:textId="77777777" w:rsidR="008C062B" w:rsidRDefault="008C062B" w:rsidP="00C01A6F"/>
    <w:p w14:paraId="21B3892C" w14:textId="77777777" w:rsidR="008C062B" w:rsidRDefault="008C062B" w:rsidP="00C01A6F"/>
    <w:p w14:paraId="7FA22FDA" w14:textId="77777777" w:rsidR="008C062B" w:rsidRDefault="008C062B" w:rsidP="00C01A6F"/>
    <w:sectPr w:rsidR="008C062B" w:rsidSect="006A70D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FEF3" w14:textId="77777777" w:rsidR="006A70D7" w:rsidRDefault="006A70D7" w:rsidP="00CF3454">
      <w:r>
        <w:separator/>
      </w:r>
    </w:p>
  </w:endnote>
  <w:endnote w:type="continuationSeparator" w:id="0">
    <w:p w14:paraId="69C0B0A6" w14:textId="77777777" w:rsidR="006A70D7" w:rsidRDefault="006A70D7" w:rsidP="00CF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Std-Lt">
    <w:altName w:val="Arial"/>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NeueLTStd-Blk">
    <w:altName w:val="Arial"/>
    <w:panose1 w:val="00000000000000000000"/>
    <w:charset w:val="4D"/>
    <w:family w:val="auto"/>
    <w:notTrueType/>
    <w:pitch w:val="default"/>
    <w:sig w:usb0="00000003" w:usb1="00000000" w:usb2="00000000" w:usb3="00000000" w:csb0="00000001" w:csb1="00000000"/>
  </w:font>
  <w:font w:name="Meiryo UI">
    <w:altName w:val="MS UI Gothic"/>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03AA" w14:textId="77777777" w:rsidR="00FD7F0F" w:rsidRDefault="00FD7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1295" w14:textId="77777777" w:rsidR="00223851" w:rsidRDefault="00223851" w:rsidP="00223851">
    <w:pPr>
      <w:pStyle w:val="Footer"/>
      <w:tabs>
        <w:tab w:val="clear" w:pos="8640"/>
        <w:tab w:val="left" w:pos="4320"/>
        <w:tab w:val="right" w:pos="9360"/>
      </w:tabs>
      <w:ind w:right="-90"/>
      <w:jc w:val="both"/>
    </w:pPr>
    <w:r w:rsidRPr="00112E92">
      <w:rPr>
        <w:noProof/>
        <w:color w:val="FFFFFF" w:themeColor="background1"/>
      </w:rPr>
      <mc:AlternateContent>
        <mc:Choice Requires="wps">
          <w:drawing>
            <wp:anchor distT="0" distB="0" distL="114300" distR="114300" simplePos="0" relativeHeight="251661312" behindDoc="1" locked="0" layoutInCell="1" allowOverlap="1" wp14:anchorId="178C7A2E" wp14:editId="0337F4D5">
              <wp:simplePos x="0" y="0"/>
              <wp:positionH relativeFrom="page">
                <wp:align>right</wp:align>
              </wp:positionH>
              <wp:positionV relativeFrom="paragraph">
                <wp:posOffset>-6985</wp:posOffset>
              </wp:positionV>
              <wp:extent cx="7810500" cy="1112520"/>
              <wp:effectExtent l="0" t="0" r="0" b="0"/>
              <wp:wrapNone/>
              <wp:docPr id="3" name="Rectangle 3"/>
              <wp:cNvGraphicFramePr/>
              <a:graphic xmlns:a="http://schemas.openxmlformats.org/drawingml/2006/main">
                <a:graphicData uri="http://schemas.microsoft.com/office/word/2010/wordprocessingShape">
                  <wps:wsp>
                    <wps:cNvSpPr/>
                    <wps:spPr>
                      <a:xfrm>
                        <a:off x="0" y="0"/>
                        <a:ext cx="7810500" cy="1112520"/>
                      </a:xfrm>
                      <a:prstGeom prst="rect">
                        <a:avLst/>
                      </a:prstGeom>
                      <a:solidFill>
                        <a:schemeClr val="bg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69A6BE9">
            <v:rect id="Rectangle 3" style="position:absolute;margin-left:563.8pt;margin-top:-.55pt;width:615pt;height:87.6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c9c7c5 [1310]" stroked="f" strokeweight="1pt" w14:anchorId="4EB45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RBkgIAAJoFAAAOAAAAZHJzL2Uyb0RvYy54bWysVEtv2zAMvg/YfxB0X20HSdsFdYogRYcB&#10;XVu0HXpWZCk2IIuapMTJfv0oyXb6wg7DcnAkPj6Sn0heXO5bRXbCugZ0SYuTnBKhOVSN3pT059P1&#10;l3NKnGe6Ygq0KOlBOHq5+PzpojNzMYEaVCUsQRDt5p0pae29mWeZ47VomTsBIzQqJdiWebzaTVZZ&#10;1iF6q7JJnp9mHdjKWODCOZReJSVdRHwpBfd3UjrhiSop5ubj18bvOnyzxQWbbywzdcP7NNg/ZNGy&#10;RmPQEeqKeUa2tnkH1TbcggPpTzi0GUjZcBFrwGqK/E01jzUzItaC5Dgz0uT+Hyy/3T2ae4s0dMbN&#10;HR5DFXtp2/CP+ZF9JOswkiX2nnAUnp0X+SxHTjnqiqKYzCaRzuzobqzz3wS0JBxKavE1Iklsd+M8&#10;hkTTwSREc6Ca6rpRKl5CB4iVsmTH8O3Wm0l0Vdv2B1RJNs3xl14QxfjOSXw6iBE+9lFAicFeBVA6&#10;hNEQAqZcgiQ70hBP/qBEsFP6QUjSVFh4SmRETkEZ50L7IuboalaJJEaCUorvcomAAVli/BG7B3hd&#10;+4Cdsuztg6uIDT465yn635xHjxgZtB+d20aD/QhAYVV95GQ/kJSoCSytoTrcW2IhjZcz/LrBF79h&#10;zt8zi/OEXYI7wt/hRyroSgr9iZIa7O+P5MEe2xy1lHQ4nyV1v7bMCkrUd40D8LWYTsNAx8t0dobN&#10;R+xLzfqlRm/bFWAbFbiNDI/HYO/VcJQW2mdcJcsQFVVMc4xdUu7tcFn5tDdwGXGxXEYzHGLD/I1+&#10;NDyAB1ZDRz/tn5k1fdt7nJhbGGaZzd90f7INnhqWWw+yiaNx5LXnGxdAbOJ+WYUN8/IerY4rdfEH&#10;AAD//wMAUEsDBBQABgAIAAAAIQBElYfK2wAAAAgBAAAPAAAAZHJzL2Rvd25yZXYueG1sTI9LT8Mw&#10;EITvSPwHa5G4tXYKgiqNU1U8zlVTOHDbxiaJiNdR7Lz+PdsT3HZ3RrPfZPvZtWK0fWg8aUjWCoSl&#10;0puGKg0f5/fVFkSISAZbT1bDYgPs89ubDFPjJzrZsYiV4BAKKWqoY+xSKUNZW4dh7TtLrH373mHk&#10;ta+k6XHicNfKjVJP0mFD/KHGzr7UtvwpBqfh9dN9jT4e39RCBR7lMp3CcND6/m4+7EBEO8c/M1zx&#10;GR1yZrr4gUwQrQYuEjWskgTEVd08KL5ceHp+TEDmmfxfIP8FAAD//wMAUEsBAi0AFAAGAAgAAAAh&#10;ALaDOJL+AAAA4QEAABMAAAAAAAAAAAAAAAAAAAAAAFtDb250ZW50X1R5cGVzXS54bWxQSwECLQAU&#10;AAYACAAAACEAOP0h/9YAAACUAQAACwAAAAAAAAAAAAAAAAAvAQAAX3JlbHMvLnJlbHNQSwECLQAU&#10;AAYACAAAACEAJj/UQZICAACaBQAADgAAAAAAAAAAAAAAAAAuAgAAZHJzL2Uyb0RvYy54bWxQSwEC&#10;LQAUAAYACAAAACEARJWHytsAAAAIAQAADwAAAAAAAAAAAAAAAADsBAAAZHJzL2Rvd25yZXYueG1s&#10;UEsFBgAAAAAEAAQA8wAAAPQFAAAAAA==&#10;">
              <w10:wrap anchorx="page"/>
            </v:rect>
          </w:pict>
        </mc:Fallback>
      </mc:AlternateContent>
    </w:r>
  </w:p>
  <w:p w14:paraId="1533C6A8" w14:textId="41875487" w:rsidR="004F1367" w:rsidRPr="00227F21" w:rsidRDefault="00000000" w:rsidP="00223851">
    <w:pPr>
      <w:pStyle w:val="Footer"/>
      <w:tabs>
        <w:tab w:val="clear" w:pos="4320"/>
        <w:tab w:val="clear" w:pos="8640"/>
        <w:tab w:val="left" w:pos="8550"/>
        <w:tab w:val="right" w:pos="9360"/>
      </w:tabs>
      <w:ind w:right="-90"/>
    </w:pPr>
    <w:hyperlink r:id="rId1" w:history="1">
      <w:r w:rsidR="00112E92" w:rsidRPr="00112E92">
        <w:rPr>
          <w:rStyle w:val="Hyperlink"/>
          <w:color w:val="FFFFFF" w:themeColor="background1"/>
          <w:sz w:val="16"/>
          <w:u w:val="none"/>
        </w:rPr>
        <w:t>www.enstoa.com</w:t>
      </w:r>
    </w:hyperlink>
    <w:r w:rsidR="00112E92">
      <w:rPr>
        <w:color w:val="FFFFFF" w:themeColor="background1"/>
      </w:rPr>
      <w:tab/>
    </w:r>
    <w:r w:rsidR="00FD7F0F" w:rsidRPr="00FD7F0F">
      <w:fldChar w:fldCharType="begin"/>
    </w:r>
    <w:r w:rsidR="00FD7F0F" w:rsidRPr="00FD7F0F">
      <w:instrText xml:space="preserve"> DATE \@ "yyyy-MM-dd" </w:instrText>
    </w:r>
    <w:r w:rsidR="00FD7F0F" w:rsidRPr="00FD7F0F">
      <w:fldChar w:fldCharType="separate"/>
    </w:r>
    <w:r w:rsidR="006F3EDC">
      <w:rPr>
        <w:noProof/>
      </w:rPr>
      <w:t>2024-01-10</w:t>
    </w:r>
    <w:r w:rsidR="00FD7F0F" w:rsidRPr="00FD7F0F">
      <w:fldChar w:fldCharType="end"/>
    </w:r>
    <w:r w:rsidR="00112E92">
      <w:rPr>
        <w:color w:val="FFFFFF" w:themeColor="background1"/>
      </w:rPr>
      <w:tab/>
    </w:r>
    <w:r w:rsidR="00112E92" w:rsidRPr="00B23018">
      <w:tab/>
    </w:r>
    <w:r w:rsidR="00227F21" w:rsidRPr="00227F21">
      <w:t xml:space="preserve">Page </w:t>
    </w:r>
    <w:r w:rsidR="00227F21" w:rsidRPr="00227F21">
      <w:fldChar w:fldCharType="begin"/>
    </w:r>
    <w:r w:rsidR="00227F21" w:rsidRPr="00227F21">
      <w:instrText xml:space="preserve"> PAGE  \* Arabic  \* MERGEFORMAT </w:instrText>
    </w:r>
    <w:r w:rsidR="00227F21" w:rsidRPr="00227F21">
      <w:fldChar w:fldCharType="separate"/>
    </w:r>
    <w:r w:rsidR="00FD7F0F">
      <w:rPr>
        <w:noProof/>
      </w:rPr>
      <w:t>1</w:t>
    </w:r>
    <w:r w:rsidR="00227F21" w:rsidRPr="00227F21">
      <w:fldChar w:fldCharType="end"/>
    </w:r>
    <w:r w:rsidR="00227F21" w:rsidRPr="00227F21">
      <w:t xml:space="preserve"> of </w:t>
    </w:r>
    <w:fldSimple w:instr="NUMPAGES  \* Arabic  \* MERGEFORMAT">
      <w:r w:rsidR="00FD7F0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0C5D" w14:textId="77777777" w:rsidR="00FD7F0F" w:rsidRDefault="00FD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92F8" w14:textId="77777777" w:rsidR="006A70D7" w:rsidRDefault="006A70D7" w:rsidP="00CF3454">
      <w:r>
        <w:separator/>
      </w:r>
    </w:p>
  </w:footnote>
  <w:footnote w:type="continuationSeparator" w:id="0">
    <w:p w14:paraId="5EFED7E0" w14:textId="77777777" w:rsidR="006A70D7" w:rsidRDefault="006A70D7" w:rsidP="00CF3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9EDE" w14:textId="77777777" w:rsidR="00FD7F0F" w:rsidRDefault="00FD7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F82D" w14:textId="77777777" w:rsidR="004F1367" w:rsidRDefault="002155F1" w:rsidP="00112E92">
    <w:pPr>
      <w:pStyle w:val="Header"/>
      <w:tabs>
        <w:tab w:val="clear" w:pos="8640"/>
        <w:tab w:val="right" w:pos="8550"/>
      </w:tabs>
    </w:pPr>
    <w:r w:rsidRPr="006D2EA1">
      <w:rPr>
        <w:noProof/>
      </w:rPr>
      <mc:AlternateContent>
        <mc:Choice Requires="wps">
          <w:drawing>
            <wp:anchor distT="0" distB="0" distL="114300" distR="114300" simplePos="0" relativeHeight="251659264" behindDoc="0" locked="0" layoutInCell="1" allowOverlap="1" wp14:anchorId="3F95090C" wp14:editId="5388EAAC">
              <wp:simplePos x="0" y="0"/>
              <wp:positionH relativeFrom="column">
                <wp:posOffset>-1089660</wp:posOffset>
              </wp:positionH>
              <wp:positionV relativeFrom="paragraph">
                <wp:posOffset>182880</wp:posOffset>
              </wp:positionV>
              <wp:extent cx="8001000" cy="0"/>
              <wp:effectExtent l="0" t="0" r="19050" b="19050"/>
              <wp:wrapNone/>
              <wp:docPr id="33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6350">
                        <a:solidFill>
                          <a:srgbClr val="61ABDE">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margin">
                <wp14:pctWidth>0</wp14:pctWidth>
              </wp14:sizeRelH>
            </wp:anchor>
          </w:drawing>
        </mc:Choice>
        <mc:Fallback xmlns:pic="http://schemas.openxmlformats.org/drawingml/2006/picture" xmlns:a14="http://schemas.microsoft.com/office/drawing/2010/main" xmlns:a="http://schemas.openxmlformats.org/drawingml/2006/main">
          <w:pict w14:anchorId="7BD38DC2">
            <v:line id="Line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61abde" strokeweight=".5pt" from="-85.8pt,14.4pt" to="544.2pt,14.4pt" w14:anchorId="2E1D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yzgEAAIwDAAAOAAAAZHJzL2Uyb0RvYy54bWysU8tu2zAQvBfoPxC815JT1AgEy0FqJ72k&#10;rYGkH7CmKIkoySVIypL/vkvKdvq4FbkQ3NdwZne5vpuMZkfpg0Jb8+Wi5ExagY2yXc1/vDx+uOUs&#10;RLANaLSy5icZ+N3m/bv16Cp5gz3qRnpGIDZUo6t5H6OriiKIXhoIC3TSUrBFbyCS6bui8TASutHF&#10;TVmuihF94zwKGQJ5d3OQbzJ+20oRv7dtkJHpmhO3mE+fz0M6i80aqs6D65U404D/YGFAWXr0CrWD&#10;CGzw6h8oo4THgG1cCDQFtq0SMmsgNcvyLzXPPTiZtVBzgru2KbwdrPh23Nq9T9TFZJ/dE4qfgVnc&#10;9mA7mQm8nBwNbplaVYwuVNeSZAS39+wwfsWGcmCImLswtd4kSNLHptzs07XZcopMkPO2JMElzURc&#10;YgVUl0LnQ/wi0bB0qblWNvUBKjg+hZiIQHVJSW6Lj0rrPEtt2Vjz1cdPZS4IqFWTgikt+O6w1Z4d&#10;gbZhtbz/vHvISXowJGB2J07EasYaDG3P7M8uevaMkSn8Ae5xsE0u6yU0D+d7BKXnO9Vqm1jIvJZn&#10;HZcepoUN1QGb094nfcmikednzuuZdup3O2e9fqLNLwAAAP//AwBQSwMEFAAGAAgAAAAhAMLyFEPg&#10;AAAACwEAAA8AAABkcnMvZG93bnJldi54bWxMj8FKw0AQhu+C77CM4K3dTZUaYjZFFC8ikbQWPG6z&#10;YxLMzobMto0+vVt60OPMfPzz/flqcr044MidJw3JXIFAqr3tqNHwvnmepSA4GLKm94QavpFhVVxe&#10;5Caz/kgVHtahETGEODMa2hCGTEquW3SG535AirdPPzoT4jg20o7mGMNdLxdKLaUzHcUPrRnwscX6&#10;a713Gn6UbbYb5u3Hy9Mblzev1ViWldbXV9PDPYiAU/iD4aQf1aGITju/J8ui1zBL7pJlZDUs0tjh&#10;RKg0vQWxO29kkcv/HYpfAAAA//8DAFBLAQItABQABgAIAAAAIQC2gziS/gAAAOEBAAATAAAAAAAA&#10;AAAAAAAAAAAAAABbQ29udGVudF9UeXBlc10ueG1sUEsBAi0AFAAGAAgAAAAhADj9If/WAAAAlAEA&#10;AAsAAAAAAAAAAAAAAAAALwEAAF9yZWxzLy5yZWxzUEsBAi0AFAAGAAgAAAAhAL5/qjLOAQAAjAMA&#10;AA4AAAAAAAAAAAAAAAAALgIAAGRycy9lMm9Eb2MueG1sUEsBAi0AFAAGAAgAAAAhAMLyFEPgAAAA&#10;CwEAAA8AAAAAAAAAAAAAAAAAKAQAAGRycy9kb3ducmV2LnhtbFBLBQYAAAAABAAEAPMAAAA1BQAA&#10;AAA=&#10;">
              <v:shadow opacity="22938f" offset="0"/>
            </v:line>
          </w:pict>
        </mc:Fallback>
      </mc:AlternateContent>
    </w:r>
    <w:r w:rsidRPr="006D2EA1">
      <w:rPr>
        <w:noProof/>
      </w:rPr>
      <w:drawing>
        <wp:anchor distT="0" distB="0" distL="114300" distR="114300" simplePos="0" relativeHeight="251660288" behindDoc="0" locked="0" layoutInCell="1" allowOverlap="1" wp14:anchorId="469FB61B" wp14:editId="7819F9AE">
          <wp:simplePos x="0" y="0"/>
          <wp:positionH relativeFrom="margin">
            <wp:align>right</wp:align>
          </wp:positionH>
          <wp:positionV relativeFrom="page">
            <wp:posOffset>364490</wp:posOffset>
          </wp:positionV>
          <wp:extent cx="933450" cy="228600"/>
          <wp:effectExtent l="0" t="0" r="0" b="0"/>
          <wp:wrapNone/>
          <wp:docPr id="19" name="Picture 19" descr="Description: 12ESA001_Enstoa_logo_2012_word.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12ESA001_Enstoa_logo_2012_word.a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anchor>
      </w:drawing>
    </w:r>
    <w:r w:rsidR="004F1367">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292A" w14:textId="77777777" w:rsidR="00FD7F0F" w:rsidRDefault="00FD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FC18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A4EC2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47A47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74BB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2461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2482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F08B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B82C30"/>
    <w:lvl w:ilvl="0">
      <w:start w:val="1"/>
      <w:numFmt w:val="bullet"/>
      <w:lvlText w:val=""/>
      <w:lvlJc w:val="left"/>
      <w:pPr>
        <w:ind w:left="720" w:hanging="360"/>
      </w:pPr>
      <w:rPr>
        <w:rFonts w:ascii="Wingdings 3" w:hAnsi="Wingdings 3" w:hint="default"/>
        <w:color w:val="695B71" w:themeColor="accent4"/>
        <w:sz w:val="24"/>
      </w:rPr>
    </w:lvl>
  </w:abstractNum>
  <w:abstractNum w:abstractNumId="8" w15:restartNumberingAfterBreak="0">
    <w:nsid w:val="FFFFFF88"/>
    <w:multiLevelType w:val="singleLevel"/>
    <w:tmpl w:val="01461C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283C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4D350E"/>
    <w:multiLevelType w:val="multilevel"/>
    <w:tmpl w:val="512203E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5842AE2"/>
    <w:multiLevelType w:val="hybridMultilevel"/>
    <w:tmpl w:val="03CC172E"/>
    <w:lvl w:ilvl="0" w:tplc="9F7AAC72">
      <w:start w:val="1"/>
      <w:numFmt w:val="decimal"/>
      <w:lvlText w:val="%1."/>
      <w:lvlJc w:val="left"/>
      <w:pPr>
        <w:ind w:left="720" w:hanging="360"/>
      </w:pPr>
      <w:rPr>
        <w:rFonts w:ascii="Segoe UI" w:hAnsi="Segoe UI" w:hint="default"/>
        <w:caps w:val="0"/>
        <w:strike w:val="0"/>
        <w:dstrike w:val="0"/>
        <w:vanish w:val="0"/>
        <w:color w:val="auto"/>
        <w:sz w:val="18"/>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A792D"/>
    <w:multiLevelType w:val="hybridMultilevel"/>
    <w:tmpl w:val="F5848E14"/>
    <w:lvl w:ilvl="0" w:tplc="0409000F">
      <w:start w:val="1"/>
      <w:numFmt w:val="decimal"/>
      <w:lvlText w:val="%1."/>
      <w:lvlJc w:val="left"/>
      <w:pPr>
        <w:ind w:left="360" w:hanging="360"/>
      </w:pPr>
      <w:rPr>
        <w:rFonts w:hint="default"/>
        <w:color w:val="59595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D50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284528"/>
    <w:multiLevelType w:val="hybridMultilevel"/>
    <w:tmpl w:val="1A103D2E"/>
    <w:lvl w:ilvl="0" w:tplc="02721224">
      <w:start w:val="1"/>
      <w:numFmt w:val="bullet"/>
      <w:lvlText w:val=""/>
      <w:lvlJc w:val="left"/>
      <w:pPr>
        <w:ind w:left="1080" w:hanging="360"/>
      </w:pPr>
      <w:rPr>
        <w:rFonts w:ascii="Wingdings 3" w:hAnsi="Wingdings 3"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8A1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754951"/>
    <w:multiLevelType w:val="hybridMultilevel"/>
    <w:tmpl w:val="1C66F858"/>
    <w:lvl w:ilvl="0" w:tplc="057CDD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768C7"/>
    <w:multiLevelType w:val="hybridMultilevel"/>
    <w:tmpl w:val="35B6F5E8"/>
    <w:lvl w:ilvl="0" w:tplc="8452D32A">
      <w:start w:val="1"/>
      <w:numFmt w:val="bullet"/>
      <w:lvlText w:val=""/>
      <w:lvlJc w:val="left"/>
      <w:pPr>
        <w:ind w:left="360" w:hanging="360"/>
      </w:pPr>
      <w:rPr>
        <w:rFonts w:ascii="Symbol" w:hAnsi="Symbol" w:hint="default"/>
        <w:color w:val="59595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F32FCB"/>
    <w:multiLevelType w:val="hybridMultilevel"/>
    <w:tmpl w:val="8578B644"/>
    <w:lvl w:ilvl="0" w:tplc="FFAC16C8">
      <w:start w:val="1"/>
      <w:numFmt w:val="bullet"/>
      <w:lvlText w:val=""/>
      <w:lvlJc w:val="left"/>
      <w:pPr>
        <w:ind w:left="720" w:hanging="360"/>
      </w:pPr>
      <w:rPr>
        <w:rFonts w:ascii="Symbol" w:hAnsi="Symbol" w:hint="default"/>
      </w:rPr>
    </w:lvl>
    <w:lvl w:ilvl="1" w:tplc="6C4AA976">
      <w:start w:val="1"/>
      <w:numFmt w:val="bullet"/>
      <w:lvlText w:val="o"/>
      <w:lvlJc w:val="left"/>
      <w:pPr>
        <w:ind w:left="1440" w:hanging="360"/>
      </w:pPr>
      <w:rPr>
        <w:rFonts w:ascii="Courier New" w:hAnsi="Courier New" w:hint="default"/>
      </w:rPr>
    </w:lvl>
    <w:lvl w:ilvl="2" w:tplc="B0A2CA38">
      <w:start w:val="1"/>
      <w:numFmt w:val="bullet"/>
      <w:lvlText w:val=""/>
      <w:lvlJc w:val="left"/>
      <w:pPr>
        <w:ind w:left="2160" w:hanging="360"/>
      </w:pPr>
      <w:rPr>
        <w:rFonts w:ascii="Wingdings" w:hAnsi="Wingdings" w:hint="default"/>
      </w:rPr>
    </w:lvl>
    <w:lvl w:ilvl="3" w:tplc="594AFF5A">
      <w:start w:val="1"/>
      <w:numFmt w:val="bullet"/>
      <w:lvlText w:val=""/>
      <w:lvlJc w:val="left"/>
      <w:pPr>
        <w:ind w:left="2880" w:hanging="360"/>
      </w:pPr>
      <w:rPr>
        <w:rFonts w:ascii="Symbol" w:hAnsi="Symbol" w:hint="default"/>
      </w:rPr>
    </w:lvl>
    <w:lvl w:ilvl="4" w:tplc="CB7CD496">
      <w:start w:val="1"/>
      <w:numFmt w:val="bullet"/>
      <w:lvlText w:val="o"/>
      <w:lvlJc w:val="left"/>
      <w:pPr>
        <w:ind w:left="3600" w:hanging="360"/>
      </w:pPr>
      <w:rPr>
        <w:rFonts w:ascii="Courier New" w:hAnsi="Courier New" w:hint="default"/>
      </w:rPr>
    </w:lvl>
    <w:lvl w:ilvl="5" w:tplc="04C67E5C">
      <w:start w:val="1"/>
      <w:numFmt w:val="bullet"/>
      <w:lvlText w:val=""/>
      <w:lvlJc w:val="left"/>
      <w:pPr>
        <w:ind w:left="4320" w:hanging="360"/>
      </w:pPr>
      <w:rPr>
        <w:rFonts w:ascii="Wingdings" w:hAnsi="Wingdings" w:hint="default"/>
      </w:rPr>
    </w:lvl>
    <w:lvl w:ilvl="6" w:tplc="340CFC9A">
      <w:start w:val="1"/>
      <w:numFmt w:val="bullet"/>
      <w:lvlText w:val=""/>
      <w:lvlJc w:val="left"/>
      <w:pPr>
        <w:ind w:left="5040" w:hanging="360"/>
      </w:pPr>
      <w:rPr>
        <w:rFonts w:ascii="Symbol" w:hAnsi="Symbol" w:hint="default"/>
      </w:rPr>
    </w:lvl>
    <w:lvl w:ilvl="7" w:tplc="69A2EA9A">
      <w:start w:val="1"/>
      <w:numFmt w:val="bullet"/>
      <w:lvlText w:val="o"/>
      <w:lvlJc w:val="left"/>
      <w:pPr>
        <w:ind w:left="5760" w:hanging="360"/>
      </w:pPr>
      <w:rPr>
        <w:rFonts w:ascii="Courier New" w:hAnsi="Courier New" w:hint="default"/>
      </w:rPr>
    </w:lvl>
    <w:lvl w:ilvl="8" w:tplc="BB621436">
      <w:start w:val="1"/>
      <w:numFmt w:val="bullet"/>
      <w:lvlText w:val=""/>
      <w:lvlJc w:val="left"/>
      <w:pPr>
        <w:ind w:left="6480" w:hanging="360"/>
      </w:pPr>
      <w:rPr>
        <w:rFonts w:ascii="Wingdings" w:hAnsi="Wingdings" w:hint="default"/>
      </w:rPr>
    </w:lvl>
  </w:abstractNum>
  <w:abstractNum w:abstractNumId="19" w15:restartNumberingAfterBreak="0">
    <w:nsid w:val="5A3B4B3D"/>
    <w:multiLevelType w:val="hybridMultilevel"/>
    <w:tmpl w:val="A4001474"/>
    <w:lvl w:ilvl="0" w:tplc="83640106">
      <w:start w:val="1"/>
      <w:numFmt w:val="bullet"/>
      <w:pStyle w:val="ListBullet2"/>
      <w:lvlText w:val="-"/>
      <w:lvlJc w:val="left"/>
      <w:pPr>
        <w:ind w:left="1080" w:hanging="360"/>
      </w:pPr>
      <w:rPr>
        <w:rFonts w:ascii="Segoe UI" w:hAnsi="Segoe UI" w:hint="default"/>
        <w:color w:val="77756F" w:themeColor="background2"/>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FB39A4"/>
    <w:multiLevelType w:val="multilevel"/>
    <w:tmpl w:val="AFACE23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E8D5C4D"/>
    <w:multiLevelType w:val="hybridMultilevel"/>
    <w:tmpl w:val="2CBC83D4"/>
    <w:lvl w:ilvl="0" w:tplc="20D83FAC">
      <w:start w:val="1"/>
      <w:numFmt w:val="bullet"/>
      <w:pStyle w:val="ListBullet"/>
      <w:lvlText w:val=""/>
      <w:lvlJc w:val="left"/>
      <w:pPr>
        <w:ind w:left="720" w:hanging="360"/>
      </w:pPr>
      <w:rPr>
        <w:rFonts w:ascii="Symbol" w:hAnsi="Symbol" w:hint="default"/>
        <w:color w:val="59595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135439C"/>
    <w:multiLevelType w:val="multilevel"/>
    <w:tmpl w:val="5BEAB38E"/>
    <w:lvl w:ilvl="0">
      <w:start w:val="1"/>
      <w:numFmt w:val="upperRoman"/>
      <w:lvlText w:val="Article %1."/>
      <w:lvlJc w:val="left"/>
      <w:pPr>
        <w:ind w:left="0" w:firstLine="0"/>
      </w:pPr>
    </w:lvl>
    <w:lvl w:ilvl="1">
      <w:start w:val="1"/>
      <w:numFmt w:val="decimalZero"/>
      <w:isLgl/>
      <w:lvlText w:val="Section %1.%2"/>
      <w:lvlJc w:val="left"/>
      <w:pPr>
        <w:ind w:left="243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1295026">
    <w:abstractNumId w:val="18"/>
  </w:num>
  <w:num w:numId="2" w16cid:durableId="1119689243">
    <w:abstractNumId w:val="11"/>
  </w:num>
  <w:num w:numId="3" w16cid:durableId="944918917">
    <w:abstractNumId w:val="17"/>
  </w:num>
  <w:num w:numId="4" w16cid:durableId="442190503">
    <w:abstractNumId w:val="11"/>
  </w:num>
  <w:num w:numId="5" w16cid:durableId="1323655305">
    <w:abstractNumId w:val="16"/>
  </w:num>
  <w:num w:numId="6" w16cid:durableId="1925797642">
    <w:abstractNumId w:val="17"/>
  </w:num>
  <w:num w:numId="7" w16cid:durableId="524292190">
    <w:abstractNumId w:val="17"/>
  </w:num>
  <w:num w:numId="8" w16cid:durableId="130829467">
    <w:abstractNumId w:val="20"/>
  </w:num>
  <w:num w:numId="9" w16cid:durableId="302274200">
    <w:abstractNumId w:val="10"/>
  </w:num>
  <w:num w:numId="10" w16cid:durableId="1531069238">
    <w:abstractNumId w:val="9"/>
  </w:num>
  <w:num w:numId="11" w16cid:durableId="22830785">
    <w:abstractNumId w:val="7"/>
  </w:num>
  <w:num w:numId="12" w16cid:durableId="1727725980">
    <w:abstractNumId w:val="12"/>
  </w:num>
  <w:num w:numId="13" w16cid:durableId="1782610312">
    <w:abstractNumId w:val="13"/>
  </w:num>
  <w:num w:numId="14" w16cid:durableId="376468772">
    <w:abstractNumId w:val="15"/>
  </w:num>
  <w:num w:numId="15" w16cid:durableId="2087259391">
    <w:abstractNumId w:val="22"/>
  </w:num>
  <w:num w:numId="16" w16cid:durableId="1531797346">
    <w:abstractNumId w:val="22"/>
  </w:num>
  <w:num w:numId="17" w16cid:durableId="1952399017">
    <w:abstractNumId w:val="22"/>
  </w:num>
  <w:num w:numId="18" w16cid:durableId="1542668133">
    <w:abstractNumId w:val="22"/>
  </w:num>
  <w:num w:numId="19" w16cid:durableId="369571582">
    <w:abstractNumId w:val="22"/>
  </w:num>
  <w:num w:numId="20" w16cid:durableId="155265659">
    <w:abstractNumId w:val="9"/>
  </w:num>
  <w:num w:numId="21" w16cid:durableId="2142455618">
    <w:abstractNumId w:val="7"/>
  </w:num>
  <w:num w:numId="22" w16cid:durableId="271206239">
    <w:abstractNumId w:val="20"/>
  </w:num>
  <w:num w:numId="23" w16cid:durableId="536167262">
    <w:abstractNumId w:val="21"/>
  </w:num>
  <w:num w:numId="24" w16cid:durableId="1168907552">
    <w:abstractNumId w:val="14"/>
  </w:num>
  <w:num w:numId="25" w16cid:durableId="229313755">
    <w:abstractNumId w:val="19"/>
  </w:num>
  <w:num w:numId="26" w16cid:durableId="237206888">
    <w:abstractNumId w:val="6"/>
  </w:num>
  <w:num w:numId="27" w16cid:durableId="345594206">
    <w:abstractNumId w:val="5"/>
  </w:num>
  <w:num w:numId="28" w16cid:durableId="1112700302">
    <w:abstractNumId w:val="4"/>
  </w:num>
  <w:num w:numId="29" w16cid:durableId="165292800">
    <w:abstractNumId w:val="8"/>
  </w:num>
  <w:num w:numId="30" w16cid:durableId="1957981277">
    <w:abstractNumId w:val="3"/>
  </w:num>
  <w:num w:numId="31" w16cid:durableId="538007842">
    <w:abstractNumId w:val="2"/>
  </w:num>
  <w:num w:numId="32" w16cid:durableId="2032028300">
    <w:abstractNumId w:val="1"/>
  </w:num>
  <w:num w:numId="33" w16cid:durableId="65981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12"/>
    <w:rsid w:val="000A2AC6"/>
    <w:rsid w:val="000B0F30"/>
    <w:rsid w:val="00112E92"/>
    <w:rsid w:val="00177184"/>
    <w:rsid w:val="00187A3E"/>
    <w:rsid w:val="001A0D72"/>
    <w:rsid w:val="001D7D72"/>
    <w:rsid w:val="002040C0"/>
    <w:rsid w:val="002155F1"/>
    <w:rsid w:val="0022337B"/>
    <w:rsid w:val="00223851"/>
    <w:rsid w:val="00227F21"/>
    <w:rsid w:val="00295354"/>
    <w:rsid w:val="002A47CA"/>
    <w:rsid w:val="002C7DA1"/>
    <w:rsid w:val="002D5FCF"/>
    <w:rsid w:val="003546D7"/>
    <w:rsid w:val="003616CE"/>
    <w:rsid w:val="003B47DA"/>
    <w:rsid w:val="0040798F"/>
    <w:rsid w:val="00454159"/>
    <w:rsid w:val="004549A8"/>
    <w:rsid w:val="0046425C"/>
    <w:rsid w:val="00481B11"/>
    <w:rsid w:val="004C1567"/>
    <w:rsid w:val="004D53B6"/>
    <w:rsid w:val="004F1367"/>
    <w:rsid w:val="00597225"/>
    <w:rsid w:val="005E44C4"/>
    <w:rsid w:val="00622FFB"/>
    <w:rsid w:val="00642312"/>
    <w:rsid w:val="00643D09"/>
    <w:rsid w:val="00655FD0"/>
    <w:rsid w:val="00695576"/>
    <w:rsid w:val="006A70D7"/>
    <w:rsid w:val="006C066C"/>
    <w:rsid w:val="006E7275"/>
    <w:rsid w:val="006F3EDC"/>
    <w:rsid w:val="00731B90"/>
    <w:rsid w:val="007966A6"/>
    <w:rsid w:val="007B2A9A"/>
    <w:rsid w:val="007B485B"/>
    <w:rsid w:val="007D5AD9"/>
    <w:rsid w:val="00804611"/>
    <w:rsid w:val="00817904"/>
    <w:rsid w:val="0085578C"/>
    <w:rsid w:val="008B434A"/>
    <w:rsid w:val="008B69BB"/>
    <w:rsid w:val="008C062B"/>
    <w:rsid w:val="009A4950"/>
    <w:rsid w:val="009E016B"/>
    <w:rsid w:val="00A43660"/>
    <w:rsid w:val="00A52212"/>
    <w:rsid w:val="00AA2372"/>
    <w:rsid w:val="00B219BC"/>
    <w:rsid w:val="00B23018"/>
    <w:rsid w:val="00B65636"/>
    <w:rsid w:val="00B742A9"/>
    <w:rsid w:val="00B77DE6"/>
    <w:rsid w:val="00B8201C"/>
    <w:rsid w:val="00BE60CC"/>
    <w:rsid w:val="00C01A6F"/>
    <w:rsid w:val="00C21321"/>
    <w:rsid w:val="00C45016"/>
    <w:rsid w:val="00CD37F9"/>
    <w:rsid w:val="00CF3454"/>
    <w:rsid w:val="00D157AD"/>
    <w:rsid w:val="00D85178"/>
    <w:rsid w:val="00D95A35"/>
    <w:rsid w:val="00D96BC5"/>
    <w:rsid w:val="00F872BE"/>
    <w:rsid w:val="00F947F8"/>
    <w:rsid w:val="00FA4A80"/>
    <w:rsid w:val="00FD7F0F"/>
    <w:rsid w:val="0570DCF9"/>
    <w:rsid w:val="05B75604"/>
    <w:rsid w:val="074A8047"/>
    <w:rsid w:val="0900FBEA"/>
    <w:rsid w:val="099F1C6E"/>
    <w:rsid w:val="09EB653B"/>
    <w:rsid w:val="0EA1A82D"/>
    <w:rsid w:val="109E37F7"/>
    <w:rsid w:val="139AA1FB"/>
    <w:rsid w:val="148D9CC7"/>
    <w:rsid w:val="1924EED2"/>
    <w:rsid w:val="1A4B4440"/>
    <w:rsid w:val="1DDAED1D"/>
    <w:rsid w:val="1E2BFE8C"/>
    <w:rsid w:val="1FFA5B3E"/>
    <w:rsid w:val="2662677A"/>
    <w:rsid w:val="2727BA17"/>
    <w:rsid w:val="277C04B2"/>
    <w:rsid w:val="297661AA"/>
    <w:rsid w:val="3301F655"/>
    <w:rsid w:val="3695D073"/>
    <w:rsid w:val="3824C17F"/>
    <w:rsid w:val="3831A0D4"/>
    <w:rsid w:val="391556E5"/>
    <w:rsid w:val="3926A3CA"/>
    <w:rsid w:val="3E89F438"/>
    <w:rsid w:val="3F1C57B0"/>
    <w:rsid w:val="40FA0820"/>
    <w:rsid w:val="428CF426"/>
    <w:rsid w:val="49051A05"/>
    <w:rsid w:val="4C8082C6"/>
    <w:rsid w:val="4CDA24AE"/>
    <w:rsid w:val="5187BDBE"/>
    <w:rsid w:val="53D8E51C"/>
    <w:rsid w:val="553B8F9F"/>
    <w:rsid w:val="559F4156"/>
    <w:rsid w:val="55BB2FBC"/>
    <w:rsid w:val="613EB76F"/>
    <w:rsid w:val="646AE614"/>
    <w:rsid w:val="64E587DE"/>
    <w:rsid w:val="665FE07B"/>
    <w:rsid w:val="680AF375"/>
    <w:rsid w:val="6B8F3B8E"/>
    <w:rsid w:val="6BA14D54"/>
    <w:rsid w:val="6DF41AC5"/>
    <w:rsid w:val="6F320798"/>
    <w:rsid w:val="6F6D24E1"/>
    <w:rsid w:val="721EFB9A"/>
    <w:rsid w:val="72827F19"/>
    <w:rsid w:val="7520277B"/>
    <w:rsid w:val="7710E6C6"/>
    <w:rsid w:val="77A5FF69"/>
    <w:rsid w:val="77BB6238"/>
    <w:rsid w:val="7A462DF9"/>
    <w:rsid w:val="7CE26064"/>
    <w:rsid w:val="7D46AE69"/>
    <w:rsid w:val="7E07B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7F9909"/>
  <w15:chartTrackingRefBased/>
  <w15:docId w15:val="{AC0ABFFC-15A0-4F8B-867F-7714F75D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75"/>
    <w:pPr>
      <w:spacing w:after="0" w:line="276" w:lineRule="auto"/>
    </w:pPr>
    <w:rPr>
      <w:rFonts w:ascii="Segoe UI" w:hAnsi="Segoe UI" w:cs="HelveticaNeueLTStd-Lt"/>
      <w:color w:val="77756F"/>
      <w:kern w:val="0"/>
      <w:sz w:val="20"/>
      <w:szCs w:val="18"/>
      <w14:ligatures w14:val="none"/>
    </w:rPr>
  </w:style>
  <w:style w:type="paragraph" w:styleId="Heading1">
    <w:name w:val="heading 1"/>
    <w:basedOn w:val="Normal"/>
    <w:next w:val="Normal"/>
    <w:link w:val="Heading1Char"/>
    <w:uiPriority w:val="1"/>
    <w:qFormat/>
    <w:rsid w:val="000A2AC6"/>
    <w:pPr>
      <w:widowControl w:val="0"/>
      <w:autoSpaceDE w:val="0"/>
      <w:autoSpaceDN w:val="0"/>
      <w:adjustRightInd w:val="0"/>
      <w:spacing w:line="288" w:lineRule="auto"/>
      <w:textAlignment w:val="center"/>
      <w:outlineLvl w:val="0"/>
    </w:pPr>
    <w:rPr>
      <w:rFonts w:ascii="Century Gothic" w:hAnsi="Century Gothic" w:cs="HelveticaNeueLTStd-Blk"/>
      <w:b/>
      <w:caps/>
      <w:color w:val="595753"/>
      <w:sz w:val="28"/>
      <w:szCs w:val="20"/>
    </w:rPr>
  </w:style>
  <w:style w:type="paragraph" w:styleId="Heading2">
    <w:name w:val="heading 2"/>
    <w:basedOn w:val="Normal"/>
    <w:next w:val="Normal"/>
    <w:link w:val="Heading2Char"/>
    <w:autoRedefine/>
    <w:qFormat/>
    <w:rsid w:val="009E016B"/>
    <w:pPr>
      <w:widowControl w:val="0"/>
      <w:autoSpaceDE w:val="0"/>
      <w:autoSpaceDN w:val="0"/>
      <w:adjustRightInd w:val="0"/>
      <w:spacing w:before="240" w:after="120" w:line="288" w:lineRule="auto"/>
      <w:textAlignment w:val="center"/>
      <w:outlineLvl w:val="1"/>
    </w:pPr>
    <w:rPr>
      <w:rFonts w:eastAsia="Meiryo UI" w:cs="Meiryo UI"/>
      <w:color w:val="5C99C2" w:themeColor="accent5"/>
      <w:sz w:val="24"/>
    </w:rPr>
  </w:style>
  <w:style w:type="paragraph" w:styleId="Heading3">
    <w:name w:val="heading 3"/>
    <w:basedOn w:val="Normal"/>
    <w:next w:val="Normal"/>
    <w:link w:val="Heading3Char"/>
    <w:qFormat/>
    <w:rsid w:val="009E016B"/>
    <w:pPr>
      <w:keepNext/>
      <w:spacing w:before="240" w:after="60"/>
      <w:outlineLvl w:val="2"/>
    </w:pPr>
    <w:rPr>
      <w:rFonts w:eastAsia="Meiryo UI" w:cs="Meiryo UI"/>
      <w:color w:val="77756F" w:themeColor="background2"/>
      <w:sz w:val="22"/>
      <w:szCs w:val="20"/>
    </w:rPr>
  </w:style>
  <w:style w:type="paragraph" w:styleId="Heading4">
    <w:name w:val="heading 4"/>
    <w:basedOn w:val="Normal"/>
    <w:next w:val="Normal"/>
    <w:link w:val="Heading4Char"/>
    <w:autoRedefine/>
    <w:qFormat/>
    <w:rsid w:val="00F872BE"/>
    <w:pPr>
      <w:keepNext/>
      <w:spacing w:before="240" w:after="60"/>
      <w:outlineLvl w:val="3"/>
    </w:pPr>
    <w:rPr>
      <w:bCs/>
      <w:color w:val="77756F" w:themeColor="background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semiHidden/>
    <w:unhideWhenUsed/>
    <w:qFormat/>
    <w:rsid w:val="000A2AC6"/>
    <w:pPr>
      <w:spacing w:after="100"/>
      <w:ind w:left="600"/>
    </w:pPr>
    <w:rPr>
      <w:i/>
      <w:color w:val="5C99C2" w:themeColor="text2"/>
      <w:sz w:val="16"/>
    </w:rPr>
  </w:style>
  <w:style w:type="paragraph" w:styleId="ListBullet">
    <w:name w:val="List Bullet"/>
    <w:basedOn w:val="ListParagraph"/>
    <w:uiPriority w:val="99"/>
    <w:unhideWhenUsed/>
    <w:qFormat/>
    <w:rsid w:val="00F872BE"/>
    <w:pPr>
      <w:numPr>
        <w:numId w:val="23"/>
      </w:numPr>
      <w:tabs>
        <w:tab w:val="clear" w:pos="360"/>
      </w:tabs>
    </w:pPr>
  </w:style>
  <w:style w:type="character" w:customStyle="1" w:styleId="Heading1Char">
    <w:name w:val="Heading 1 Char"/>
    <w:link w:val="Heading1"/>
    <w:uiPriority w:val="1"/>
    <w:rsid w:val="000A2AC6"/>
    <w:rPr>
      <w:rFonts w:ascii="Century Gothic" w:hAnsi="Century Gothic" w:cs="HelveticaNeueLTStd-Blk"/>
      <w:b/>
      <w:caps/>
      <w:color w:val="595753"/>
      <w:sz w:val="28"/>
      <w:szCs w:val="20"/>
    </w:rPr>
  </w:style>
  <w:style w:type="character" w:customStyle="1" w:styleId="Heading2Char">
    <w:name w:val="Heading 2 Char"/>
    <w:link w:val="Heading2"/>
    <w:rsid w:val="009E016B"/>
    <w:rPr>
      <w:rFonts w:ascii="Segoe UI" w:eastAsia="Meiryo UI" w:hAnsi="Segoe UI" w:cs="Meiryo UI"/>
      <w:color w:val="5C99C2" w:themeColor="accent5"/>
      <w:sz w:val="24"/>
      <w:szCs w:val="18"/>
    </w:rPr>
  </w:style>
  <w:style w:type="paragraph" w:styleId="TOCHeading">
    <w:name w:val="TOC Heading"/>
    <w:basedOn w:val="Normal"/>
    <w:next w:val="Normal"/>
    <w:uiPriority w:val="39"/>
    <w:unhideWhenUsed/>
    <w:qFormat/>
    <w:rsid w:val="000A2AC6"/>
    <w:pPr>
      <w:widowControl w:val="0"/>
      <w:autoSpaceDE w:val="0"/>
      <w:autoSpaceDN w:val="0"/>
      <w:adjustRightInd w:val="0"/>
      <w:spacing w:line="288" w:lineRule="auto"/>
      <w:textAlignment w:val="center"/>
    </w:pPr>
    <w:rPr>
      <w:rFonts w:ascii="Century Gothic" w:hAnsi="Century Gothic" w:cs="HelveticaNeueLTStd-Blk"/>
      <w:b/>
      <w:caps/>
      <w:sz w:val="28"/>
    </w:rPr>
  </w:style>
  <w:style w:type="character" w:customStyle="1" w:styleId="Heading3Char">
    <w:name w:val="Heading 3 Char"/>
    <w:link w:val="Heading3"/>
    <w:rsid w:val="009E016B"/>
    <w:rPr>
      <w:rFonts w:ascii="Segoe UI" w:eastAsia="Meiryo UI" w:hAnsi="Segoe UI" w:cs="Meiryo UI"/>
      <w:color w:val="77756F" w:themeColor="background2"/>
      <w:szCs w:val="20"/>
    </w:rPr>
  </w:style>
  <w:style w:type="paragraph" w:styleId="TOC1">
    <w:name w:val="toc 1"/>
    <w:basedOn w:val="Normal"/>
    <w:next w:val="Normal"/>
    <w:uiPriority w:val="39"/>
    <w:qFormat/>
    <w:rsid w:val="000A2AC6"/>
    <w:pPr>
      <w:tabs>
        <w:tab w:val="right" w:leader="dot" w:pos="10440"/>
      </w:tabs>
      <w:spacing w:before="120" w:after="120" w:line="240" w:lineRule="auto"/>
    </w:pPr>
    <w:rPr>
      <w:rFonts w:eastAsia="Meiryo UI" w:cs="Segoe UI"/>
      <w:b/>
      <w:bCs/>
      <w:caps/>
      <w:noProof/>
      <w:color w:val="595753"/>
      <w:sz w:val="22"/>
      <w:szCs w:val="20"/>
    </w:rPr>
  </w:style>
  <w:style w:type="paragraph" w:styleId="TOC2">
    <w:name w:val="toc 2"/>
    <w:basedOn w:val="Normal"/>
    <w:next w:val="Normal"/>
    <w:uiPriority w:val="39"/>
    <w:qFormat/>
    <w:rsid w:val="000A2AC6"/>
    <w:pPr>
      <w:tabs>
        <w:tab w:val="right" w:leader="dot" w:pos="10440"/>
      </w:tabs>
      <w:spacing w:line="240" w:lineRule="auto"/>
      <w:ind w:left="220"/>
    </w:pPr>
    <w:rPr>
      <w:rFonts w:ascii="Century Gothic" w:eastAsia="Meiryo UI" w:hAnsi="Century Gothic" w:cs="Meiryo UI"/>
      <w:smallCaps/>
      <w:noProof/>
      <w:szCs w:val="20"/>
    </w:rPr>
  </w:style>
  <w:style w:type="paragraph" w:styleId="TOC3">
    <w:name w:val="toc 3"/>
    <w:basedOn w:val="Normal"/>
    <w:next w:val="Normal"/>
    <w:uiPriority w:val="39"/>
    <w:qFormat/>
    <w:rsid w:val="000A2AC6"/>
    <w:pPr>
      <w:tabs>
        <w:tab w:val="right" w:leader="dot" w:pos="10440"/>
      </w:tabs>
      <w:ind w:left="440"/>
    </w:pPr>
    <w:rPr>
      <w:rFonts w:cs="Segoe UI"/>
      <w:i/>
      <w:iCs/>
      <w:color w:val="5C99C2"/>
      <w:sz w:val="18"/>
      <w:szCs w:val="20"/>
    </w:rPr>
  </w:style>
  <w:style w:type="paragraph" w:styleId="Caption">
    <w:name w:val="caption"/>
    <w:basedOn w:val="Normal"/>
    <w:next w:val="Normal"/>
    <w:uiPriority w:val="35"/>
    <w:unhideWhenUsed/>
    <w:qFormat/>
    <w:rsid w:val="002D5FCF"/>
    <w:pPr>
      <w:spacing w:after="200" w:line="240" w:lineRule="auto"/>
    </w:pPr>
    <w:rPr>
      <w:bCs/>
      <w:i/>
      <w:color w:val="9D9A95"/>
      <w:sz w:val="18"/>
    </w:rPr>
  </w:style>
  <w:style w:type="paragraph" w:styleId="Title">
    <w:name w:val="Title"/>
    <w:basedOn w:val="Normal"/>
    <w:next w:val="Normal"/>
    <w:link w:val="TitleChar"/>
    <w:uiPriority w:val="10"/>
    <w:qFormat/>
    <w:rsid w:val="000A2AC6"/>
    <w:pPr>
      <w:spacing w:line="240" w:lineRule="auto"/>
      <w:contextualSpacing/>
    </w:pPr>
    <w:rPr>
      <w:rFonts w:ascii="Century Gothic" w:eastAsia="Times New Roman" w:hAnsi="Century Gothic" w:cs="Times New Roman"/>
      <w:b/>
      <w:color w:val="E0E1DF"/>
      <w:spacing w:val="-10"/>
      <w:kern w:val="28"/>
      <w:sz w:val="72"/>
      <w:szCs w:val="56"/>
    </w:rPr>
  </w:style>
  <w:style w:type="character" w:customStyle="1" w:styleId="TitleChar">
    <w:name w:val="Title Char"/>
    <w:link w:val="Title"/>
    <w:uiPriority w:val="10"/>
    <w:rsid w:val="000A2AC6"/>
    <w:rPr>
      <w:rFonts w:ascii="Century Gothic" w:eastAsia="Times New Roman" w:hAnsi="Century Gothic" w:cs="Times New Roman"/>
      <w:b/>
      <w:color w:val="E0E1DF"/>
      <w:spacing w:val="-10"/>
      <w:kern w:val="28"/>
      <w:sz w:val="72"/>
      <w:szCs w:val="56"/>
    </w:rPr>
  </w:style>
  <w:style w:type="character" w:styleId="Emphasis">
    <w:name w:val="Emphasis"/>
    <w:uiPriority w:val="20"/>
    <w:qFormat/>
    <w:rsid w:val="002D5FCF"/>
  </w:style>
  <w:style w:type="paragraph" w:styleId="ListParagraph">
    <w:name w:val="List Paragraph"/>
    <w:basedOn w:val="Normal"/>
    <w:link w:val="ListParagraphChar"/>
    <w:uiPriority w:val="34"/>
    <w:qFormat/>
    <w:rsid w:val="002D5FCF"/>
    <w:pPr>
      <w:numPr>
        <w:numId w:val="8"/>
      </w:numPr>
      <w:tabs>
        <w:tab w:val="left" w:pos="360"/>
        <w:tab w:val="left" w:pos="1800"/>
      </w:tabs>
      <w:spacing w:after="200"/>
      <w:ind w:left="360" w:hanging="360"/>
      <w:contextualSpacing/>
    </w:pPr>
    <w:rPr>
      <w:rFonts w:eastAsia="Calibri" w:cs="Times New Roman"/>
      <w:szCs w:val="22"/>
    </w:rPr>
  </w:style>
  <w:style w:type="character" w:customStyle="1" w:styleId="ListParagraphChar">
    <w:name w:val="List Paragraph Char"/>
    <w:link w:val="ListParagraph"/>
    <w:uiPriority w:val="34"/>
    <w:locked/>
    <w:rsid w:val="002D5FCF"/>
    <w:rPr>
      <w:rFonts w:ascii="Segoe UI" w:eastAsia="Calibri" w:hAnsi="Segoe UI" w:cs="Times New Roman"/>
      <w:color w:val="77756F"/>
      <w:sz w:val="20"/>
    </w:rPr>
  </w:style>
  <w:style w:type="character" w:styleId="SubtleEmphasis">
    <w:name w:val="Subtle Emphasis"/>
    <w:uiPriority w:val="19"/>
    <w:qFormat/>
    <w:rsid w:val="002D5FCF"/>
    <w:rPr>
      <w:i/>
      <w:iCs/>
      <w:color w:val="9D9A95"/>
      <w:sz w:val="16"/>
    </w:rPr>
  </w:style>
  <w:style w:type="character" w:styleId="IntenseEmphasis">
    <w:name w:val="Intense Emphasis"/>
    <w:uiPriority w:val="21"/>
    <w:qFormat/>
    <w:rsid w:val="002D5FCF"/>
    <w:rPr>
      <w:rFonts w:cs="Segoe UI"/>
      <w:i/>
      <w:color w:val="5C99C2"/>
      <w:sz w:val="18"/>
    </w:rPr>
  </w:style>
  <w:style w:type="character" w:customStyle="1" w:styleId="Heading4Char">
    <w:name w:val="Heading 4 Char"/>
    <w:link w:val="Heading4"/>
    <w:rsid w:val="00F872BE"/>
    <w:rPr>
      <w:rFonts w:ascii="Segoe UI" w:hAnsi="Segoe UI" w:cs="HelveticaNeueLTStd-Lt"/>
      <w:bCs/>
      <w:color w:val="77756F" w:themeColor="background2"/>
      <w:sz w:val="20"/>
      <w:szCs w:val="28"/>
      <w:u w:val="single"/>
    </w:rPr>
  </w:style>
  <w:style w:type="table" w:customStyle="1" w:styleId="Default">
    <w:name w:val="Default"/>
    <w:basedOn w:val="TableNormal"/>
    <w:uiPriority w:val="99"/>
    <w:rsid w:val="00C01A6F"/>
    <w:pPr>
      <w:spacing w:after="0" w:line="240" w:lineRule="auto"/>
    </w:pPr>
    <w:rPr>
      <w:color w:val="695B71" w:themeColor="accent4"/>
      <w:sz w:val="18"/>
    </w:rPr>
    <w:tblPr>
      <w:tblStyleRowBandSize w:val="1"/>
      <w:tblBorders>
        <w:top w:val="single" w:sz="4" w:space="0" w:color="6B6964" w:themeColor="background2" w:themeShade="E6"/>
        <w:left w:val="single" w:sz="4" w:space="0" w:color="6B6964" w:themeColor="background2" w:themeShade="E6"/>
        <w:bottom w:val="single" w:sz="4" w:space="0" w:color="6B6964" w:themeColor="background2" w:themeShade="E6"/>
        <w:right w:val="single" w:sz="4" w:space="0" w:color="6B6964" w:themeColor="background2" w:themeShade="E6"/>
        <w:insideH w:val="single" w:sz="4" w:space="0" w:color="6B6964" w:themeColor="background2" w:themeShade="E6"/>
        <w:insideV w:val="single" w:sz="4" w:space="0" w:color="6B6964" w:themeColor="background2" w:themeShade="E6"/>
      </w:tblBorders>
    </w:tblPr>
    <w:tcPr>
      <w:shd w:val="clear" w:color="auto" w:fill="F2F2F2" w:themeFill="background1" w:themeFillShade="F2"/>
    </w:tcPr>
    <w:tblStylePr w:type="firstRow">
      <w:rPr>
        <w:rFonts w:ascii="Century Gothic" w:hAnsi="Century Gothic"/>
        <w:b/>
        <w:color w:val="62BB79" w:themeColor="accent3"/>
        <w:sz w:val="18"/>
      </w:rPr>
      <w:tblPr/>
      <w:tcPr>
        <w:shd w:val="clear" w:color="auto" w:fill="95A2AD" w:themeFill="accent1" w:themeFillTint="99"/>
      </w:tcPr>
    </w:tblStylePr>
  </w:style>
  <w:style w:type="paragraph" w:styleId="Header">
    <w:name w:val="header"/>
    <w:basedOn w:val="Footer"/>
    <w:link w:val="HeaderChar"/>
    <w:uiPriority w:val="99"/>
    <w:unhideWhenUsed/>
    <w:rsid w:val="003616CE"/>
  </w:style>
  <w:style w:type="character" w:customStyle="1" w:styleId="HeaderChar">
    <w:name w:val="Header Char"/>
    <w:basedOn w:val="DefaultParagraphFont"/>
    <w:link w:val="Header"/>
    <w:uiPriority w:val="99"/>
    <w:rsid w:val="003616CE"/>
    <w:rPr>
      <w:rFonts w:ascii="Segoe UI" w:hAnsi="Segoe UI" w:cs="HelveticaNeueLTStd-Lt"/>
      <w:color w:val="5C99C2"/>
      <w:sz w:val="16"/>
      <w:szCs w:val="18"/>
    </w:rPr>
  </w:style>
  <w:style w:type="paragraph" w:styleId="Footer">
    <w:name w:val="footer"/>
    <w:basedOn w:val="Normal"/>
    <w:link w:val="FooterChar"/>
    <w:uiPriority w:val="99"/>
    <w:unhideWhenUsed/>
    <w:qFormat/>
    <w:rsid w:val="002D5FCF"/>
    <w:pPr>
      <w:tabs>
        <w:tab w:val="center" w:pos="4320"/>
        <w:tab w:val="right" w:pos="8640"/>
      </w:tabs>
    </w:pPr>
    <w:rPr>
      <w:color w:val="5C99C2"/>
      <w:sz w:val="16"/>
    </w:rPr>
  </w:style>
  <w:style w:type="character" w:customStyle="1" w:styleId="FooterChar">
    <w:name w:val="Footer Char"/>
    <w:basedOn w:val="DefaultParagraphFont"/>
    <w:link w:val="Footer"/>
    <w:uiPriority w:val="99"/>
    <w:rsid w:val="002D5FCF"/>
    <w:rPr>
      <w:rFonts w:ascii="Segoe UI" w:hAnsi="Segoe UI" w:cs="HelveticaNeueLTStd-Lt"/>
      <w:color w:val="5C99C2"/>
      <w:sz w:val="16"/>
      <w:szCs w:val="18"/>
    </w:rPr>
  </w:style>
  <w:style w:type="paragraph" w:styleId="ListBullet2">
    <w:name w:val="List Bullet 2"/>
    <w:basedOn w:val="Normal"/>
    <w:uiPriority w:val="99"/>
    <w:unhideWhenUsed/>
    <w:qFormat/>
    <w:rsid w:val="00F872BE"/>
    <w:pPr>
      <w:numPr>
        <w:numId w:val="25"/>
      </w:numPr>
      <w:contextualSpacing/>
    </w:pPr>
    <w:rPr>
      <w:color w:val="77756F" w:themeColor="background2"/>
      <w:sz w:val="18"/>
    </w:rPr>
  </w:style>
  <w:style w:type="character" w:styleId="Hyperlink">
    <w:name w:val="Hyperlink"/>
    <w:basedOn w:val="DefaultParagraphFont"/>
    <w:uiPriority w:val="99"/>
    <w:unhideWhenUsed/>
    <w:qFormat/>
    <w:rsid w:val="002D5FCF"/>
    <w:rPr>
      <w:rFonts w:ascii="Segoe UI" w:hAnsi="Segoe UI"/>
      <w:color w:val="5C99C2" w:themeColor="accent5"/>
      <w:sz w:val="20"/>
      <w:u w:val="single"/>
    </w:rPr>
  </w:style>
  <w:style w:type="character" w:styleId="PlaceholderText">
    <w:name w:val="Placeholder Text"/>
    <w:basedOn w:val="DefaultParagraphFont"/>
    <w:semiHidden/>
    <w:rsid w:val="00A52212"/>
    <w:rPr>
      <w:color w:val="808080"/>
    </w:rPr>
  </w:style>
  <w:style w:type="paragraph" w:styleId="BalloonText">
    <w:name w:val="Balloon Text"/>
    <w:basedOn w:val="Normal"/>
    <w:link w:val="BalloonTextChar"/>
    <w:uiPriority w:val="99"/>
    <w:semiHidden/>
    <w:unhideWhenUsed/>
    <w:rsid w:val="004549A8"/>
    <w:pPr>
      <w:spacing w:line="240" w:lineRule="auto"/>
    </w:pPr>
    <w:rPr>
      <w:rFonts w:cs="Segoe UI"/>
      <w:sz w:val="18"/>
    </w:rPr>
  </w:style>
  <w:style w:type="character" w:customStyle="1" w:styleId="BalloonTextChar">
    <w:name w:val="Balloon Text Char"/>
    <w:basedOn w:val="DefaultParagraphFont"/>
    <w:link w:val="BalloonText"/>
    <w:uiPriority w:val="99"/>
    <w:semiHidden/>
    <w:rsid w:val="004549A8"/>
    <w:rPr>
      <w:rFonts w:ascii="Segoe UI" w:hAnsi="Segoe UI" w:cs="Segoe UI"/>
      <w:color w:val="77756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ensto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enstoa1-my.sharepoint.com/personal/udarp_enstoa_com/Documents/Documents/new%20OSMI%202021%20Mental%20Health%20in%20Tech%20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nstoa1-my.sharepoint.com/personal/udarp_enstoa_com/Documents/Documents/new%20OSMI%202021%20Mental%20Health%20in%20Tech%20Survey%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OSMI 2021 Mental Health in Tech Survey Results.xlsx]Suggestion1!PivotTable1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'What is your age?' by '*Do you have previous employers?*' and 'Do you have a family history of mental illness?'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Suggestion1!$B$2:$B$3</c:f>
              <c:strCache>
                <c:ptCount val="1"/>
                <c:pt idx="0">
                  <c:v>I don't know</c:v>
                </c:pt>
              </c:strCache>
            </c:strRef>
          </c:tx>
          <c:spPr>
            <a:solidFill>
              <a:schemeClr val="accent1"/>
            </a:solidFill>
            <a:ln>
              <a:noFill/>
            </a:ln>
            <a:effectLst/>
          </c:spPr>
          <c:invertIfNegative val="0"/>
          <c:cat>
            <c:strRef>
              <c:f>Suggestion1!$A$4:$A$6</c:f>
              <c:strCache>
                <c:ptCount val="2"/>
                <c:pt idx="0">
                  <c:v>0</c:v>
                </c:pt>
                <c:pt idx="1">
                  <c:v>1</c:v>
                </c:pt>
              </c:strCache>
            </c:strRef>
          </c:cat>
          <c:val>
            <c:numRef>
              <c:f>Suggestion1!$B$4:$B$6</c:f>
              <c:numCache>
                <c:formatCode>General</c:formatCode>
                <c:ptCount val="2"/>
                <c:pt idx="0">
                  <c:v>25.666666666666668</c:v>
                </c:pt>
                <c:pt idx="1">
                  <c:v>33.285714285714285</c:v>
                </c:pt>
              </c:numCache>
            </c:numRef>
          </c:val>
          <c:extLst>
            <c:ext xmlns:c16="http://schemas.microsoft.com/office/drawing/2014/chart" uri="{C3380CC4-5D6E-409C-BE32-E72D297353CC}">
              <c16:uniqueId val="{00000000-7087-4ECD-94B4-7958A6D6DA79}"/>
            </c:ext>
          </c:extLst>
        </c:ser>
        <c:ser>
          <c:idx val="1"/>
          <c:order val="1"/>
          <c:tx>
            <c:strRef>
              <c:f>Suggestion1!$C$2:$C$3</c:f>
              <c:strCache>
                <c:ptCount val="1"/>
                <c:pt idx="0">
                  <c:v>No</c:v>
                </c:pt>
              </c:strCache>
            </c:strRef>
          </c:tx>
          <c:spPr>
            <a:solidFill>
              <a:schemeClr val="accent2"/>
            </a:solidFill>
            <a:ln>
              <a:noFill/>
            </a:ln>
            <a:effectLst/>
          </c:spPr>
          <c:invertIfNegative val="0"/>
          <c:cat>
            <c:strRef>
              <c:f>Suggestion1!$A$4:$A$6</c:f>
              <c:strCache>
                <c:ptCount val="2"/>
                <c:pt idx="0">
                  <c:v>0</c:v>
                </c:pt>
                <c:pt idx="1">
                  <c:v>1</c:v>
                </c:pt>
              </c:strCache>
            </c:strRef>
          </c:cat>
          <c:val>
            <c:numRef>
              <c:f>Suggestion1!$C$4:$C$6</c:f>
              <c:numCache>
                <c:formatCode>General</c:formatCode>
                <c:ptCount val="2"/>
                <c:pt idx="0">
                  <c:v>25.580645161290324</c:v>
                </c:pt>
                <c:pt idx="1">
                  <c:v>32.821428571428569</c:v>
                </c:pt>
              </c:numCache>
            </c:numRef>
          </c:val>
          <c:extLst>
            <c:ext xmlns:c16="http://schemas.microsoft.com/office/drawing/2014/chart" uri="{C3380CC4-5D6E-409C-BE32-E72D297353CC}">
              <c16:uniqueId val="{00000001-7087-4ECD-94B4-7958A6D6DA79}"/>
            </c:ext>
          </c:extLst>
        </c:ser>
        <c:ser>
          <c:idx val="2"/>
          <c:order val="2"/>
          <c:tx>
            <c:strRef>
              <c:f>Suggestion1!$D$2:$D$3</c:f>
              <c:strCache>
                <c:ptCount val="1"/>
                <c:pt idx="0">
                  <c:v>Yes</c:v>
                </c:pt>
              </c:strCache>
            </c:strRef>
          </c:tx>
          <c:spPr>
            <a:solidFill>
              <a:schemeClr val="accent3"/>
            </a:solidFill>
            <a:ln>
              <a:noFill/>
            </a:ln>
            <a:effectLst/>
          </c:spPr>
          <c:invertIfNegative val="0"/>
          <c:cat>
            <c:strRef>
              <c:f>Suggestion1!$A$4:$A$6</c:f>
              <c:strCache>
                <c:ptCount val="2"/>
                <c:pt idx="0">
                  <c:v>0</c:v>
                </c:pt>
                <c:pt idx="1">
                  <c:v>1</c:v>
                </c:pt>
              </c:strCache>
            </c:strRef>
          </c:cat>
          <c:val>
            <c:numRef>
              <c:f>Suggestion1!$D$4:$D$6</c:f>
              <c:numCache>
                <c:formatCode>General</c:formatCode>
                <c:ptCount val="2"/>
                <c:pt idx="0">
                  <c:v>29.111111111111111</c:v>
                </c:pt>
                <c:pt idx="1">
                  <c:v>39.837209302325583</c:v>
                </c:pt>
              </c:numCache>
            </c:numRef>
          </c:val>
          <c:extLst>
            <c:ext xmlns:c16="http://schemas.microsoft.com/office/drawing/2014/chart" uri="{C3380CC4-5D6E-409C-BE32-E72D297353CC}">
              <c16:uniqueId val="{00000002-7087-4ECD-94B4-7958A6D6DA79}"/>
            </c:ext>
          </c:extLst>
        </c:ser>
        <c:dLbls>
          <c:showLegendKey val="0"/>
          <c:showVal val="0"/>
          <c:showCatName val="0"/>
          <c:showSerName val="0"/>
          <c:showPercent val="0"/>
          <c:showBubbleSize val="0"/>
        </c:dLbls>
        <c:gapWidth val="160"/>
        <c:overlap val="-30"/>
        <c:axId val="882064064"/>
        <c:axId val="880453136"/>
      </c:barChart>
      <c:catAx>
        <c:axId val="88206406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*Do you have previous employers?*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453136"/>
        <c:crosses val="autoZero"/>
        <c:auto val="1"/>
        <c:lblAlgn val="ctr"/>
        <c:lblOffset val="100"/>
        <c:noMultiLvlLbl val="0"/>
      </c:catAx>
      <c:valAx>
        <c:axId val="880453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What is your 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064064"/>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OSMI 2021 Mental Health in Tech Survey Results.xlsx]Suggestion2!PivotTable2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 you bring up your *mental* health with a potential employer in an interview?': </a:t>
            </a:r>
            <a:r>
              <a:rPr lang="en-US">
                <a:solidFill>
                  <a:srgbClr val="DD5A13"/>
                </a:solidFill>
              </a:rPr>
              <a:t>No</a:t>
            </a:r>
            <a:r>
              <a:rPr lang="en-US"/>
              <a:t> has noticeably higher 'How has it affected your career?'.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D2D2D2"/>
          </a:solidFill>
          <a:ln>
            <a:noFill/>
          </a:ln>
          <a:effectLst/>
        </c:spPr>
      </c:pivotFmt>
      <c:pivotFmt>
        <c:idx val="2"/>
        <c:spPr>
          <a:solidFill>
            <a:srgbClr val="ED7331"/>
          </a:solidFill>
          <a:ln>
            <a:noFill/>
          </a:ln>
          <a:effectLst/>
        </c:spPr>
      </c:pivotFmt>
      <c:pivotFmt>
        <c:idx val="3"/>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ED7331"/>
          </a:solidFill>
          <a:ln>
            <a:noFill/>
          </a:ln>
          <a:effectLst/>
        </c:spPr>
      </c:pivotFmt>
      <c:pivotFmt>
        <c:idx val="5"/>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ED7331"/>
          </a:solidFill>
          <a:ln>
            <a:noFill/>
          </a:ln>
          <a:effectLst/>
        </c:spPr>
      </c:pivotFmt>
      <c:pivotFmt>
        <c:idx val="7"/>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ED7331"/>
          </a:solidFill>
          <a:ln>
            <a:noFill/>
          </a:ln>
          <a:effectLst/>
        </c:spPr>
      </c:pivotFmt>
      <c:pivotFmt>
        <c:idx val="9"/>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ED7331"/>
          </a:solidFill>
          <a:ln>
            <a:noFill/>
          </a:ln>
          <a:effectLst/>
        </c:spPr>
      </c:pivotFmt>
    </c:pivotFmts>
    <c:plotArea>
      <c:layout/>
      <c:barChart>
        <c:barDir val="bar"/>
        <c:grouping val="clustered"/>
        <c:varyColors val="0"/>
        <c:ser>
          <c:idx val="0"/>
          <c:order val="0"/>
          <c:tx>
            <c:strRef>
              <c:f>Suggestion2!$B$2</c:f>
              <c:strCache>
                <c:ptCount val="1"/>
                <c:pt idx="0">
                  <c:v>Total</c:v>
                </c:pt>
              </c:strCache>
            </c:strRef>
          </c:tx>
          <c:spPr>
            <a:solidFill>
              <a:srgbClr val="D2D2D2"/>
            </a:solidFill>
            <a:ln>
              <a:noFill/>
            </a:ln>
            <a:effectLst/>
          </c:spPr>
          <c:invertIfNegative val="0"/>
          <c:dPt>
            <c:idx val="0"/>
            <c:invertIfNegative val="0"/>
            <c:bubble3D val="0"/>
            <c:spPr>
              <a:solidFill>
                <a:srgbClr val="ED7331"/>
              </a:solidFill>
              <a:ln>
                <a:noFill/>
              </a:ln>
              <a:effectLst/>
            </c:spPr>
            <c:extLst>
              <c:ext xmlns:c16="http://schemas.microsoft.com/office/drawing/2014/chart" uri="{C3380CC4-5D6E-409C-BE32-E72D297353CC}">
                <c16:uniqueId val="{00000001-229F-410E-A6A2-BBD29EDFEA03}"/>
              </c:ext>
            </c:extLst>
          </c:dPt>
          <c:cat>
            <c:strRef>
              <c:f>Suggestion2!$A$3:$A$6</c:f>
              <c:strCache>
                <c:ptCount val="3"/>
                <c:pt idx="0">
                  <c:v>No</c:v>
                </c:pt>
                <c:pt idx="1">
                  <c:v>Yes</c:v>
                </c:pt>
                <c:pt idx="2">
                  <c:v>Maybe</c:v>
                </c:pt>
              </c:strCache>
            </c:strRef>
          </c:cat>
          <c:val>
            <c:numRef>
              <c:f>Suggestion2!$B$3:$B$6</c:f>
              <c:numCache>
                <c:formatCode>General</c:formatCode>
                <c:ptCount val="3"/>
                <c:pt idx="0">
                  <c:v>6.666666666666667</c:v>
                </c:pt>
                <c:pt idx="1">
                  <c:v>3.3333333333333335</c:v>
                </c:pt>
                <c:pt idx="2">
                  <c:v>3</c:v>
                </c:pt>
              </c:numCache>
            </c:numRef>
          </c:val>
          <c:extLst>
            <c:ext xmlns:c16="http://schemas.microsoft.com/office/drawing/2014/chart" uri="{C3380CC4-5D6E-409C-BE32-E72D297353CC}">
              <c16:uniqueId val="{00000002-229F-410E-A6A2-BBD29EDFEA03}"/>
            </c:ext>
          </c:extLst>
        </c:ser>
        <c:dLbls>
          <c:showLegendKey val="0"/>
          <c:showVal val="0"/>
          <c:showCatName val="0"/>
          <c:showSerName val="0"/>
          <c:showPercent val="0"/>
          <c:showBubbleSize val="0"/>
        </c:dLbls>
        <c:gapWidth val="33"/>
        <c:overlap val="-30"/>
        <c:axId val="885516944"/>
        <c:axId val="880452176"/>
      </c:barChart>
      <c:catAx>
        <c:axId val="88551694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Would you bring up your *mental* health with a potential employer in an interview?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452176"/>
        <c:crosses val="autoZero"/>
        <c:auto val="1"/>
        <c:lblAlgn val="ctr"/>
        <c:lblOffset val="100"/>
        <c:noMultiLvlLbl val="0"/>
      </c:catAx>
      <c:valAx>
        <c:axId val="88045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How has it affected your career?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51694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fault Theme">
  <a:themeElements>
    <a:clrScheme name="Custom 11">
      <a:dk1>
        <a:srgbClr val="56646F"/>
      </a:dk1>
      <a:lt1>
        <a:sysClr val="window" lastClr="FFFFFF"/>
      </a:lt1>
      <a:dk2>
        <a:srgbClr val="5C99C2"/>
      </a:dk2>
      <a:lt2>
        <a:srgbClr val="77756F"/>
      </a:lt2>
      <a:accent1>
        <a:srgbClr val="56646F"/>
      </a:accent1>
      <a:accent2>
        <a:srgbClr val="D86750"/>
      </a:accent2>
      <a:accent3>
        <a:srgbClr val="62BB79"/>
      </a:accent3>
      <a:accent4>
        <a:srgbClr val="695B71"/>
      </a:accent4>
      <a:accent5>
        <a:srgbClr val="5C99C2"/>
      </a:accent5>
      <a:accent6>
        <a:srgbClr val="E7E0CB"/>
      </a:accent6>
      <a:hlink>
        <a:srgbClr val="5C99C2"/>
      </a:hlink>
      <a:folHlink>
        <a:srgbClr val="695B71"/>
      </a:folHlink>
    </a:clrScheme>
    <a:fontScheme name="Custom 1">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29DF3-0CC3-4238-89B5-4CB58E17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796</Words>
  <Characters>4511</Characters>
  <Application>Microsoft Office Word</Application>
  <DocSecurity>0</DocSecurity>
  <Lines>136</Lines>
  <Paragraphs>39</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Darp</dc:creator>
  <cp:keywords/>
  <dc:description/>
  <cp:lastModifiedBy>Ujjawal Darp</cp:lastModifiedBy>
  <cp:revision>2</cp:revision>
  <cp:lastPrinted>2017-03-22T19:27:00Z</cp:lastPrinted>
  <dcterms:created xsi:type="dcterms:W3CDTF">2024-01-10T13:06:00Z</dcterms:created>
  <dcterms:modified xsi:type="dcterms:W3CDTF">2024-01-10T13:06:00Z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a5b6b607-f826-413a-8201-7252d405fac1</vt:lpwstr>
  </property>
  <property fmtid="{D5CDD505-2E9C-101B-9397-08002B2CF9AE}" pid="3" name="MSIP_Label_878034d3-281a-4e5f-8516-b6dcd548fdfc_Enabled">
    <vt:lpwstr>true</vt:lpwstr>
  </property>
  <property fmtid="{D5CDD505-2E9C-101B-9397-08002B2CF9AE}" pid="4" name="MSIP_Label_878034d3-281a-4e5f-8516-b6dcd548fdfc_SetDate">
    <vt:lpwstr>2023-09-19T11:51:16Z</vt:lpwstr>
  </property>
  <property fmtid="{D5CDD505-2E9C-101B-9397-08002B2CF9AE}" pid="5" name="MSIP_Label_878034d3-281a-4e5f-8516-b6dcd548fdfc_Method">
    <vt:lpwstr>Privileged</vt:lpwstr>
  </property>
  <property fmtid="{D5CDD505-2E9C-101B-9397-08002B2CF9AE}" pid="6" name="MSIP_Label_878034d3-281a-4e5f-8516-b6dcd548fdfc_Name">
    <vt:lpwstr>Public Information</vt:lpwstr>
  </property>
  <property fmtid="{D5CDD505-2E9C-101B-9397-08002B2CF9AE}" pid="7" name="MSIP_Label_878034d3-281a-4e5f-8516-b6dcd548fdfc_SiteId">
    <vt:lpwstr>dccb27bf-99c4-4985-b8d7-7581887a825e</vt:lpwstr>
  </property>
  <property fmtid="{D5CDD505-2E9C-101B-9397-08002B2CF9AE}" pid="8" name="MSIP_Label_878034d3-281a-4e5f-8516-b6dcd548fdfc_ActionId">
    <vt:lpwstr>f4116a13-a8cc-4e03-b9d3-ab397bf8848e</vt:lpwstr>
  </property>
  <property fmtid="{D5CDD505-2E9C-101B-9397-08002B2CF9AE}" pid="9" name="MSIP_Label_878034d3-281a-4e5f-8516-b6dcd548fdfc_ContentBits">
    <vt:lpwstr>0</vt:lpwstr>
  </property>
</Properties>
</file>