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ID: 29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Hypothesis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We’ve used a simple price action trading strategy to place buy and sell orders on our portfolio.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candle has 4 prices : open,high,low and close. When the open and close prices are close, within a certain value epsilon2, where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epsilon2 = 0.001*current close price of the stock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will  generate a buy signal if the difference between the low price and the minimum of the close and open prices lies within a certain range epsilon1, where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epsilon1 = 0.01*current close price of the stock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we will generate a sell signal if the difference between the high price and the maximum of the close and open prices lies within a certain range epsilon1, which is again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epsilon1 = 0.01*current close price of the stock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that the current close price of the stock denotes the current price of the stock, taken from the OHLC data of the last one minute.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We’ve considered the 15 min and 5 min OHLC data of the stocks. Since in blueshift only 1 min and 1 day historical data is available, we have extracted 5 min and 15 OHLC data for testing our hypothesis.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We have tested our hypothesis on the top 10 BANKNIFTY stocks - </w:t>
      </w:r>
      <w:r w:rsidDel="00000000" w:rsidR="00000000" w:rsidRPr="00000000">
        <w:rPr>
          <w:b w:val="1"/>
          <w:rtl w:val="0"/>
        </w:rPr>
        <w:t xml:space="preserve">HDFCBANK ,ICICIBANK, KOTAKBANK ,SBIN, AXISBANK, INDUSINDBK, BANKBARODA , FEDERALBNK, IDFCFIRSTB ,PNB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testing period is from 1 JULY 2017 to 1 JULY 2022, on NSE stock data with a capital of Rs 10000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results obtained were: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-10.85%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Alpha</w:t>
      </w:r>
      <w:r w:rsidDel="00000000" w:rsidR="00000000" w:rsidRPr="00000000">
        <w:rPr>
          <w:rtl w:val="0"/>
        </w:rPr>
        <w:t xml:space="preserve">: 0.06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Beta</w:t>
      </w:r>
      <w:r w:rsidDel="00000000" w:rsidR="00000000" w:rsidRPr="00000000">
        <w:rPr>
          <w:rtl w:val="0"/>
        </w:rPr>
        <w:t xml:space="preserve">: 0.42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Sharpe</w:t>
      </w:r>
      <w:r w:rsidDel="00000000" w:rsidR="00000000" w:rsidRPr="00000000">
        <w:rPr>
          <w:rtl w:val="0"/>
        </w:rPr>
        <w:t xml:space="preserve">: -0.12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Drawdown</w:t>
      </w:r>
      <w:r w:rsidDel="00000000" w:rsidR="00000000" w:rsidRPr="00000000">
        <w:rPr>
          <w:rtl w:val="0"/>
        </w:rPr>
        <w:t xml:space="preserve">: -24.21%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7477125" cy="5295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0" w:top="357.1653543307087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