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LTVIP2025TMID59424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Citizen AI –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– Solution Fit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have identified a real and frequent problem experienced by your customer segment (citizens and government officials), and the solution you’ve built (Citizen AI) </w:t>
      </w:r>
      <w:r w:rsidDel="00000000" w:rsidR="00000000" w:rsidRPr="00000000">
        <w:rPr>
          <w:b w:val="1"/>
          <w:rtl w:val="0"/>
        </w:rPr>
        <w:t xml:space="preserve">directly addresses and solves that problem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Solve complex citizen–government interaction problems in a way that fits real-world behavior and technological gaps.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Succeed faster by tapping into existing mediums — like government websites, chat-based services, and offline interactions — while enhancing them with AI.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Sharpen communication and digital outreach by positioning Citizen AI as a </w:t>
      </w:r>
      <w:r w:rsidDel="00000000" w:rsidR="00000000" w:rsidRPr="00000000">
        <w:rPr>
          <w:b w:val="1"/>
          <w:rtl w:val="0"/>
        </w:rPr>
        <w:t xml:space="preserve">trustworthy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transparent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system.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Increase engagement and trust by solving high-friction problems like </w:t>
      </w:r>
      <w:r w:rsidDel="00000000" w:rsidR="00000000" w:rsidRPr="00000000">
        <w:rPr>
          <w:b w:val="1"/>
          <w:rtl w:val="0"/>
        </w:rPr>
        <w:t xml:space="preserve">lack of real-time help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feedback response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non-transparent systems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Understand the </w:t>
      </w:r>
      <w:r w:rsidDel="00000000" w:rsidR="00000000" w:rsidRPr="00000000">
        <w:rPr>
          <w:b w:val="1"/>
          <w:rtl w:val="0"/>
        </w:rPr>
        <w:t xml:space="preserve">real situation</w:t>
      </w:r>
      <w:r w:rsidDel="00000000" w:rsidR="00000000" w:rsidRPr="00000000">
        <w:rPr>
          <w:rtl w:val="0"/>
        </w:rPr>
        <w:t xml:space="preserve"> citizens and officials face and improve governance by </w:t>
      </w:r>
      <w:r w:rsidDel="00000000" w:rsidR="00000000" w:rsidRPr="00000000">
        <w:rPr>
          <w:b w:val="1"/>
          <w:rtl w:val="0"/>
        </w:rPr>
        <w:t xml:space="preserve">transforming static communication into intelligent, two-way interaction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492750" cy="3441700"/>
            <wp:effectExtent b="0" l="0" r="0" t="0"/>
            <wp:docPr descr="Calendar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Calenda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https://www.ideahackers.network/problem-solution-fit-canvas/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https://medium.com/@epicantus/problem-solution-fit-canvas-aa3dd59cb4fe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ideahackers.network/problem-solution-fit-canv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+FCS2T6l98R9+o0+sVs0PzJDQ==">CgMxLjA4AHIhMURaaDlTdmFjSEV5a0RTUVlUc1dpTnVtTDhkY3VOcW41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</cp:coreProperties>
</file>