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LTVIP2025TMID59424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–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Citizens experience delays, lack of response, and poor transparency when accessing government services. Existing systems are static and non-interactive, leading to low engagement, no sentiment tracking, and decreased trust in public platforms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Citizen AI is an intelligent, web-based platform that enables real-time interaction between citizens and government through a chatbot, sentiment analysis engine, and live analytics dashboard. It allows citizens to submit queries or feedback and provides actionable insights to administrators for better governance.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Unlike static portals, Citizen AI offers: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Real-time AI chatbot responses (IBM Granite/OpenAI)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Automated sentiment tagging using NLP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Offline-first support using Flask and SQLite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Modular, future-ready design (multilingual, mobile, cloud)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Visual dashboards for public opinion tracking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Increases trust in government systems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Empowers citizens to express opinions easily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Helps administrators make quick, data-backed decisions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Encourages transparency and participatory governance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Useful for rural populations via offline access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Freemium SaaS Model: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Free version for local communities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Premium version for municipalities and departments with advanced analytics, cloud storage, and multilingual support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Government partnership model for large-scale deployment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Easily scalable across: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Multiple departments and cities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Regional and national government levels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Multiple languages and platforms (web, mobile)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Cloud-based expansion using IBM Cloud, Docker, or Render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p4mXL9LP4ASS+GcLL3K+K+nSw==">CgMxLjA4AHIhMVduZHFkUHJmcVVuMDJObVNRZ28wUWlQUWE3NXZaRDkz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