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Project Design Phase</w:t>
      </w:r>
    </w:p>
    <w:p w:rsidR="00000000" w:rsidDel="00000000" w:rsidP="00000000" w:rsidRDefault="00000000" w:rsidRPr="00000000" w14:paraId="00000002">
      <w:pPr>
        <w:spacing w:after="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Solution Architecture</w:t>
      </w:r>
    </w:p>
    <w:p w:rsidR="00000000" w:rsidDel="00000000" w:rsidP="00000000" w:rsidRDefault="00000000" w:rsidRPr="00000000" w14:paraId="00000003">
      <w:pPr>
        <w:spacing w:after="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08"/>
        <w:gridCol w:w="4508"/>
        <w:tblGridChange w:id="0">
          <w:tblGrid>
            <w:gridCol w:w="4508"/>
            <w:gridCol w:w="450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4">
            <w:pPr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005">
            <w:pPr>
              <w:rPr/>
            </w:pPr>
            <w:r w:rsidDel="00000000" w:rsidR="00000000" w:rsidRPr="00000000">
              <w:rPr>
                <w:rtl w:val="0"/>
              </w:rPr>
              <w:t xml:space="preserve">15 February 2025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6">
            <w:pPr>
              <w:rPr/>
            </w:pPr>
            <w:r w:rsidDel="00000000" w:rsidR="00000000" w:rsidRPr="00000000">
              <w:rPr>
                <w:rtl w:val="0"/>
              </w:rPr>
              <w:t xml:space="preserve">Team ID</w:t>
            </w:r>
          </w:p>
        </w:tc>
        <w:tc>
          <w:tcPr/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LTVIP2025TMID59424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 xml:space="preserve">Project Name</w:t>
            </w:r>
          </w:p>
        </w:tc>
        <w:tc>
          <w:tcPr/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tl w:val="0"/>
              </w:rPr>
              <w:t xml:space="preserve">Citizen AI – Intelligent Citizen Engagement Platform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  <w:t xml:space="preserve">Maximum Marks</w:t>
            </w:r>
          </w:p>
        </w:tc>
        <w:tc>
          <w:tcPr/>
          <w:p w:rsidR="00000000" w:rsidDel="00000000" w:rsidP="00000000" w:rsidRDefault="00000000" w:rsidRPr="00000000" w14:paraId="0000000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 Marks</w:t>
            </w:r>
          </w:p>
        </w:tc>
      </w:tr>
    </w:tbl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Solution Architecture:</w:t>
      </w:r>
    </w:p>
    <w:p w:rsidR="00000000" w:rsidDel="00000000" w:rsidP="00000000" w:rsidRDefault="00000000" w:rsidRPr="00000000" w14:paraId="0000000E">
      <w:pPr>
        <w:shd w:fill="ffffff" w:val="clear"/>
        <w:spacing w:after="375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Solution architecture is a complex process – with many sub-processes – that bridges the gap between business problems and technology solutions. Its goals are to:</w:t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shd w:fill="ffffff" w:val="clear"/>
        <w:spacing w:line="240" w:lineRule="auto"/>
        <w:ind w:left="720" w:hanging="360"/>
        <w:rPr>
          <w:rFonts w:ascii="Arial" w:cs="Arial" w:eastAsia="Arial" w:hAnsi="Arial"/>
          <w:sz w:val="26"/>
          <w:szCs w:val="26"/>
        </w:rPr>
      </w:pPr>
      <w:bookmarkStart w:colFirst="0" w:colLast="0" w:name="_heading=h.s24d74yusia5" w:id="0"/>
      <w:bookmarkEnd w:id="0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Solution Architecture – 5 Key Points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hd w:fill="ffffff" w:val="clear"/>
        <w:spacing w:after="0" w:afterAutospacing="0" w:before="240" w:line="240" w:lineRule="auto"/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Layered Architecture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: The system follows a modular structure—Frontend (HTML, JS), Backend (Flask + FastAPI), AI Layer (OpenAI/Granite), Database (SQLite), and Dashboard (Chart.js).</w:t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hd w:fill="ffffff" w:val="clear"/>
        <w:spacing w:after="0" w:afterAutospacing="0" w:before="0" w:beforeAutospacing="0" w:line="240" w:lineRule="auto"/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AI-Driven Communication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: Uses IBM Granite/OpenAI for real-time, intelligent chatbot replies and sentiment analysis on citizen feedback.</w:t>
        <w:br w:type="textWrapping"/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hd w:fill="ffffff" w:val="clear"/>
        <w:spacing w:after="0" w:afterAutospacing="0" w:before="0" w:beforeAutospacing="0" w:line="240" w:lineRule="auto"/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Offline &amp; Scalable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: Designed to work offline using SQLite and Flask, with future scalability via cloud (IBM Cloud, Docker) and mobile platforms.</w:t>
        <w:br w:type="textWrapping"/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hd w:fill="ffffff" w:val="clear"/>
        <w:spacing w:after="0" w:afterAutospacing="0" w:before="0" w:beforeAutospacing="0" w:line="240" w:lineRule="auto"/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Dynamic Dashboard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: Admin dashboard visualizes sentiment trends using real-time charts and enables data-driven governance.</w:t>
        <w:br w:type="textWrapping"/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hd w:fill="ffffff" w:val="clear"/>
        <w:spacing w:after="240" w:before="0" w:beforeAutospacing="0" w:line="240" w:lineRule="auto"/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Future-Ready Design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: Easily extendable for multilingual support, geo-tagging, role-based dashboards, and predictive analytics.</w:t>
      </w:r>
    </w:p>
    <w:p w:rsidR="00000000" w:rsidDel="00000000" w:rsidP="00000000" w:rsidRDefault="00000000" w:rsidRPr="00000000" w14:paraId="00000015">
      <w:pPr>
        <w:shd w:fill="ffffff" w:val="clear"/>
        <w:spacing w:after="240" w:before="240" w:line="240" w:lineRule="auto"/>
        <w:ind w:left="720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Example - Solution Architecture Diagram</w:t>
      </w:r>
      <w:r w:rsidDel="00000000" w:rsidR="00000000" w:rsidRPr="00000000">
        <w:rPr>
          <w:b w:val="1"/>
          <w:rtl w:val="0"/>
        </w:rPr>
        <w:t xml:space="preserve">: </w:t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tabs>
          <w:tab w:val="left" w:leader="none" w:pos="5529"/>
        </w:tabs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5176838" cy="7760862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6838" cy="77608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Fonts w:ascii="Helvetica Neue" w:cs="Helvetica Neue" w:eastAsia="Helvetica Neue" w:hAnsi="Helvetica Neue"/>
          <w:i w:val="1"/>
          <w:color w:val="333333"/>
          <w:sz w:val="21"/>
          <w:szCs w:val="21"/>
          <w:rtl w:val="0"/>
        </w:rPr>
        <w:t xml:space="preserve">Figure 1: Architecture and data flow of the voice patient diary sample application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Reference: </w:t>
      </w:r>
      <w:hyperlink r:id="rId8">
        <w:r w:rsidDel="00000000" w:rsidR="00000000" w:rsidRPr="00000000">
          <w:rPr>
            <w:b w:val="1"/>
            <w:color w:val="0563c1"/>
            <w:u w:val="single"/>
            <w:rtl w:val="0"/>
          </w:rPr>
          <w:t xml:space="preserve">https://aws.amazon.com/blogs/industries/voice-applications-in-clinical-research-powered-by-ai-on-aws-part-1-architecture-and-design-considerations/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851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Hyperlink">
    <w:name w:val="Hyperlink"/>
    <w:basedOn w:val="DefaultParagraphFont"/>
    <w:uiPriority w:val="99"/>
    <w:unhideWhenUsed w:val="1"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3C4A8E"/>
    <w:rPr>
      <w:color w:val="605e5c"/>
      <w:shd w:color="auto" w:fill="e1dfdd" w:val="clear"/>
    </w:rPr>
  </w:style>
  <w:style w:type="paragraph" w:styleId="ListParagraph">
    <w:name w:val="List Paragraph"/>
    <w:basedOn w:val="Normal"/>
    <w:uiPriority w:val="34"/>
    <w:qFormat w:val="1"/>
    <w:rsid w:val="00AB20AC"/>
    <w:pPr>
      <w:ind w:left="720"/>
      <w:contextualSpacing w:val="1"/>
    </w:pPr>
  </w:style>
  <w:style w:type="paragraph" w:styleId="NormalWeb">
    <w:name w:val="Normal (Web)"/>
    <w:basedOn w:val="Normal"/>
    <w:uiPriority w:val="99"/>
    <w:semiHidden w:val="1"/>
    <w:unhideWhenUsed w:val="1"/>
    <w:rsid w:val="009067B1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Emphasis">
    <w:name w:val="Emphasis"/>
    <w:basedOn w:val="DefaultParagraphFont"/>
    <w:uiPriority w:val="20"/>
    <w:qFormat w:val="1"/>
    <w:rsid w:val="008E20B8"/>
    <w:rPr>
      <w:i w:val="1"/>
      <w:iCs w:val="1"/>
    </w:rPr>
  </w:style>
  <w:style w:type="table" w:styleId="a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yperlink" Target="https://aws.amazon.com/blogs/industries/voice-applications-in-clinical-research-powered-by-ai-on-aws-part-1-architecture-and-design-considerations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0uktDQo3VjPFOaBWqJhw9zPIXwA==">CgMxLjAyDmguczI0ZDc0eXVzaWE1OAByITFjSVBYTUlOdy01OVVFdmJDVG9WQ21iSThvdDhVTWFtaA==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2022-10-03T08:27:00Z</dcterms:created>
  <dc:creator>Amarender Katkam</dc:creator>
</cp:coreProperties>
</file>