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Operational Forecasting &amp; Capacity Risk Intelligence for the HHS Unaccompanied Children Program</w:t>
      </w:r>
    </w:p>
    <w:p w:rsidR="00000000" w:rsidDel="00000000" w:rsidP="00000000" w:rsidRDefault="00000000" w:rsidRPr="00000000" w14:paraId="00000002">
      <w:pPr>
        <w:widowControl w:val="0"/>
        <w:spacing w:after="240" w:line="240" w:lineRule="auto"/>
        <w:rPr/>
      </w:pPr>
      <w:r w:rsidDel="00000000" w:rsidR="00000000" w:rsidRPr="00000000">
        <w:rPr>
          <w:b w:val="1"/>
          <w:bCs w:val="1"/>
          <w:rtl w:val="0"/>
        </w:rPr>
        <w:t xml:space="preserve">Developer:</w:t>
      </w:r>
      <w:r w:rsidDel="00000000" w:rsidR="00000000" w:rsidRPr="00000000">
        <w:rPr>
          <w:rtl w:val="0"/>
        </w:rPr>
        <w:t xml:space="preserve"> Kandregula Uday Teja </w:t>
      </w:r>
    </w:p>
    <w:p w:rsidR="00000000" w:rsidDel="00000000" w:rsidP="00000000" w:rsidRDefault="00000000" w:rsidRPr="00000000" w14:paraId="00000003">
      <w:pPr>
        <w:widowControl w:val="0"/>
        <w:spacing w:after="240" w:line="240" w:lineRule="auto"/>
        <w:rPr>
          <w:b w:val="1"/>
          <w:bCs w:val="1"/>
        </w:rPr>
      </w:pPr>
      <w:r w:rsidDel="00000000" w:rsidR="00000000" w:rsidRPr="00000000">
        <w:rPr>
          <w:b w:val="1"/>
          <w:bCs w:val="1"/>
          <w:rtl w:val="0"/>
        </w:rPr>
        <w:t xml:space="preserve">Target Stakeholders:</w:t>
      </w:r>
      <w:r w:rsidDel="00000000" w:rsidR="00000000" w:rsidRPr="00000000">
        <w:rPr>
          <w:rtl w:val="0"/>
        </w:rPr>
        <w:t xml:space="preserve"> Office of Refugee Resettlement (ORR), Department of Health and Human Services (HHS), and Federal Child-Welfare Logistics Coordinators </w:t>
      </w:r>
      <w:r w:rsidDel="00000000" w:rsidR="00000000" w:rsidRPr="00000000">
        <w:rPr>
          <w:b w:val="1"/>
          <w:bCs w:val="1"/>
          <w:rtl w:val="0"/>
        </w:rPr>
        <w:t xml:space="preserve">System </w:t>
      </w:r>
    </w:p>
    <w:p w:rsidR="00000000" w:rsidDel="00000000" w:rsidP="00000000" w:rsidRDefault="00000000" w:rsidRPr="00000000" w14:paraId="00000004">
      <w:pPr>
        <w:widowControl w:val="0"/>
        <w:spacing w:after="240" w:line="240" w:lineRule="auto"/>
        <w:rPr/>
      </w:pPr>
      <w:r w:rsidDel="00000000" w:rsidR="00000000" w:rsidRPr="00000000">
        <w:rPr>
          <w:b w:val="1"/>
          <w:bCs w:val="1"/>
          <w:rtl w:val="0"/>
        </w:rPr>
        <w:t xml:space="preserve">Architecture:</w:t>
      </w:r>
      <w:r w:rsidDel="00000000" w:rsidR="00000000" w:rsidRPr="00000000">
        <w:rPr>
          <w:rtl w:val="0"/>
        </w:rPr>
        <w:t xml:space="preserve"> Production Pipeline V8 &amp; Interactive Streamlit Cloud Decision-Support System (predictiveforecastingofcareload-placementdemand.streamlit.app) </w:t>
      </w:r>
      <w:r w:rsidDel="00000000" w:rsidR="00000000" w:rsidRPr="00000000">
        <w:rPr>
          <w:b w:val="1"/>
          <w:bCs w:val="1"/>
          <w:rtl w:val="0"/>
        </w:rPr>
        <w:t xml:space="preserve">Evaluation Window:</w:t>
      </w:r>
      <w:r w:rsidDel="00000000" w:rsidR="00000000" w:rsidRPr="00000000">
        <w:rPr>
          <w:rtl w:val="0"/>
        </w:rPr>
        <w:t xml:space="preserve"> 1,075 Calendar Days (January 12, 2023 – December 21, 2025; 720 observed days, 355 linearly interpolated days)</w:t>
      </w:r>
    </w:p>
    <w:p w:rsidR="00000000" w:rsidDel="00000000" w:rsidP="00000000" w:rsidRDefault="00000000" w:rsidRPr="00000000" w14:paraId="0000000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Executive Context &amp; Operational Challenges</w:t>
      </w:r>
    </w:p>
    <w:p w:rsidR="00000000" w:rsidDel="00000000" w:rsidP="00000000" w:rsidRDefault="00000000" w:rsidRPr="00000000" w14:paraId="00000006">
      <w:pPr>
        <w:widowControl w:val="0"/>
        <w:spacing w:line="240" w:lineRule="auto"/>
        <w:rPr/>
      </w:pPr>
      <w:r w:rsidDel="00000000" w:rsidR="00000000" w:rsidRPr="00000000">
        <w:rPr>
          <w:rtl w:val="0"/>
        </w:rPr>
        <w:t xml:space="preserve">The Office of Refugee Resettlement (ORR) within the Department of Health and Human Services (HHS) manages the nationwide licensed shelter network for Unaccompanied Alien Children (UAC) transferred from Customs and Border Protection (CBP) custody. Managing this facility network requires balancing two opposing risks:</w:t>
      </w:r>
    </w:p>
    <w:p w:rsidR="00000000" w:rsidDel="00000000" w:rsidP="00000000" w:rsidRDefault="00000000" w:rsidRPr="00000000" w14:paraId="00000007">
      <w:pPr>
        <w:widowControl w:val="0"/>
        <w:numPr>
          <w:ilvl w:val="0"/>
          <w:numId w:val="2"/>
        </w:numPr>
        <w:spacing w:line="240" w:lineRule="auto"/>
        <w:ind w:left="600" w:hanging="360"/>
      </w:pPr>
      <w:r w:rsidDel="00000000" w:rsidR="00000000" w:rsidRPr="00000000">
        <w:rPr>
          <w:b w:val="1"/>
          <w:bCs w:val="1"/>
          <w:rtl w:val="0"/>
        </w:rPr>
        <w:t xml:space="preserve">Capacity Breach Bottlenecks:</w:t>
      </w:r>
      <w:r w:rsidDel="00000000" w:rsidR="00000000" w:rsidRPr="00000000">
        <w:rPr>
          <w:rtl w:val="0"/>
        </w:rPr>
        <w:t xml:space="preserve"> Sudden intake surges at the southwest border can rapidly exhaust licensed, state-approved shelter beds, forcing expensive, reactive activations of emergency influx facilities.</w:t>
      </w:r>
    </w:p>
    <w:p w:rsidR="00000000" w:rsidDel="00000000" w:rsidP="00000000" w:rsidRDefault="00000000" w:rsidRPr="00000000" w14:paraId="00000008">
      <w:pPr>
        <w:widowControl w:val="0"/>
        <w:numPr>
          <w:ilvl w:val="0"/>
          <w:numId w:val="2"/>
        </w:numPr>
        <w:spacing w:line="240" w:lineRule="auto"/>
        <w:ind w:left="600" w:hanging="360"/>
      </w:pPr>
      <w:r w:rsidDel="00000000" w:rsidR="00000000" w:rsidRPr="00000000">
        <w:rPr>
          <w:b w:val="1"/>
          <w:bCs w:val="1"/>
          <w:rtl w:val="0"/>
        </w:rPr>
        <w:t xml:space="preserve">Fiscal Overhead &amp; Standby Penalties:</w:t>
      </w:r>
      <w:r w:rsidDel="00000000" w:rsidR="00000000" w:rsidRPr="00000000">
        <w:rPr>
          <w:rtl w:val="0"/>
        </w:rPr>
        <w:t xml:space="preserve"> Maintaining excess contracted empty beds during arrival lulls diverts millions of dollars from sponsor vetting, legal representation, and post-release tracking services.</w:t>
      </w:r>
    </w:p>
    <w:p w:rsidR="00000000" w:rsidDel="00000000" w:rsidP="00000000" w:rsidRDefault="00000000" w:rsidRPr="00000000" w14:paraId="00000009">
      <w:pPr>
        <w:widowControl w:val="0"/>
        <w:spacing w:after="240" w:line="240" w:lineRule="auto"/>
        <w:rPr/>
      </w:pPr>
      <w:r w:rsidDel="00000000" w:rsidR="00000000" w:rsidRPr="00000000">
        <w:rPr>
          <w:rtl w:val="0"/>
        </w:rPr>
        <w:t xml:space="preserve">Operational coordinators require a robust multi-horizon forecasting system (h = 1 to 30 days) that reliably projects active shelter populations, quantifies empirical daily capacity breach probabilities, stress-tests custom border flow scenarios, and sets sponsor discharge throughput targets.</w:t>
      </w:r>
    </w:p>
    <w:p w:rsidR="00000000" w:rsidDel="00000000" w:rsidP="00000000" w:rsidRDefault="00000000" w:rsidRPr="00000000" w14:paraId="0000000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 Key Empirical Findings (V8 Walk-Forward Benchmarks)</w:t>
      </w:r>
    </w:p>
    <w:p w:rsidR="00000000" w:rsidDel="00000000" w:rsidP="00000000" w:rsidRDefault="00000000" w:rsidRPr="00000000" w14:paraId="0000000B">
      <w:pPr>
        <w:widowControl w:val="0"/>
        <w:numPr>
          <w:ilvl w:val="0"/>
          <w:numId w:val="4"/>
        </w:numPr>
        <w:spacing w:line="240" w:lineRule="auto"/>
        <w:ind w:left="600" w:hanging="360"/>
      </w:pPr>
      <w:r w:rsidDel="00000000" w:rsidR="00000000" w:rsidRPr="00000000">
        <w:rPr>
          <w:b w:val="1"/>
          <w:bCs w:val="1"/>
          <w:rtl w:val="0"/>
        </w:rPr>
        <w:t xml:space="preserve">Top-Tier Performance of Damped Momentum &amp; Blends:</w:t>
      </w:r>
      <w:r w:rsidDel="00000000" w:rsidR="00000000" w:rsidRPr="00000000">
        <w:rPr>
          <w:rtl w:val="0"/>
        </w:rPr>
        <w:t xml:space="preserve"> Evaluated across 5 expanding walk-forward cross-validation folds scored strictly on observed (non-interpolated) origin and target dates, simple exponentially damped drift (DampedDrift, α = 0.15, ϕ = 0.96) and flow-aware blends (Ensemble_Damped) consistently form the top-performing model group. At the primary 14-day operational planning horizon (n = 185 observed test pairs), Ensemble_Damped (RelMAE = 0.71, MAE = 61.1 children) and DampedDrift (RelMAE = 0.72, MAE = 62.7 children) achieve a </w:t>
      </w:r>
      <w:r w:rsidDel="00000000" w:rsidR="00000000" w:rsidRPr="00000000">
        <w:rPr>
          <w:b w:val="1"/>
          <w:bCs w:val="1"/>
          <w:rtl w:val="0"/>
        </w:rPr>
        <w:t xml:space="preserve">28% to 29% error reduction over Naïve persistence</w:t>
      </w:r>
      <w:r w:rsidDel="00000000" w:rsidR="00000000" w:rsidRPr="00000000">
        <w:rPr>
          <w:rtl w:val="0"/>
        </w:rPr>
        <w:t xml:space="preserve"> (MAE = 86.5 children), while maintaining cross-fold worst-case errors strictly below persistence (Robustness = 0.92–0.98).</w:t>
      </w:r>
    </w:p>
    <w:p w:rsidR="00000000" w:rsidDel="00000000" w:rsidP="00000000" w:rsidRDefault="00000000" w:rsidRPr="00000000" w14:paraId="0000000C">
      <w:pPr>
        <w:widowControl w:val="0"/>
        <w:numPr>
          <w:ilvl w:val="0"/>
          <w:numId w:val="4"/>
        </w:numPr>
        <w:spacing w:line="240" w:lineRule="auto"/>
        <w:ind w:left="600" w:hanging="360"/>
      </w:pPr>
      <w:r w:rsidDel="00000000" w:rsidR="00000000" w:rsidRPr="00000000">
        <w:rPr>
          <w:b w:val="1"/>
          <w:bCs w:val="1"/>
          <w:rtl w:val="0"/>
        </w:rPr>
        <w:t xml:space="preserve">Failure of Complex Machine Learning (Negative Result):</w:t>
      </w:r>
      <w:r w:rsidDel="00000000" w:rsidR="00000000" w:rsidRPr="00000000">
        <w:rPr>
          <w:rtl w:val="0"/>
        </w:rPr>
        <w:t xml:space="preserve"> Autoregressive tree regressors (RandomForest, HistGB) and regularized linear models (Ridge) underperformed simple persistence across every evaluated horizon, yielding relative error scores of </w:t>
      </w:r>
      <w:r w:rsidDel="00000000" w:rsidR="00000000" w:rsidRPr="00000000">
        <w:rPr>
          <w:b w:val="1"/>
          <w:bCs w:val="1"/>
          <w:rtl w:val="0"/>
        </w:rPr>
        <w:t xml:space="preserve">RelMAE = 1.11 to 4.50 across horizons</w:t>
      </w:r>
      <w:r w:rsidDel="00000000" w:rsidR="00000000" w:rsidRPr="00000000">
        <w:rPr>
          <w:rtl w:val="0"/>
        </w:rPr>
        <w:t xml:space="preserve"> (</w:t>
      </w:r>
      <w:r w:rsidDel="00000000" w:rsidR="00000000" w:rsidRPr="00000000">
        <w:rPr>
          <w:b w:val="1"/>
          <w:bCs w:val="1"/>
          <w:rtl w:val="0"/>
        </w:rPr>
        <w:t xml:space="preserve">2.12 to 3.36 at h = 14 days</w:t>
      </w:r>
      <w:r w:rsidDel="00000000" w:rsidR="00000000" w:rsidRPr="00000000">
        <w:rPr>
          <w:rtl w:val="0"/>
        </w:rPr>
        <w:t xml:space="preserve">). Three contributing factors explain this outcome:</w:t>
      </w:r>
    </w:p>
    <w:p w:rsidR="00000000" w:rsidDel="00000000" w:rsidP="00000000" w:rsidRDefault="00000000" w:rsidRPr="00000000" w14:paraId="0000000D">
      <w:pPr>
        <w:widowControl w:val="0"/>
        <w:numPr>
          <w:ilvl w:val="1"/>
          <w:numId w:val="3"/>
        </w:numPr>
        <w:spacing w:line="240" w:lineRule="auto"/>
        <w:ind w:left="1200" w:hanging="360"/>
      </w:pPr>
      <w:r w:rsidDel="00000000" w:rsidR="00000000" w:rsidRPr="00000000">
        <w:rPr>
          <w:b w:val="1"/>
          <w:bCs w:val="1"/>
          <w:rtl w:val="0"/>
        </w:rPr>
        <w:t xml:space="preserve">Macro Regime Inversion:</w:t>
      </w:r>
      <w:r w:rsidDel="00000000" w:rsidR="00000000" w:rsidRPr="00000000">
        <w:rPr>
          <w:rtl w:val="0"/>
        </w:rPr>
        <w:t xml:space="preserve"> Active care load fell from peaks of </w:t>
      </w:r>
      <w:r w:rsidDel="00000000" w:rsidR="00000000" w:rsidRPr="00000000">
        <w:rPr>
          <w:b w:val="1"/>
          <w:bCs w:val="1"/>
          <w:rtl w:val="0"/>
        </w:rPr>
        <w:t xml:space="preserve">8,000–11,516 children</w:t>
      </w:r>
      <w:r w:rsidDel="00000000" w:rsidR="00000000" w:rsidRPr="00000000">
        <w:rPr>
          <w:rtl w:val="0"/>
        </w:rPr>
        <w:t xml:space="preserve"> in 2023–2024 to a depressed baseline of </w:t>
      </w:r>
      <w:r w:rsidDel="00000000" w:rsidR="00000000" w:rsidRPr="00000000">
        <w:rPr>
          <w:b w:val="1"/>
          <w:bCs w:val="1"/>
          <w:rtl w:val="0"/>
        </w:rPr>
        <w:t xml:space="preserve">1,972–2,550 children</w:t>
      </w:r>
      <w:r w:rsidDel="00000000" w:rsidR="00000000" w:rsidRPr="00000000">
        <w:rPr>
          <w:rtl w:val="0"/>
        </w:rPr>
        <w:t xml:space="preserve"> in late 2025. However, ablation models (Ridge_Lite and HistGB_Lite, restricted to a 365-day rolling training window without raw cbp_load) still underperformed persistence (RelMAE = 2.06–3.52 at h = 14), indicating that non-stationarity alone does not account for the divergence.</w:t>
      </w:r>
    </w:p>
    <w:p w:rsidR="00000000" w:rsidDel="00000000" w:rsidP="00000000" w:rsidRDefault="00000000" w:rsidRPr="00000000" w14:paraId="0000000E">
      <w:pPr>
        <w:widowControl w:val="0"/>
        <w:numPr>
          <w:ilvl w:val="1"/>
          <w:numId w:val="3"/>
        </w:numPr>
        <w:spacing w:line="240" w:lineRule="auto"/>
        <w:ind w:left="1200" w:hanging="360"/>
      </w:pPr>
      <w:r w:rsidDel="00000000" w:rsidR="00000000" w:rsidRPr="00000000">
        <w:rPr>
          <w:b w:val="1"/>
          <w:bCs w:val="1"/>
          <w:rtl w:val="0"/>
        </w:rPr>
        <w:t xml:space="preserve">Sparse Effective Sample Size:</w:t>
      </w:r>
      <w:r w:rsidDel="00000000" w:rsidR="00000000" w:rsidRPr="00000000">
        <w:rPr>
          <w:rtl w:val="0"/>
        </w:rPr>
        <w:t xml:space="preserve"> While 1,075 calendar days elapsed, public reporting omits Fridays and Saturdays, leaving only </w:t>
      </w:r>
      <w:r w:rsidDel="00000000" w:rsidR="00000000" w:rsidRPr="00000000">
        <w:rPr>
          <w:b w:val="1"/>
          <w:bCs w:val="1"/>
          <w:rtl w:val="0"/>
        </w:rPr>
        <w:t xml:space="preserve">720 genuinely observed days</w:t>
      </w:r>
      <w:r w:rsidDel="00000000" w:rsidR="00000000" w:rsidRPr="00000000">
        <w:rPr>
          <w:rtl w:val="0"/>
        </w:rPr>
        <w:t xml:space="preserve"> and </w:t>
      </w:r>
      <w:r w:rsidDel="00000000" w:rsidR="00000000" w:rsidRPr="00000000">
        <w:rPr>
          <w:b w:val="1"/>
          <w:bCs w:val="1"/>
          <w:rtl w:val="0"/>
        </w:rPr>
        <w:t xml:space="preserve">355 interpolated days</w:t>
      </w:r>
      <w:r w:rsidDel="00000000" w:rsidR="00000000" w:rsidRPr="00000000">
        <w:rPr>
          <w:rtl w:val="0"/>
        </w:rPr>
        <w:t xml:space="preserve"> (33.0%).</w:t>
      </w:r>
    </w:p>
    <w:p w:rsidR="00000000" w:rsidDel="00000000" w:rsidP="00000000" w:rsidRDefault="00000000" w:rsidRPr="00000000" w14:paraId="0000000F">
      <w:pPr>
        <w:widowControl w:val="0"/>
        <w:numPr>
          <w:ilvl w:val="1"/>
          <w:numId w:val="3"/>
        </w:numPr>
        <w:spacing w:line="240" w:lineRule="auto"/>
        <w:ind w:left="1200" w:hanging="360"/>
      </w:pPr>
      <w:r w:rsidDel="00000000" w:rsidR="00000000" w:rsidRPr="00000000">
        <w:rPr>
          <w:b w:val="1"/>
          <w:bCs w:val="1"/>
          <w:rtl w:val="0"/>
        </w:rPr>
        <w:t xml:space="preserve">Interpolation Artifacts:</w:t>
      </w:r>
      <w:r w:rsidDel="00000000" w:rsidR="00000000" w:rsidRPr="00000000">
        <w:rPr>
          <w:rtl w:val="0"/>
        </w:rPr>
        <w:t xml:space="preserve"> Linear interpolation across weekend reporting gaps generates synthetic 3-day constant-slope segments (</w:t>
      </w:r>
      <w:r w:rsidDel="00000000" w:rsidR="00000000" w:rsidRPr="00000000">
        <w:rPr>
          <w:b w:val="1"/>
          <w:bCs w:val="1"/>
          <w:rtl w:val="0"/>
        </w:rPr>
        <w:t xml:space="preserve">-45.0 children/day</w:t>
      </w:r>
      <w:r w:rsidDel="00000000" w:rsidR="00000000" w:rsidRPr="00000000">
        <w:rPr>
          <w:rtl w:val="0"/>
        </w:rPr>
        <w:t xml:space="preserve"> mean change on Fri/Sat/Sun), confounding recursive split decisions in multi-lag decision trees.</w:t>
      </w:r>
    </w:p>
    <w:p w:rsidR="00000000" w:rsidDel="00000000" w:rsidP="00000000" w:rsidRDefault="00000000" w:rsidRPr="00000000" w14:paraId="00000010">
      <w:pPr>
        <w:widowControl w:val="0"/>
        <w:numPr>
          <w:ilvl w:val="0"/>
          <w:numId w:val="4"/>
        </w:numPr>
        <w:spacing w:line="240" w:lineRule="auto"/>
        <w:ind w:left="600" w:hanging="360"/>
      </w:pPr>
      <w:r w:rsidDel="00000000" w:rsidR="00000000" w:rsidRPr="00000000">
        <w:rPr>
          <w:b w:val="1"/>
          <w:bCs w:val="1"/>
          <w:rtl w:val="0"/>
        </w:rPr>
        <w:t xml:space="preserve">Calibrated Out-of-Sample Risk Bands:</w:t>
      </w:r>
      <w:r w:rsidDel="00000000" w:rsidR="00000000" w:rsidRPr="00000000">
        <w:rPr>
          <w:rFonts w:ascii="Arial Unicode MS" w:cs="Arial Unicode MS" w:eastAsia="Arial Unicode MS" w:hAnsi="Arial Unicode MS"/>
          <w:rtl w:val="0"/>
        </w:rPr>
        <w:t xml:space="preserve"> Out-of-fold prediction intervals calibrated on Folds 1–4 and evaluated strictly on held-out Fold 5 (n ≈ 22–38 observed pairs/horizon) demonstrate that </w:t>
      </w:r>
      <w:r w:rsidDel="00000000" w:rsidR="00000000" w:rsidRPr="00000000">
        <w:rPr>
          <w:b w:val="1"/>
          <w:bCs w:val="1"/>
          <w:rtl w:val="0"/>
        </w:rPr>
        <w:t xml:space="preserve">DampedDrift achieves 85.0%–95.0% coverage</w:t>
      </w:r>
      <w:r w:rsidDel="00000000" w:rsidR="00000000" w:rsidRPr="00000000">
        <w:rPr>
          <w:rtl w:val="0"/>
        </w:rPr>
        <w:t xml:space="preserve"> and </w:t>
      </w:r>
      <w:r w:rsidDel="00000000" w:rsidR="00000000" w:rsidRPr="00000000">
        <w:rPr>
          <w:b w:val="1"/>
          <w:bCs w:val="1"/>
          <w:rtl w:val="0"/>
        </w:rPr>
        <w:t xml:space="preserve">Ensemble_Damped achieves 90.0%–93.3% coverage</w:t>
      </w:r>
      <w:r w:rsidDel="00000000" w:rsidR="00000000" w:rsidRPr="00000000">
        <w:rPr>
          <w:rtl w:val="0"/>
        </w:rPr>
        <w:t xml:space="preserve">, aligning with nominal 95% targets given sampling noise (±3%–4%). Conversely, Naive intervals are uncalibrated and excessively wide (±437 children at h = 14).</w:t>
      </w:r>
    </w:p>
    <w:p w:rsidR="00000000" w:rsidDel="00000000" w:rsidP="00000000" w:rsidRDefault="00000000" w:rsidRPr="00000000" w14:paraId="00000011">
      <w:pPr>
        <w:widowControl w:val="0"/>
        <w:numPr>
          <w:ilvl w:val="0"/>
          <w:numId w:val="4"/>
        </w:numPr>
        <w:spacing w:line="240" w:lineRule="auto"/>
        <w:ind w:left="600" w:hanging="360"/>
      </w:pPr>
      <w:r w:rsidDel="00000000" w:rsidR="00000000" w:rsidRPr="00000000">
        <w:rPr>
          <w:b w:val="1"/>
          <w:bCs w:val="1"/>
          <w:rtl w:val="0"/>
        </w:rPr>
        <w:t xml:space="preserve">Flow Accounting Discrepancy:</w:t>
      </w:r>
      <w:r w:rsidDel="00000000" w:rsidR="00000000" w:rsidRPr="00000000">
        <w:rPr>
          <w:rtl w:val="0"/>
        </w:rPr>
        <w:t xml:space="preserve"> The Pearson correlation between daily care-load changes (ΔC_t) and net public intake minus discharges (I_t - O_t) is only </w:t>
      </w:r>
      <w:r w:rsidDel="00000000" w:rsidR="00000000" w:rsidRPr="00000000">
        <w:rPr>
          <w:b w:val="1"/>
          <w:bCs w:val="1"/>
          <w:rtl w:val="0"/>
        </w:rPr>
        <w:t xml:space="preserve">r = 0.35</w:t>
      </w:r>
      <w:r w:rsidDel="00000000" w:rsidR="00000000" w:rsidRPr="00000000">
        <w:rPr>
          <w:rtl w:val="0"/>
        </w:rPr>
        <w:t xml:space="preserve"> across all 1,075 days. In late 2025, active care load expanded by </w:t>
      </w:r>
      <w:r w:rsidDel="00000000" w:rsidR="00000000" w:rsidRPr="00000000">
        <w:rPr>
          <w:b w:val="1"/>
          <w:bCs w:val="1"/>
          <w:rtl w:val="0"/>
        </w:rPr>
        <w:t xml:space="preserve">+3.89 children/day</w:t>
      </w:r>
      <w:r w:rsidDel="00000000" w:rsidR="00000000" w:rsidRPr="00000000">
        <w:rPr>
          <w:rtl w:val="0"/>
        </w:rPr>
        <w:t xml:space="preserve"> while net reported flow averaged </w:t>
      </w:r>
      <w:r w:rsidDel="00000000" w:rsidR="00000000" w:rsidRPr="00000000">
        <w:rPr>
          <w:b w:val="1"/>
          <w:bCs w:val="1"/>
          <w:rtl w:val="0"/>
        </w:rPr>
        <w:t xml:space="preserve">-0.71 children/day</w:t>
      </w:r>
      <w:r w:rsidDel="00000000" w:rsidR="00000000" w:rsidRPr="00000000">
        <w:rPr>
          <w:rtl w:val="0"/>
        </w:rPr>
        <w:t xml:space="preserve">, demonstrating that administrative records omit secondary exits (e.g., age-outs, non-ORR transfers, or reporting reconciliations).</w:t>
      </w:r>
    </w:p>
    <w:p w:rsidR="00000000" w:rsidDel="00000000" w:rsidP="00000000" w:rsidRDefault="00000000" w:rsidRPr="00000000" w14:paraId="0000001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3. Summary Operational Metric Scorecard</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Metric / Horizon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h = 1d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h = 3d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h = 7d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h = 14d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h = 21d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h = 30d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Naive MAE (Children)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18.9</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43.1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86.5</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138.6</w:t>
            </w:r>
          </w:p>
        </w:tc>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223.0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DampedDrift MAE (RelMAE)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5.2 (0.72)</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12.5 (0.66)</w:t>
            </w:r>
          </w:p>
        </w:tc>
        <w:tc>
          <w:tcPr>
            <w:shd w:fill="auto" w:val="clear"/>
            <w:tcMar>
              <w:top w:w="0.0" w:type="dxa"/>
              <w:left w:w="0.0" w:type="dxa"/>
              <w:bottom w:w="0.0" w:type="dxa"/>
              <w:right w:w="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26.9 (0.62)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62.7 (0.72)</w:t>
            </w:r>
          </w:p>
        </w:tc>
        <w:tc>
          <w:tcPr>
            <w:shd w:fill="auto" w:val="clear"/>
            <w:tcMar>
              <w:top w:w="0.0" w:type="dxa"/>
              <w:left w:w="0.0" w:type="dxa"/>
              <w:bottom w:w="0.0" w:type="dxa"/>
              <w:right w:w="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105.6 (0.76)</w:t>
            </w:r>
          </w:p>
        </w:tc>
        <w:tc>
          <w:tcPr>
            <w:shd w:fill="auto" w:val="clear"/>
            <w:tcMar>
              <w:top w:w="0.0" w:type="dxa"/>
              <w:left w:w="0.0" w:type="dxa"/>
              <w:bottom w:w="0.0" w:type="dxa"/>
              <w:right w:w="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162.1 (0.73)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Ensemble_Damped MAE (RelMAE)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5.5 (0.77)</w:t>
            </w:r>
          </w:p>
        </w:tc>
        <w:tc>
          <w:tcPr>
            <w:shd w:fill="auto" w:val="clear"/>
            <w:tcMar>
              <w:top w:w="0.0" w:type="dxa"/>
              <w:left w:w="0.0" w:type="dxa"/>
              <w:bottom w:w="0.0" w:type="dxa"/>
              <w:right w:w="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13.2 (0.70)</w:t>
            </w:r>
          </w:p>
        </w:tc>
        <w:tc>
          <w:tcPr>
            <w:shd w:fill="auto" w:val="clear"/>
            <w:tcMar>
              <w:top w:w="0.0" w:type="dxa"/>
              <w:left w:w="0.0" w:type="dxa"/>
              <w:bottom w:w="0.0" w:type="dxa"/>
              <w:right w:w="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28.5 (0.66)</w:t>
            </w:r>
          </w:p>
        </w:tc>
        <w:tc>
          <w:tcPr>
            <w:shd w:fill="auto" w:val="clear"/>
            <w:tcMar>
              <w:top w:w="0.0" w:type="dxa"/>
              <w:left w:w="0.0" w:type="dxa"/>
              <w:bottom w:w="0.0" w:type="dxa"/>
              <w:right w:w="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61.1 (0.71)</w:t>
            </w:r>
          </w:p>
        </w:tc>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98.6 (0.71)</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168.6 (0.76)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Complex ML Range (RF / HistGB / Ridge RelMAE)</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1.21–4.36</w:t>
            </w:r>
          </w:p>
        </w:tc>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1.56–4.50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2.07–3.74</w:t>
            </w:r>
          </w:p>
        </w:tc>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2.12–3.36</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1.60–2.80</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1.11–2.86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DampedDrift Fold-5 95% CI Coverage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85.0%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93.3%</w:t>
            </w:r>
          </w:p>
        </w:tc>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93.3%</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93.3%</w:t>
            </w:r>
          </w:p>
        </w:tc>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91.7%</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95.0%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Ensemble_Damped Fold-5 95% CI Coverage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83.3%</w:t>
            </w:r>
          </w:p>
        </w:tc>
        <w:tc>
          <w:tcPr>
            <w:shd w:fill="auto" w:val="clear"/>
            <w:tcMar>
              <w:top w:w="0.0" w:type="dxa"/>
              <w:left w:w="0.0" w:type="dxa"/>
              <w:bottom w:w="0.0" w:type="dxa"/>
              <w:right w:w="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93.3%</w:t>
            </w:r>
          </w:p>
        </w:tc>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90.0%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91.7%</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90.0%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91.7%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Best Trailing Discharge Pace MAE (7d Rate)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±9.8</w:t>
            </w:r>
          </w:p>
        </w:tc>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±21.4</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±44.7</w:t>
            </w:r>
          </w:p>
        </w:tc>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±77.4</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±125.6</w:t>
            </w:r>
          </w:p>
        </w:tc>
      </w:tr>
    </w:tbl>
    <w:p w:rsidR="00000000" w:rsidDel="00000000" w:rsidP="00000000" w:rsidRDefault="00000000" w:rsidRPr="00000000" w14:paraId="0000004B">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4. Strategic Recommendations for ORR Leadership</w:t>
      </w:r>
    </w:p>
    <w:p w:rsidR="00000000" w:rsidDel="00000000" w:rsidP="00000000" w:rsidRDefault="00000000" w:rsidRPr="00000000" w14:paraId="0000004C">
      <w:pPr>
        <w:widowControl w:val="0"/>
        <w:numPr>
          <w:ilvl w:val="0"/>
          <w:numId w:val="1"/>
        </w:numPr>
        <w:spacing w:line="240" w:lineRule="auto"/>
        <w:ind w:left="600" w:hanging="360"/>
      </w:pPr>
      <w:r w:rsidDel="00000000" w:rsidR="00000000" w:rsidRPr="00000000">
        <w:rPr>
          <w:b w:val="1"/>
          <w:bCs w:val="1"/>
          <w:rtl w:val="0"/>
        </w:rPr>
        <w:t xml:space="preserve">Standardize on Damped Drift &amp; Blends for Bed Allocation:</w:t>
      </w:r>
      <w:r w:rsidDel="00000000" w:rsidR="00000000" w:rsidRPr="00000000">
        <w:rPr>
          <w:rtl w:val="0"/>
        </w:rPr>
        <w:t xml:space="preserve"> Mandate DampedDrift and Ensemble_Damped as official baseline forecasting models for 7- to 21-day shelter resource planning.</w:t>
      </w:r>
    </w:p>
    <w:p w:rsidR="00000000" w:rsidDel="00000000" w:rsidP="00000000" w:rsidRDefault="00000000" w:rsidRPr="00000000" w14:paraId="0000004D">
      <w:pPr>
        <w:widowControl w:val="0"/>
        <w:numPr>
          <w:ilvl w:val="0"/>
          <w:numId w:val="1"/>
        </w:numPr>
        <w:spacing w:line="240" w:lineRule="auto"/>
        <w:ind w:left="600" w:hanging="360"/>
      </w:pPr>
      <w:r w:rsidDel="00000000" w:rsidR="00000000" w:rsidRPr="00000000">
        <w:rPr>
          <w:b w:val="1"/>
          <w:bCs w:val="1"/>
          <w:rtl w:val="0"/>
        </w:rPr>
        <w:t xml:space="preserve">Implement Probabilistic Capacity Trigger Protocols:</w:t>
      </w:r>
      <w:r w:rsidDel="00000000" w:rsidR="00000000" w:rsidRPr="00000000">
        <w:rPr>
          <w:rtl w:val="0"/>
        </w:rPr>
        <w:t xml:space="preserve"> Replace rigid, static occupancy thresholds with probabilistic indicators: trigger </w:t>
      </w:r>
      <w:r w:rsidDel="00000000" w:rsidR="00000000" w:rsidRPr="00000000">
        <w:rPr>
          <w:b w:val="1"/>
          <w:bCs w:val="1"/>
          <w:rtl w:val="0"/>
        </w:rPr>
        <w:t xml:space="preserve">Watch</w:t>
      </w:r>
      <w:r w:rsidDel="00000000" w:rsidR="00000000" w:rsidRPr="00000000">
        <w:rPr>
          <w:rtl w:val="0"/>
        </w:rPr>
        <w:t xml:space="preserve"> status when the 30-day breach probability exceeds </w:t>
      </w:r>
      <w:r w:rsidDel="00000000" w:rsidR="00000000" w:rsidRPr="00000000">
        <w:rPr>
          <w:b w:val="1"/>
          <w:bCs w:val="1"/>
          <w:rtl w:val="0"/>
        </w:rPr>
        <w:t xml:space="preserve">10%</w:t>
      </w:r>
      <w:r w:rsidDel="00000000" w:rsidR="00000000" w:rsidRPr="00000000">
        <w:rPr>
          <w:rtl w:val="0"/>
        </w:rPr>
        <w:t xml:space="preserve"> or occupancy reaches </w:t>
      </w:r>
      <w:r w:rsidDel="00000000" w:rsidR="00000000" w:rsidRPr="00000000">
        <w:rPr>
          <w:rFonts w:ascii="Arial Unicode MS" w:cs="Arial Unicode MS" w:eastAsia="Arial Unicode MS" w:hAnsi="Arial Unicode MS"/>
          <w:b w:val="1"/>
          <w:bCs w:val="1"/>
          <w:rtl w:val="0"/>
        </w:rPr>
        <w:t xml:space="preserve">≥ 95%</w:t>
      </w:r>
      <w:r w:rsidDel="00000000" w:rsidR="00000000" w:rsidRPr="00000000">
        <w:rPr>
          <w:rtl w:val="0"/>
        </w:rPr>
        <w:t xml:space="preserve">, and elevate to </w:t>
      </w:r>
      <w:r w:rsidDel="00000000" w:rsidR="00000000" w:rsidRPr="00000000">
        <w:rPr>
          <w:b w:val="1"/>
          <w:bCs w:val="1"/>
          <w:rtl w:val="0"/>
        </w:rPr>
        <w:t xml:space="preserve">Critical</w:t>
      </w:r>
      <w:r w:rsidDel="00000000" w:rsidR="00000000" w:rsidRPr="00000000">
        <w:rPr>
          <w:rtl w:val="0"/>
        </w:rPr>
        <w:t xml:space="preserve"> when the 7-day breach probability exceeds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04E">
      <w:pPr>
        <w:widowControl w:val="0"/>
        <w:numPr>
          <w:ilvl w:val="0"/>
          <w:numId w:val="1"/>
        </w:numPr>
        <w:spacing w:line="240" w:lineRule="auto"/>
        <w:ind w:left="600" w:hanging="360"/>
      </w:pPr>
      <w:r w:rsidDel="00000000" w:rsidR="00000000" w:rsidRPr="00000000">
        <w:rPr>
          <w:b w:val="1"/>
          <w:bCs w:val="1"/>
          <w:rtl w:val="0"/>
        </w:rPr>
        <w:t xml:space="preserve">Anchor Sponsor Clearance Targets to Trailing Velocity:</w:t>
      </w:r>
      <w:r w:rsidDel="00000000" w:rsidR="00000000" w:rsidRPr="00000000">
        <w:rPr>
          <w:rtl w:val="0"/>
        </w:rPr>
        <w:t xml:space="preserve"> Set weekly case-management placement quotas using the 7-day trailing discharge pace, which exhibits the lowest out-of-fold cumulative tracking error across all operational horizons (±44.7 children over 14 days).</w:t>
      </w:r>
    </w:p>
    <w:p w:rsidR="00000000" w:rsidDel="00000000" w:rsidP="00000000" w:rsidRDefault="00000000" w:rsidRPr="00000000" w14:paraId="0000004F">
      <w:pPr>
        <w:widowControl w:val="0"/>
        <w:numPr>
          <w:ilvl w:val="0"/>
          <w:numId w:val="1"/>
        </w:numPr>
        <w:spacing w:line="240" w:lineRule="auto"/>
        <w:ind w:left="600" w:hanging="360"/>
      </w:pPr>
      <w:r w:rsidDel="00000000" w:rsidR="00000000" w:rsidRPr="00000000">
        <w:rPr>
          <w:b w:val="1"/>
          <w:bCs w:val="1"/>
          <w:rtl w:val="0"/>
        </w:rPr>
        <w:t xml:space="preserve">Modernize Public Data Systems:</w:t>
      </w:r>
      <w:r w:rsidDel="00000000" w:rsidR="00000000" w:rsidRPr="00000000">
        <w:rPr>
          <w:rtl w:val="0"/>
        </w:rPr>
        <w:t xml:space="preserve"> Require daily publishing that disaggregates weekend releases and captures latent exit pathways, resolving the 0.35 mass-balance accounting gap.</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