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Instructions — Out of Pocket Expenses &amp; Place of Supply</w:t>
      </w:r>
    </w:p>
    <w:p>
      <w:pPr>
        <w:spacing w:after="120"/>
      </w:pPr>
      <w:r>
        <w:t xml:space="preserve">GST Billing Utility · Instructions to Developer · 02 October 2026</w:t>
      </w:r>
    </w:p>
    <w:p>
      <w:pPr>
        <w:spacing w:after="120"/>
      </w:pPr>
      <w:r>
        <w:t xml:space="preserve">We need two changes in the billing utility. Please make them as described below.</w:t>
      </w:r>
    </w:p>
    <w:p>
      <w:pPr>
        <w:pStyle w:val="Heading1"/>
      </w:pPr>
      <w:r>
        <w:t xml:space="preserve">Change 1 — Out of Pocket Expenses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 option "Add Out of Pocket Expenses" below the item lines on the invoice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should have two fields: Description and Amount. One such line per invoice.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GST is charged on this amount. Ignore it completely while calculating GST.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this amount to the invoice total after GST. Invoice Total = Taxable Value + GST + Out of Pocket Expenses.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printed invoice, show it as a separate line below the GST lines, with its description. If no amount is entered, do not show the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should not be part of the item lines, the taxable value or the HSN/SAC summary.</w:t>
      </w:r>
    </w:p>
    <w:p>
      <w:pPr>
        <w:spacing w:after="120"/>
      </w:pPr>
      <w:r>
        <w:t xml:space="preserve">Example: Taxable value ₹50,000, GST @18% ₹9,000, Out of Pocket Expenses ₹3,000. Invoice Total = ₹62,000. GST stays ₹9,000.</w:t>
      </w:r>
    </w:p>
    <w:p>
      <w:pPr>
        <w:pStyle w:val="Heading1"/>
      </w:pPr>
      <w:r>
        <w:t xml:space="preserve">Change 2 — Place of Supply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field "Place of Supply" on the invoice, to select the state (state name with state code, e.g. 07 - Delhi).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By default, fill the recipient's state. The user can change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Place of Supply on the invoice.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change the GST calculation. IGST or CGST/SGST will continue to be decided by the recipient's location, as it is now. Using Place of Supply for deciding the tax will be taken up in the next version.</w:t>
      </w:r>
    </w:p>
    <w:p>
      <w:pPr>
        <w:pStyle w:val="Heading1"/>
      </w:pPr>
      <w:r>
        <w:t xml:space="preserve">General</w:t>
      </w:r>
    </w:p>
    <w:p>
      <w:pPr>
        <w:spacing w:after="120"/>
      </w:pPr>
      <w:r>
        <w:t xml:space="preserve">Existing invoices should not change in amount.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GST Billing Utility —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2026-10-02T10:12:04.375Z</dcterms:created>
  <dcterms:modified xsi:type="dcterms:W3CDTF">2026-10-02T10:12:04.375Z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