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MSME Billing Utility — Phase 1 Requirements Specification</w:t>
      </w:r>
    </w:p>
    <w:p>
      <w:pPr>
        <w:spacing w:after="100"/>
      </w:pPr>
      <w:r>
        <w:rPr>
          <w:b/>
          <w:bCs/>
          <w:sz w:val="22"/>
          <w:szCs w:val="22"/>
        </w:rPr>
        <w:t xml:space="preserve">Prepared for: Development Handoff</w:t>
      </w:r>
    </w:p>
    <w:p>
      <w:pPr>
        <w:spacing w:after="300"/>
      </w:pPr>
      <w:r>
        <w:rPr>
          <w:i/>
          <w:iCs/>
        </w:rPr>
        <w:t xml:space="preserve">Purpose: This document lists every improvement requirement finalized for the invoicing utility. Each row is a discrete, actionable requirement. No code is included — this is intended purely as the specification for the developer to implement and test against.</w:t>
      </w:r>
    </w:p>
    <w:p>
      <w:pPr>
        <w:pStyle w:val="Heading1"/>
        <w:spacing w:after="150" w:before="300"/>
      </w:pPr>
      <w:r>
        <w:t xml:space="preserve">1. Company Master (Setup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4858" w:color="auto" w:val="clear"/>
            <w:tcMar>
              <w:top w:type="dxa" w:w="100"/>
              <w:left w:type="dxa" w:w="120"/>
              <w:bottom w:type="dxa" w:w="100"/>
              <w:right w:type="dxa" w:w="120"/>
            </w:tcMar>
          </w:tcPr>
          <w:p>
            <w:r>
              <w:rPr>
                <w:b/>
                <w:bCs/>
                <w:color w:val="FFFFFF"/>
              </w:rPr>
              <w:t xml:space="preserve">Requirement</w:t>
            </w:r>
          </w:p>
        </w:tc>
        <w:tc>
          <w:tcPr>
            <w:tcW w:type="dxa" w:w="6760"/>
            <w:shd w:fill="2F4858" w:color="auto" w:val="clear"/>
            <w:tcMar>
              <w:top w:type="dxa" w:w="100"/>
              <w:left w:type="dxa" w:w="120"/>
              <w:bottom w:type="dxa" w:w="100"/>
              <w:right w:type="dxa" w:w="120"/>
            </w:tcMar>
          </w:tcPr>
          <w:p>
            <w:r>
              <w:rPr>
                <w:b/>
                <w:bCs/>
                <w:color w:val="FFFFFF"/>
              </w:rPr>
              <w:t xml:space="preserve">Description</w:t>
            </w:r>
          </w:p>
        </w:tc>
      </w:tr>
      <w:tr>
        <w:tc>
          <w:tcPr>
            <w:tcW w:type="dxa" w:w="2600"/>
            <w:tcMar>
              <w:top w:type="dxa" w:w="100"/>
              <w:left w:type="dxa" w:w="120"/>
              <w:bottom w:type="dxa" w:w="100"/>
              <w:right w:type="dxa" w:w="120"/>
            </w:tcMar>
          </w:tcPr>
          <w:p>
            <w:r>
              <w:rPr>
                <w:b w:val="false"/>
                <w:bCs w:val="false"/>
                <w:color w:val="000000"/>
              </w:rPr>
              <w:t xml:space="preserve">Udyam Registration Number field</w:t>
            </w:r>
          </w:p>
        </w:tc>
        <w:tc>
          <w:tcPr>
            <w:tcW w:type="dxa" w:w="6760"/>
            <w:tcMar>
              <w:top w:type="dxa" w:w="100"/>
              <w:left w:type="dxa" w:w="120"/>
              <w:bottom w:type="dxa" w:w="100"/>
              <w:right w:type="dxa" w:w="120"/>
            </w:tcMar>
          </w:tcPr>
          <w:p>
            <w:r>
              <w:rPr>
                <w:b w:val="false"/>
                <w:bCs w:val="false"/>
                <w:color w:val="000000"/>
              </w:rPr>
              <w:t xml:space="preserve">Add a new text field "Udyam Registration Number" to the Company Master setup screen, entered the same way GSTIN/CIN are entered today. This must print on every invoice next to GSTIN/CIN in the header.</w:t>
            </w:r>
          </w:p>
        </w:tc>
      </w:tr>
      <w:tr>
        <w:tc>
          <w:tcPr>
            <w:tcW w:type="dxa" w:w="2600"/>
            <w:tcMar>
              <w:top w:type="dxa" w:w="100"/>
              <w:left w:type="dxa" w:w="120"/>
              <w:bottom w:type="dxa" w:w="100"/>
              <w:right w:type="dxa" w:w="120"/>
            </w:tcMar>
          </w:tcPr>
          <w:p>
            <w:r>
              <w:rPr>
                <w:b w:val="false"/>
                <w:bCs w:val="false"/>
                <w:color w:val="000000"/>
              </w:rPr>
              <w:t xml:space="preserve">Company Logo upload</w:t>
            </w:r>
          </w:p>
        </w:tc>
        <w:tc>
          <w:tcPr>
            <w:tcW w:type="dxa" w:w="6760"/>
            <w:tcMar>
              <w:top w:type="dxa" w:w="100"/>
              <w:left w:type="dxa" w:w="120"/>
              <w:bottom w:type="dxa" w:w="100"/>
              <w:right w:type="dxa" w:w="120"/>
            </w:tcMar>
          </w:tcPr>
          <w:p>
            <w:r>
              <w:rPr>
                <w:b w:val="false"/>
                <w:bCs w:val="false"/>
                <w:color w:val="000000"/>
              </w:rPr>
              <w:t xml:space="preserve">Add an image upload field for the company logo. Store the uploaded file on the server and print it top-left on every invoice (domestic and export), at a fixed size (~26mm × 16mm). If no logo is uploaded, leave the space blank rather than showing a broken image.</w:t>
            </w:r>
          </w:p>
        </w:tc>
      </w:tr>
      <w:tr>
        <w:tc>
          <w:tcPr>
            <w:tcW w:type="dxa" w:w="2600"/>
            <w:tcMar>
              <w:top w:type="dxa" w:w="100"/>
              <w:left w:type="dxa" w:w="120"/>
              <w:bottom w:type="dxa" w:w="100"/>
              <w:right w:type="dxa" w:w="120"/>
            </w:tcMar>
          </w:tcPr>
          <w:p>
            <w:r>
              <w:rPr>
                <w:b w:val="false"/>
                <w:bCs w:val="false"/>
                <w:color w:val="000000"/>
              </w:rPr>
              <w:t xml:space="preserve">Authorized Signature upload</w:t>
            </w:r>
          </w:p>
        </w:tc>
        <w:tc>
          <w:tcPr>
            <w:tcW w:type="dxa" w:w="6760"/>
            <w:tcMar>
              <w:top w:type="dxa" w:w="100"/>
              <w:left w:type="dxa" w:w="120"/>
              <w:bottom w:type="dxa" w:w="100"/>
              <w:right w:type="dxa" w:w="120"/>
            </w:tcMar>
          </w:tcPr>
          <w:p>
            <w:r>
              <w:rPr>
                <w:b w:val="false"/>
                <w:bCs w:val="false"/>
                <w:color w:val="000000"/>
              </w:rPr>
              <w:t xml:space="preserve">Add an image upload field for a scanned/digital signature. Print this image in the signatory block at the bottom of every invoice, above the words "Authorized Signatory". If not uploaded, leave blank space (no placeholder text).</w:t>
            </w:r>
          </w:p>
        </w:tc>
      </w:tr>
      <w:tr>
        <w:tc>
          <w:tcPr>
            <w:tcW w:type="dxa" w:w="2600"/>
            <w:tcMar>
              <w:top w:type="dxa" w:w="100"/>
              <w:left w:type="dxa" w:w="120"/>
              <w:bottom w:type="dxa" w:w="100"/>
              <w:right w:type="dxa" w:w="120"/>
            </w:tcMar>
          </w:tcPr>
          <w:p>
            <w:r>
              <w:rPr>
                <w:b w:val="false"/>
                <w:bCs w:val="false"/>
                <w:color w:val="000000"/>
              </w:rPr>
              <w:t xml:space="preserve">Campaign Tagline field</w:t>
            </w:r>
          </w:p>
        </w:tc>
        <w:tc>
          <w:tcPr>
            <w:tcW w:type="dxa" w:w="6760"/>
            <w:tcMar>
              <w:top w:type="dxa" w:w="100"/>
              <w:left w:type="dxa" w:w="120"/>
              <w:bottom w:type="dxa" w:w="100"/>
              <w:right w:type="dxa" w:w="120"/>
            </w:tcMar>
          </w:tcPr>
          <w:p>
            <w:r>
              <w:rPr>
                <w:b w:val="false"/>
                <w:bCs w:val="false"/>
                <w:color w:val="000000"/>
              </w:rPr>
              <w:t xml:space="preserve">Add a single-line text field, editable at any time. This is NOT a list/rotation — only one tagline is active at a time, manually changed by the user whenever they want to update it. Print it as a banner (contrasting background color, centered white text) at the very bottom of every invoice, below the signature block.</w:t>
            </w:r>
          </w:p>
        </w:tc>
      </w:tr>
      <w:tr>
        <w:tc>
          <w:tcPr>
            <w:tcW w:type="dxa" w:w="2600"/>
            <w:tcMar>
              <w:top w:type="dxa" w:w="100"/>
              <w:left w:type="dxa" w:w="120"/>
              <w:bottom w:type="dxa" w:w="100"/>
              <w:right w:type="dxa" w:w="120"/>
            </w:tcMar>
          </w:tcPr>
          <w:p>
            <w:r>
              <w:rPr>
                <w:b w:val="false"/>
                <w:bCs w:val="false"/>
                <w:color w:val="000000"/>
              </w:rPr>
              <w:t xml:space="preserve">Terms &amp; Notes field</w:t>
            </w:r>
          </w:p>
        </w:tc>
        <w:tc>
          <w:tcPr>
            <w:tcW w:type="dxa" w:w="6760"/>
            <w:tcMar>
              <w:top w:type="dxa" w:w="100"/>
              <w:left w:type="dxa" w:w="120"/>
              <w:bottom w:type="dxa" w:w="100"/>
              <w:right w:type="dxa" w:w="120"/>
            </w:tcMar>
          </w:tcPr>
          <w:p>
            <w:r>
              <w:rPr>
                <w:b w:val="false"/>
                <w:bCs w:val="false"/>
                <w:color w:val="000000"/>
              </w:rPr>
              <w:t xml:space="preserve">Add a multi-line text field where the user can enter their own terms (one line per bullet point). If left blank, the system should fall back to a sensible default set of terms (payment reminder, MSMED Act interest clause, discrepancy reporting window). This prints as a bulleted list box near the bottom of the invoice.</w:t>
            </w:r>
          </w:p>
        </w:tc>
      </w:tr>
      <w:tr>
        <w:tc>
          <w:tcPr>
            <w:tcW w:type="dxa" w:w="2600"/>
            <w:tcMar>
              <w:top w:type="dxa" w:w="100"/>
              <w:left w:type="dxa" w:w="120"/>
              <w:bottom w:type="dxa" w:w="100"/>
              <w:right w:type="dxa" w:w="120"/>
            </w:tcMar>
          </w:tcPr>
          <w:p>
            <w:r>
              <w:rPr>
                <w:b w:val="false"/>
                <w:bCs w:val="false"/>
                <w:color w:val="000000"/>
              </w:rPr>
              <w:t xml:space="preserve">Domestic Bank Details</w:t>
            </w:r>
          </w:p>
        </w:tc>
        <w:tc>
          <w:tcPr>
            <w:tcW w:type="dxa" w:w="6760"/>
            <w:tcMar>
              <w:top w:type="dxa" w:w="100"/>
              <w:left w:type="dxa" w:w="120"/>
              <w:bottom w:type="dxa" w:w="100"/>
              <w:right w:type="dxa" w:w="120"/>
            </w:tcMar>
          </w:tcPr>
          <w:p>
            <w:r>
              <w:rPr>
                <w:b w:val="false"/>
                <w:bCs w:val="false"/>
                <w:color w:val="000000"/>
              </w:rPr>
              <w:t xml:space="preserve">Fields: Bank Name, Account Number, IFSC Code, UPI ID. These print in a "Bank Details" box on domestic invoices only.</w:t>
            </w:r>
          </w:p>
        </w:tc>
      </w:tr>
      <w:tr>
        <w:tc>
          <w:tcPr>
            <w:tcW w:type="dxa" w:w="2600"/>
            <w:tcMar>
              <w:top w:type="dxa" w:w="100"/>
              <w:left w:type="dxa" w:w="120"/>
              <w:bottom w:type="dxa" w:w="100"/>
              <w:right w:type="dxa" w:w="120"/>
            </w:tcMar>
          </w:tcPr>
          <w:p>
            <w:r>
              <w:rPr>
                <w:b w:val="false"/>
                <w:bCs w:val="false"/>
                <w:color w:val="000000"/>
              </w:rPr>
              <w:t xml:space="preserve">International Bank Details</w:t>
            </w:r>
          </w:p>
        </w:tc>
        <w:tc>
          <w:tcPr>
            <w:tcW w:type="dxa" w:w="6760"/>
            <w:tcMar>
              <w:top w:type="dxa" w:w="100"/>
              <w:left w:type="dxa" w:w="120"/>
              <w:bottom w:type="dxa" w:w="100"/>
              <w:right w:type="dxa" w:w="120"/>
            </w:tcMar>
          </w:tcPr>
          <w:p>
            <w:r>
              <w:rPr>
                <w:b w:val="false"/>
                <w:bCs w:val="false"/>
                <w:color w:val="000000"/>
              </w:rPr>
              <w:t xml:space="preserve">Separate fields: International Bank Name &amp; Branch, International Account Number, SWIFT Code, Bank Address. These print only on export invoices, replacing the domestic bank box entirely (not shown alongside it).</w:t>
            </w:r>
          </w:p>
        </w:tc>
      </w:tr>
      <w:tr>
        <w:tc>
          <w:tcPr>
            <w:tcW w:type="dxa" w:w="2600"/>
            <w:tcMar>
              <w:top w:type="dxa" w:w="100"/>
              <w:left w:type="dxa" w:w="120"/>
              <w:bottom w:type="dxa" w:w="100"/>
              <w:right w:type="dxa" w:w="120"/>
            </w:tcMar>
          </w:tcPr>
          <w:p>
            <w:r>
              <w:rPr>
                <w:b w:val="false"/>
                <w:bCs w:val="false"/>
                <w:color w:val="000000"/>
              </w:rPr>
              <w:t xml:space="preserve">Contact Email &amp; Mobile</w:t>
            </w:r>
          </w:p>
        </w:tc>
        <w:tc>
          <w:tcPr>
            <w:tcW w:type="dxa" w:w="6760"/>
            <w:tcMar>
              <w:top w:type="dxa" w:w="100"/>
              <w:left w:type="dxa" w:w="120"/>
              <w:bottom w:type="dxa" w:w="100"/>
              <w:right w:type="dxa" w:w="120"/>
            </w:tcMar>
          </w:tcPr>
          <w:p>
            <w:r>
              <w:rPr>
                <w:b w:val="false"/>
                <w:bCs w:val="false"/>
                <w:color w:val="000000"/>
              </w:rPr>
              <w:t xml:space="preserve">Add these two fields; print them in the header line under the company address.</w:t>
            </w:r>
          </w:p>
        </w:tc>
      </w:tr>
    </w:tbl>
    <w:p>
      <w:pPr>
        <w:pStyle w:val="Heading1"/>
        <w:spacing w:after="150" w:before="300"/>
      </w:pPr>
      <w:r>
        <w:t xml:space="preserve">2. Customer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4858" w:color="auto" w:val="clear"/>
            <w:tcMar>
              <w:top w:type="dxa" w:w="100"/>
              <w:left w:type="dxa" w:w="120"/>
              <w:bottom w:type="dxa" w:w="100"/>
              <w:right w:type="dxa" w:w="120"/>
            </w:tcMar>
          </w:tcPr>
          <w:p>
            <w:r>
              <w:rPr>
                <w:b/>
                <w:bCs/>
                <w:color w:val="FFFFFF"/>
              </w:rPr>
              <w:t xml:space="preserve">Requirement</w:t>
            </w:r>
          </w:p>
        </w:tc>
        <w:tc>
          <w:tcPr>
            <w:tcW w:type="dxa" w:w="6760"/>
            <w:shd w:fill="2F4858" w:color="auto" w:val="clear"/>
            <w:tcMar>
              <w:top w:type="dxa" w:w="100"/>
              <w:left w:type="dxa" w:w="120"/>
              <w:bottom w:type="dxa" w:w="100"/>
              <w:right w:type="dxa" w:w="120"/>
            </w:tcMar>
          </w:tcPr>
          <w:p>
            <w:r>
              <w:rPr>
                <w:b/>
                <w:bCs/>
                <w:color w:val="FFFFFF"/>
              </w:rPr>
              <w:t xml:space="preserve">Description</w:t>
            </w:r>
          </w:p>
        </w:tc>
      </w:tr>
      <w:tr>
        <w:tc>
          <w:tcPr>
            <w:tcW w:type="dxa" w:w="2600"/>
            <w:tcMar>
              <w:top w:type="dxa" w:w="100"/>
              <w:left w:type="dxa" w:w="120"/>
              <w:bottom w:type="dxa" w:w="100"/>
              <w:right w:type="dxa" w:w="120"/>
            </w:tcMar>
          </w:tcPr>
          <w:p>
            <w:r>
              <w:rPr>
                <w:b w:val="false"/>
                <w:bCs w:val="false"/>
                <w:color w:val="000000"/>
              </w:rPr>
              <w:t xml:space="preserve">Mandatory Payment Terms</w:t>
            </w:r>
          </w:p>
        </w:tc>
        <w:tc>
          <w:tcPr>
            <w:tcW w:type="dxa" w:w="6760"/>
            <w:tcMar>
              <w:top w:type="dxa" w:w="100"/>
              <w:left w:type="dxa" w:w="120"/>
              <w:bottom w:type="dxa" w:w="100"/>
              <w:right w:type="dxa" w:w="120"/>
            </w:tcMar>
          </w:tcPr>
          <w:p>
            <w:r>
              <w:rPr>
                <w:b w:val="false"/>
                <w:bCs w:val="false"/>
                <w:color w:val="000000"/>
              </w:rPr>
              <w:t xml:space="preserve">Add a required numeric field "Payment Terms (days)" on every customer record. The system must NOT allow saving a customer without this field filled in — no default fallback, no skipping. This is what drives automatic due-date calculation on every invoice for that customer.</w:t>
            </w:r>
          </w:p>
        </w:tc>
      </w:tr>
      <w:tr>
        <w:tc>
          <w:tcPr>
            <w:tcW w:type="dxa" w:w="2600"/>
            <w:tcMar>
              <w:top w:type="dxa" w:w="100"/>
              <w:left w:type="dxa" w:w="120"/>
              <w:bottom w:type="dxa" w:w="100"/>
              <w:right w:type="dxa" w:w="120"/>
            </w:tcMar>
          </w:tcPr>
          <w:p>
            <w:r>
              <w:rPr>
                <w:b w:val="false"/>
                <w:bCs w:val="false"/>
                <w:color w:val="000000"/>
              </w:rPr>
              <w:t xml:space="preserve">Foreign Customer flag</w:t>
            </w:r>
          </w:p>
        </w:tc>
        <w:tc>
          <w:tcPr>
            <w:tcW w:type="dxa" w:w="6760"/>
            <w:tcMar>
              <w:top w:type="dxa" w:w="100"/>
              <w:left w:type="dxa" w:w="120"/>
              <w:bottom w:type="dxa" w:w="100"/>
              <w:right w:type="dxa" w:w="120"/>
            </w:tcMar>
          </w:tcPr>
          <w:p>
            <w:r>
              <w:rPr>
                <w:b w:val="false"/>
                <w:bCs w:val="false"/>
                <w:color w:val="000000"/>
              </w:rPr>
              <w:t xml:space="preserve">Add a Yes/No toggle "Is this a foreign (export) customer?" on the customer form. When set to Yes: (a) the GSTIN field must be hidden/disabled and forced blank — never show a GSTIN for a foreign customer even if one was typed in before toggling; (b) a "Country" field becomes required instead.</w:t>
            </w:r>
          </w:p>
        </w:tc>
      </w:tr>
      <w:tr>
        <w:tc>
          <w:tcPr>
            <w:tcW w:type="dxa" w:w="2600"/>
            <w:tcMar>
              <w:top w:type="dxa" w:w="100"/>
              <w:left w:type="dxa" w:w="120"/>
              <w:bottom w:type="dxa" w:w="100"/>
              <w:right w:type="dxa" w:w="120"/>
            </w:tcMar>
          </w:tcPr>
          <w:p>
            <w:r>
              <w:rPr>
                <w:b w:val="false"/>
                <w:bCs w:val="false"/>
                <w:color w:val="000000"/>
              </w:rPr>
              <w:t xml:space="preserve">GSTIN required for domestic</w:t>
            </w:r>
          </w:p>
        </w:tc>
        <w:tc>
          <w:tcPr>
            <w:tcW w:type="dxa" w:w="6760"/>
            <w:tcMar>
              <w:top w:type="dxa" w:w="100"/>
              <w:left w:type="dxa" w:w="120"/>
              <w:bottom w:type="dxa" w:w="100"/>
              <w:right w:type="dxa" w:w="120"/>
            </w:tcMar>
          </w:tcPr>
          <w:p>
            <w:r>
              <w:rPr>
                <w:b w:val="false"/>
                <w:bCs w:val="false"/>
                <w:color w:val="000000"/>
              </w:rPr>
              <w:t xml:space="preserve">If the customer is NOT marked foreign, GSTIN must be a required field (invoice creation should be blocked without it, since it's needed for the IGST/CGST-SGST logic below).</w:t>
            </w:r>
          </w:p>
        </w:tc>
      </w:tr>
    </w:tbl>
    <w:p>
      <w:pPr>
        <w:pStyle w:val="Heading1"/>
        <w:spacing w:after="150" w:before="300"/>
      </w:pPr>
      <w:r>
        <w:t xml:space="preserve">3. LUT Master (New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4858" w:color="auto" w:val="clear"/>
            <w:tcMar>
              <w:top w:type="dxa" w:w="100"/>
              <w:left w:type="dxa" w:w="120"/>
              <w:bottom w:type="dxa" w:w="100"/>
              <w:right w:type="dxa" w:w="120"/>
            </w:tcMar>
          </w:tcPr>
          <w:p>
            <w:r>
              <w:rPr>
                <w:b/>
                <w:bCs/>
                <w:color w:val="FFFFFF"/>
              </w:rPr>
              <w:t xml:space="preserve">Requirement</w:t>
            </w:r>
          </w:p>
        </w:tc>
        <w:tc>
          <w:tcPr>
            <w:tcW w:type="dxa" w:w="6760"/>
            <w:shd w:fill="2F4858" w:color="auto" w:val="clear"/>
            <w:tcMar>
              <w:top w:type="dxa" w:w="100"/>
              <w:left w:type="dxa" w:w="120"/>
              <w:bottom w:type="dxa" w:w="100"/>
              <w:right w:type="dxa" w:w="120"/>
            </w:tcMar>
          </w:tcPr>
          <w:p>
            <w:r>
              <w:rPr>
                <w:b/>
                <w:bCs/>
                <w:color w:val="FFFFFF"/>
              </w:rPr>
              <w:t xml:space="preserve">Description</w:t>
            </w:r>
          </w:p>
        </w:tc>
      </w:tr>
      <w:tr>
        <w:tc>
          <w:tcPr>
            <w:tcW w:type="dxa" w:w="2600"/>
            <w:tcMar>
              <w:top w:type="dxa" w:w="100"/>
              <w:left w:type="dxa" w:w="120"/>
              <w:bottom w:type="dxa" w:w="100"/>
              <w:right w:type="dxa" w:w="120"/>
            </w:tcMar>
          </w:tcPr>
          <w:p>
            <w:r>
              <w:rPr>
                <w:b w:val="false"/>
                <w:bCs w:val="false"/>
                <w:color w:val="000000"/>
              </w:rPr>
              <w:t xml:space="preserve">LUT record fields</w:t>
            </w:r>
          </w:p>
        </w:tc>
        <w:tc>
          <w:tcPr>
            <w:tcW w:type="dxa" w:w="6760"/>
            <w:tcMar>
              <w:top w:type="dxa" w:w="100"/>
              <w:left w:type="dxa" w:w="120"/>
              <w:bottom w:type="dxa" w:w="100"/>
              <w:right w:type="dxa" w:w="120"/>
            </w:tcMar>
          </w:tcPr>
          <w:p>
            <w:r>
              <w:rPr>
                <w:b w:val="false"/>
                <w:bCs w:val="false"/>
                <w:color w:val="000000"/>
              </w:rPr>
              <w:t xml:space="preserve">Add a new screen to record: LUT ARN (Application Reference Number), Financial Year (e.g., "2026-27"), Valid From date, Valid To date, and an Active flag.</w:t>
            </w:r>
          </w:p>
        </w:tc>
      </w:tr>
      <w:tr>
        <w:tc>
          <w:tcPr>
            <w:tcW w:type="dxa" w:w="2600"/>
            <w:tcMar>
              <w:top w:type="dxa" w:w="100"/>
              <w:left w:type="dxa" w:w="120"/>
              <w:bottom w:type="dxa" w:w="100"/>
              <w:right w:type="dxa" w:w="120"/>
            </w:tcMar>
          </w:tcPr>
          <w:p>
            <w:r>
              <w:rPr>
                <w:b w:val="false"/>
                <w:bCs w:val="false"/>
                <w:color w:val="000000"/>
              </w:rPr>
              <w:t xml:space="preserve">Active LUT lookup</w:t>
            </w:r>
          </w:p>
        </w:tc>
        <w:tc>
          <w:tcPr>
            <w:tcW w:type="dxa" w:w="6760"/>
            <w:tcMar>
              <w:top w:type="dxa" w:w="100"/>
              <w:left w:type="dxa" w:w="120"/>
              <w:bottom w:type="dxa" w:w="100"/>
              <w:right w:type="dxa" w:w="120"/>
            </w:tcMar>
          </w:tcPr>
          <w:p>
            <w:r>
              <w:rPr>
                <w:b w:val="false"/>
                <w:bCs w:val="false"/>
                <w:color w:val="000000"/>
              </w:rPr>
              <w:t xml:space="preserve">When an export invoice is created, the system must automatically fetch whichever LUT record is marked Active and use its ARN + financial year on the invoice. If no active LUT exists, block export invoice creation with a clear error message telling the user to add one first.</w:t>
            </w:r>
          </w:p>
        </w:tc>
      </w:tr>
    </w:tbl>
    <w:p>
      <w:pPr>
        <w:pStyle w:val="Heading1"/>
        <w:spacing w:after="150" w:before="300"/>
      </w:pPr>
      <w:r>
        <w:t xml:space="preserve">4. Domestic Invoice — GST Calculation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4858" w:color="auto" w:val="clear"/>
            <w:tcMar>
              <w:top w:type="dxa" w:w="100"/>
              <w:left w:type="dxa" w:w="120"/>
              <w:bottom w:type="dxa" w:w="100"/>
              <w:right w:type="dxa" w:w="120"/>
            </w:tcMar>
          </w:tcPr>
          <w:p>
            <w:r>
              <w:rPr>
                <w:b/>
                <w:bCs/>
                <w:color w:val="FFFFFF"/>
              </w:rPr>
              <w:t xml:space="preserve">Requirement</w:t>
            </w:r>
          </w:p>
        </w:tc>
        <w:tc>
          <w:tcPr>
            <w:tcW w:type="dxa" w:w="6760"/>
            <w:shd w:fill="2F4858" w:color="auto" w:val="clear"/>
            <w:tcMar>
              <w:top w:type="dxa" w:w="100"/>
              <w:left w:type="dxa" w:w="120"/>
              <w:bottom w:type="dxa" w:w="100"/>
              <w:right w:type="dxa" w:w="120"/>
            </w:tcMar>
          </w:tcPr>
          <w:p>
            <w:r>
              <w:rPr>
                <w:b/>
                <w:bCs/>
                <w:color w:val="FFFFFF"/>
              </w:rPr>
              <w:t xml:space="preserve">Description</w:t>
            </w:r>
          </w:p>
        </w:tc>
      </w:tr>
      <w:tr>
        <w:tc>
          <w:tcPr>
            <w:tcW w:type="dxa" w:w="2600"/>
            <w:tcMar>
              <w:top w:type="dxa" w:w="100"/>
              <w:left w:type="dxa" w:w="120"/>
              <w:bottom w:type="dxa" w:w="100"/>
              <w:right w:type="dxa" w:w="120"/>
            </w:tcMar>
          </w:tcPr>
          <w:p>
            <w:r>
              <w:rPr>
                <w:b/>
                <w:bCs/>
                <w:color w:val="000000"/>
              </w:rPr>
              <w:t xml:space="preserve">Core fix: IGST vs CGST+SGST auto-detection</w:t>
            </w:r>
          </w:p>
        </w:tc>
        <w:tc>
          <w:tcPr>
            <w:tcW w:type="dxa" w:w="6760"/>
            <w:tcMar>
              <w:top w:type="dxa" w:w="100"/>
              <w:left w:type="dxa" w:w="120"/>
              <w:bottom w:type="dxa" w:w="100"/>
              <w:right w:type="dxa" w:w="120"/>
            </w:tcMar>
          </w:tcPr>
          <w:p>
            <w:r>
              <w:rPr>
                <w:b w:val="false"/>
                <w:bCs w:val="false"/>
                <w:color w:val="000000"/>
              </w:rPr>
              <w:t xml:space="preserve">Extract the first 2 digits of the company's own GSTIN (supplier state code) and the first 2 digits of the customer's GSTIN (customer state code). If they are the SAME → apply CGST + SGST, each at half the total GST rate. If DIFFERENT → apply IGST at the full rate. This replaces any old logic that just showed one flat "GST @ 18%" line — the invoice must show the correct tax head(s) by name.</w:t>
            </w:r>
          </w:p>
        </w:tc>
      </w:tr>
      <w:tr>
        <w:tc>
          <w:tcPr>
            <w:tcW w:type="dxa" w:w="2600"/>
            <w:tcMar>
              <w:top w:type="dxa" w:w="100"/>
              <w:left w:type="dxa" w:w="120"/>
              <w:bottom w:type="dxa" w:w="100"/>
              <w:right w:type="dxa" w:w="120"/>
            </w:tcMar>
          </w:tcPr>
          <w:p>
            <w:r>
              <w:rPr>
                <w:b w:val="false"/>
                <w:bCs w:val="false"/>
                <w:color w:val="000000"/>
              </w:rPr>
              <w:t xml:space="preserve">Place of Supply</w:t>
            </w:r>
          </w:p>
        </w:tc>
        <w:tc>
          <w:tcPr>
            <w:tcW w:type="dxa" w:w="6760"/>
            <w:tcMar>
              <w:top w:type="dxa" w:w="100"/>
              <w:left w:type="dxa" w:w="120"/>
              <w:bottom w:type="dxa" w:w="100"/>
              <w:right w:type="dxa" w:w="120"/>
            </w:tcMar>
          </w:tcPr>
          <w:p>
            <w:r>
              <w:rPr>
                <w:b w:val="false"/>
                <w:bCs w:val="false"/>
                <w:color w:val="000000"/>
              </w:rPr>
              <w:t xml:space="preserve">Derive the customer's state name from their GSTIN state code (maintain a lookup table of all GST state codes → state names). Print "Place of Supply: [State Name] (State Code: [XX])" on every domestic invoice.</w:t>
            </w:r>
          </w:p>
        </w:tc>
      </w:tr>
      <w:tr>
        <w:tc>
          <w:tcPr>
            <w:tcW w:type="dxa" w:w="2600"/>
            <w:tcMar>
              <w:top w:type="dxa" w:w="100"/>
              <w:left w:type="dxa" w:w="120"/>
              <w:bottom w:type="dxa" w:w="100"/>
              <w:right w:type="dxa" w:w="120"/>
            </w:tcMar>
          </w:tcPr>
          <w:p>
            <w:r>
              <w:rPr>
                <w:b w:val="false"/>
                <w:bCs w:val="false"/>
                <w:color w:val="000000"/>
              </w:rPr>
              <w:t xml:space="preserve">Reverse Charge line</w:t>
            </w:r>
          </w:p>
        </w:tc>
        <w:tc>
          <w:tcPr>
            <w:tcW w:type="dxa" w:w="6760"/>
            <w:tcMar>
              <w:top w:type="dxa" w:w="100"/>
              <w:left w:type="dxa" w:w="120"/>
              <w:bottom w:type="dxa" w:w="100"/>
              <w:right w:type="dxa" w:w="120"/>
            </w:tcMar>
          </w:tcPr>
          <w:p>
            <w:r>
              <w:rPr>
                <w:b w:val="false"/>
                <w:bCs w:val="false"/>
                <w:color w:val="000000"/>
              </w:rPr>
              <w:t xml:space="preserve">Every invoice (domestic or export) must show a line "Reverse Charge Applicable: Yes/No". Default to No unless explicitly set otherwise for a given invoice.</w:t>
            </w:r>
          </w:p>
        </w:tc>
      </w:tr>
      <w:tr>
        <w:tc>
          <w:tcPr>
            <w:tcW w:type="dxa" w:w="2600"/>
            <w:tcMar>
              <w:top w:type="dxa" w:w="100"/>
              <w:left w:type="dxa" w:w="120"/>
              <w:bottom w:type="dxa" w:w="100"/>
              <w:right w:type="dxa" w:w="120"/>
            </w:tcMar>
          </w:tcPr>
          <w:p>
            <w:r>
              <w:rPr>
                <w:b w:val="false"/>
                <w:bCs w:val="false"/>
                <w:color w:val="000000"/>
              </w:rPr>
              <w:t xml:space="preserve">HSN/SAC column</w:t>
            </w:r>
          </w:p>
        </w:tc>
        <w:tc>
          <w:tcPr>
            <w:tcW w:type="dxa" w:w="6760"/>
            <w:tcMar>
              <w:top w:type="dxa" w:w="100"/>
              <w:left w:type="dxa" w:w="120"/>
              <w:bottom w:type="dxa" w:w="100"/>
              <w:right w:type="dxa" w:w="120"/>
            </w:tcMar>
          </w:tcPr>
          <w:p>
            <w:r>
              <w:rPr>
                <w:b w:val="false"/>
                <w:bCs w:val="false"/>
                <w:color w:val="000000"/>
              </w:rPr>
              <w:t xml:space="preserve">The item table column currently/previously labeled "Category" must be relabeled "HSN/SAC" and must always show the actual HSN or SAC code entered for that line item — never left blank if a value was provided.</w:t>
            </w:r>
          </w:p>
        </w:tc>
      </w:tr>
    </w:tbl>
    <w:p>
      <w:pPr>
        <w:pStyle w:val="Heading1"/>
        <w:spacing w:after="150" w:before="300"/>
      </w:pPr>
      <w:r>
        <w:t xml:space="preserve">5. Export Invoice — Currency &amp; LUT Logic (New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4858" w:color="auto" w:val="clear"/>
            <w:tcMar>
              <w:top w:type="dxa" w:w="100"/>
              <w:left w:type="dxa" w:w="120"/>
              <w:bottom w:type="dxa" w:w="100"/>
              <w:right w:type="dxa" w:w="120"/>
            </w:tcMar>
          </w:tcPr>
          <w:p>
            <w:r>
              <w:rPr>
                <w:b/>
                <w:bCs/>
                <w:color w:val="FFFFFF"/>
              </w:rPr>
              <w:t xml:space="preserve">Requirement</w:t>
            </w:r>
          </w:p>
        </w:tc>
        <w:tc>
          <w:tcPr>
            <w:tcW w:type="dxa" w:w="6760"/>
            <w:shd w:fill="2F4858" w:color="auto" w:val="clear"/>
            <w:tcMar>
              <w:top w:type="dxa" w:w="100"/>
              <w:left w:type="dxa" w:w="120"/>
              <w:bottom w:type="dxa" w:w="100"/>
              <w:right w:type="dxa" w:w="120"/>
            </w:tcMar>
          </w:tcPr>
          <w:p>
            <w:r>
              <w:rPr>
                <w:b/>
                <w:bCs/>
                <w:color w:val="FFFFFF"/>
              </w:rPr>
              <w:t xml:space="preserve">Description</w:t>
            </w:r>
          </w:p>
        </w:tc>
      </w:tr>
      <w:tr>
        <w:tc>
          <w:tcPr>
            <w:tcW w:type="dxa" w:w="2600"/>
            <w:tcMar>
              <w:top w:type="dxa" w:w="100"/>
              <w:left w:type="dxa" w:w="120"/>
              <w:bottom w:type="dxa" w:w="100"/>
              <w:right w:type="dxa" w:w="120"/>
            </w:tcMar>
          </w:tcPr>
          <w:p>
            <w:r>
              <w:rPr>
                <w:b w:val="false"/>
                <w:bCs w:val="false"/>
                <w:color w:val="000000"/>
              </w:rPr>
              <w:t xml:space="preserve">Currency selection</w:t>
            </w:r>
          </w:p>
        </w:tc>
        <w:tc>
          <w:tcPr>
            <w:tcW w:type="dxa" w:w="6760"/>
            <w:tcMar>
              <w:top w:type="dxa" w:w="100"/>
              <w:left w:type="dxa" w:w="120"/>
              <w:bottom w:type="dxa" w:w="100"/>
              <w:right w:type="dxa" w:w="120"/>
            </w:tcMar>
          </w:tcPr>
          <w:p>
            <w:r>
              <w:rPr>
                <w:b w:val="false"/>
                <w:bCs w:val="false"/>
                <w:color w:val="000000"/>
              </w:rPr>
              <w:t xml:space="preserve">When the invoice's customer is marked foreign, show a currency dropdown (USD, EUR, GBP, AED, SGD) on the invoice creation screen. Domestic invoices always use INR and this dropdown should not appear.</w:t>
            </w:r>
          </w:p>
        </w:tc>
      </w:tr>
      <w:tr>
        <w:tc>
          <w:tcPr>
            <w:tcW w:type="dxa" w:w="2600"/>
            <w:tcMar>
              <w:top w:type="dxa" w:w="100"/>
              <w:left w:type="dxa" w:w="120"/>
              <w:bottom w:type="dxa" w:w="100"/>
              <w:right w:type="dxa" w:w="120"/>
            </w:tcMar>
          </w:tcPr>
          <w:p>
            <w:r>
              <w:rPr>
                <w:b w:val="false"/>
                <w:bCs w:val="false"/>
                <w:color w:val="000000"/>
              </w:rPr>
              <w:t xml:space="preserve">Manual exchange rate entry</w:t>
            </w:r>
          </w:p>
        </w:tc>
        <w:tc>
          <w:tcPr>
            <w:tcW w:type="dxa" w:w="6760"/>
            <w:tcMar>
              <w:top w:type="dxa" w:w="100"/>
              <w:left w:type="dxa" w:w="120"/>
              <w:bottom w:type="dxa" w:w="100"/>
              <w:right w:type="dxa" w:w="120"/>
            </w:tcMar>
          </w:tcPr>
          <w:p>
            <w:r>
              <w:rPr>
                <w:b w:val="false"/>
                <w:bCs w:val="false"/>
                <w:color w:val="000000"/>
              </w:rPr>
              <w:t xml:space="preserve">For export invoices, require the user to manually type in the exchange rate (1 unit of foreign currency = ? INR) at the time of invoice creation. This is NOT auto-fetched from any external rate source — pure manual entry, validated as a positive number.</w:t>
            </w:r>
          </w:p>
        </w:tc>
      </w:tr>
      <w:tr>
        <w:tc>
          <w:tcPr>
            <w:tcW w:type="dxa" w:w="2600"/>
            <w:tcMar>
              <w:top w:type="dxa" w:w="100"/>
              <w:left w:type="dxa" w:w="120"/>
              <w:bottom w:type="dxa" w:w="100"/>
              <w:right w:type="dxa" w:w="120"/>
            </w:tcMar>
          </w:tcPr>
          <w:p>
            <w:r>
              <w:rPr>
                <w:b/>
                <w:bCs/>
                <w:color w:val="000000"/>
              </w:rPr>
              <w:t xml:space="preserve">Freeze INR equivalent at creation</w:t>
            </w:r>
          </w:p>
        </w:tc>
        <w:tc>
          <w:tcPr>
            <w:tcW w:type="dxa" w:w="6760"/>
            <w:tcMar>
              <w:top w:type="dxa" w:w="100"/>
              <w:left w:type="dxa" w:w="120"/>
              <w:bottom w:type="dxa" w:w="100"/>
              <w:right w:type="dxa" w:w="120"/>
            </w:tcMar>
          </w:tcPr>
          <w:p>
            <w:r>
              <w:rPr>
                <w:b w:val="false"/>
                <w:bCs w:val="false"/>
                <w:color w:val="000000"/>
              </w:rPr>
              <w:t xml:space="preserve">Calculate INR equivalent = foreign amount × exchange rate ONCE, at invoice creation, and store it permanently against that invoice. This stored value must NEVER be recalculated later, even if exchange rates are corrected or reports are re-run — this keeps historical ageing/MIS reports stable.</w:t>
            </w:r>
          </w:p>
        </w:tc>
      </w:tr>
      <w:tr>
        <w:tc>
          <w:tcPr>
            <w:tcW w:type="dxa" w:w="2600"/>
            <w:tcMar>
              <w:top w:type="dxa" w:w="100"/>
              <w:left w:type="dxa" w:w="120"/>
              <w:bottom w:type="dxa" w:w="100"/>
              <w:right w:type="dxa" w:w="120"/>
            </w:tcMar>
          </w:tcPr>
          <w:p>
            <w:r>
              <w:rPr>
                <w:b w:val="false"/>
                <w:bCs w:val="false"/>
                <w:color w:val="000000"/>
              </w:rPr>
              <w:t xml:space="preserve">Zero-rated tax display</w:t>
            </w:r>
          </w:p>
        </w:tc>
        <w:tc>
          <w:tcPr>
            <w:tcW w:type="dxa" w:w="6760"/>
            <w:tcMar>
              <w:top w:type="dxa" w:w="100"/>
              <w:left w:type="dxa" w:w="120"/>
              <w:bottom w:type="dxa" w:w="100"/>
              <w:right w:type="dxa" w:w="120"/>
            </w:tcMar>
          </w:tcPr>
          <w:p>
            <w:r>
              <w:rPr>
                <w:b w:val="false"/>
                <w:bCs w:val="false"/>
                <w:color w:val="000000"/>
              </w:rPr>
              <w:t xml:space="preserve">Export invoices must show "IGST @ 0.00% (Export under LUT)" explicitly as a line item — do not simply omit the tax line, since an omitted line looks like an error rather than an intentional zero-rating.</w:t>
            </w:r>
          </w:p>
        </w:tc>
      </w:tr>
      <w:tr>
        <w:tc>
          <w:tcPr>
            <w:tcW w:type="dxa" w:w="2600"/>
            <w:tcMar>
              <w:top w:type="dxa" w:w="100"/>
              <w:left w:type="dxa" w:w="120"/>
              <w:bottom w:type="dxa" w:w="100"/>
              <w:right w:type="dxa" w:w="120"/>
            </w:tcMar>
          </w:tcPr>
          <w:p>
            <w:r>
              <w:rPr>
                <w:b w:val="false"/>
                <w:bCs w:val="false"/>
                <w:color w:val="000000"/>
              </w:rPr>
              <w:t xml:space="preserve">LUT reference on invoice</w:t>
            </w:r>
          </w:p>
        </w:tc>
        <w:tc>
          <w:tcPr>
            <w:tcW w:type="dxa" w:w="6760"/>
            <w:tcMar>
              <w:top w:type="dxa" w:w="100"/>
              <w:left w:type="dxa" w:w="120"/>
              <w:bottom w:type="dxa" w:w="100"/>
              <w:right w:type="dxa" w:w="120"/>
            </w:tcMar>
          </w:tcPr>
          <w:p>
            <w:r>
              <w:rPr>
                <w:b w:val="false"/>
                <w:bCs w:val="false"/>
                <w:color w:val="000000"/>
              </w:rPr>
              <w:t xml:space="preserve">Show the active LUT's ARN and validity (e.g., "FY 2026-27") in the invoice's meta information table (alongside Invoice Number, Date, etc.) — not as a separate large box.</w:t>
            </w:r>
          </w:p>
        </w:tc>
      </w:tr>
      <w:tr>
        <w:tc>
          <w:tcPr>
            <w:tcW w:type="dxa" w:w="2600"/>
            <w:tcMar>
              <w:top w:type="dxa" w:w="100"/>
              <w:left w:type="dxa" w:w="120"/>
              <w:bottom w:type="dxa" w:w="100"/>
              <w:right w:type="dxa" w:w="120"/>
            </w:tcMar>
          </w:tcPr>
          <w:p>
            <w:r>
              <w:rPr>
                <w:b w:val="false"/>
                <w:bCs w:val="false"/>
                <w:color w:val="000000"/>
              </w:rPr>
              <w:t xml:space="preserve">LUT declaration wording</w:t>
            </w:r>
          </w:p>
        </w:tc>
        <w:tc>
          <w:tcPr>
            <w:tcW w:type="dxa" w:w="6760"/>
            <w:tcMar>
              <w:top w:type="dxa" w:w="100"/>
              <w:left w:type="dxa" w:w="120"/>
              <w:bottom w:type="dxa" w:w="100"/>
              <w:right w:type="dxa" w:w="120"/>
            </w:tcMar>
          </w:tcPr>
          <w:p>
            <w:r>
              <w:rPr>
                <w:b w:val="false"/>
                <w:bCs w:val="false"/>
                <w:color w:val="000000"/>
              </w:rPr>
              <w:t xml:space="preserve">The mandatory legal text — "Supply meant for export under Letter of Undertaking (LUT) without payment of Integrated Tax" — must appear somewhere on the invoice. Per finalized design decision, this is placed as the FIRST bullet point inside the Terms &amp; Notes box, in the same plain text style as the other terms (not a bordered/highlighted standalone box, not centered).</w:t>
            </w:r>
          </w:p>
        </w:tc>
      </w:tr>
      <w:tr>
        <w:tc>
          <w:tcPr>
            <w:tcW w:type="dxa" w:w="2600"/>
            <w:tcMar>
              <w:top w:type="dxa" w:w="100"/>
              <w:left w:type="dxa" w:w="120"/>
              <w:bottom w:type="dxa" w:w="100"/>
              <w:right w:type="dxa" w:w="120"/>
            </w:tcMar>
          </w:tcPr>
          <w:p>
            <w:r>
              <w:rPr>
                <w:b w:val="false"/>
                <w:bCs w:val="false"/>
                <w:color w:val="000000"/>
              </w:rPr>
              <w:t xml:space="preserve">No dual-currency display</w:t>
            </w:r>
          </w:p>
        </w:tc>
        <w:tc>
          <w:tcPr>
            <w:tcW w:type="dxa" w:w="6760"/>
            <w:tcMar>
              <w:top w:type="dxa" w:w="100"/>
              <w:left w:type="dxa" w:w="120"/>
              <w:bottom w:type="dxa" w:w="100"/>
              <w:right w:type="dxa" w:w="120"/>
            </w:tcMar>
          </w:tcPr>
          <w:p>
            <w:r>
              <w:rPr>
                <w:b w:val="false"/>
                <w:bCs w:val="false"/>
                <w:color w:val="000000"/>
              </w:rPr>
              <w:t xml:space="preserve">The export invoice document itself must show amounts ONLY in the foreign currency. The INR equivalent must NOT be printed anywhere on the customer-facing invoice — it exists only in the backend/database for internal reporting.</w:t>
            </w:r>
          </w:p>
        </w:tc>
      </w:tr>
      <w:tr>
        <w:tc>
          <w:tcPr>
            <w:tcW w:type="dxa" w:w="2600"/>
            <w:tcMar>
              <w:top w:type="dxa" w:w="100"/>
              <w:left w:type="dxa" w:w="120"/>
              <w:bottom w:type="dxa" w:w="100"/>
              <w:right w:type="dxa" w:w="120"/>
            </w:tcMar>
          </w:tcPr>
          <w:p>
            <w:r>
              <w:rPr>
                <w:b w:val="false"/>
                <w:bCs w:val="false"/>
                <w:color w:val="000000"/>
              </w:rPr>
              <w:t xml:space="preserve">International bank details only</w:t>
            </w:r>
          </w:p>
        </w:tc>
        <w:tc>
          <w:tcPr>
            <w:tcW w:type="dxa" w:w="6760"/>
            <w:tcMar>
              <w:top w:type="dxa" w:w="100"/>
              <w:left w:type="dxa" w:w="120"/>
              <w:bottom w:type="dxa" w:w="100"/>
              <w:right w:type="dxa" w:w="120"/>
            </w:tcMar>
          </w:tcPr>
          <w:p>
            <w:r>
              <w:rPr>
                <w:b w:val="false"/>
                <w:bCs w:val="false"/>
                <w:color w:val="000000"/>
              </w:rPr>
              <w:t xml:space="preserve">Export invoices show the International Bank Details block (SWIFT, bank address) instead of the domestic Bank Details/UPI block. Include a note: "All bank charges outside India to be borne by the remitter."</w:t>
            </w:r>
          </w:p>
        </w:tc>
      </w:tr>
      <w:tr>
        <w:tc>
          <w:tcPr>
            <w:tcW w:type="dxa" w:w="2600"/>
            <w:tcMar>
              <w:top w:type="dxa" w:w="100"/>
              <w:left w:type="dxa" w:w="120"/>
              <w:bottom w:type="dxa" w:w="100"/>
              <w:right w:type="dxa" w:w="120"/>
            </w:tcMar>
          </w:tcPr>
          <w:p>
            <w:r>
              <w:rPr>
                <w:b w:val="false"/>
                <w:bCs w:val="false"/>
                <w:color w:val="000000"/>
              </w:rPr>
              <w:t xml:space="preserve">No UPI/QR on export invoices</w:t>
            </w:r>
          </w:p>
        </w:tc>
        <w:tc>
          <w:tcPr>
            <w:tcW w:type="dxa" w:w="6760"/>
            <w:tcMar>
              <w:top w:type="dxa" w:w="100"/>
              <w:left w:type="dxa" w:w="120"/>
              <w:bottom w:type="dxa" w:w="100"/>
              <w:right w:type="dxa" w:w="120"/>
            </w:tcMar>
          </w:tcPr>
          <w:p>
            <w:r>
              <w:rPr>
                <w:b w:val="false"/>
                <w:bCs w:val="false"/>
                <w:color w:val="000000"/>
              </w:rPr>
              <w:t xml:space="preserve">The UPI ID and QR code section must not appear at all on export invoices (not shown blank — omitted entirely), since it's not applicable to international wire transfers.</w:t>
            </w:r>
          </w:p>
        </w:tc>
      </w:tr>
      <w:tr>
        <w:tc>
          <w:tcPr>
            <w:tcW w:type="dxa" w:w="2600"/>
            <w:tcMar>
              <w:top w:type="dxa" w:w="100"/>
              <w:left w:type="dxa" w:w="120"/>
              <w:bottom w:type="dxa" w:w="100"/>
              <w:right w:type="dxa" w:w="120"/>
            </w:tcMar>
          </w:tcPr>
          <w:p>
            <w:r>
              <w:rPr>
                <w:b w:val="false"/>
                <w:bCs w:val="false"/>
                <w:color w:val="000000"/>
              </w:rPr>
              <w:t xml:space="preserve">Amount in words, correct currency</w:t>
            </w:r>
          </w:p>
        </w:tc>
        <w:tc>
          <w:tcPr>
            <w:tcW w:type="dxa" w:w="6760"/>
            <w:tcMar>
              <w:top w:type="dxa" w:w="100"/>
              <w:left w:type="dxa" w:w="120"/>
              <w:bottom w:type="dxa" w:w="100"/>
              <w:right w:type="dxa" w:w="120"/>
            </w:tcMar>
          </w:tcPr>
          <w:p>
            <w:r>
              <w:rPr>
                <w:b w:val="false"/>
                <w:bCs w:val="false"/>
                <w:color w:val="000000"/>
              </w:rPr>
              <w:t xml:space="preserve">The "Amount in Words" line must use the correct unit/subunit names for the invoice's currency — e.g., USD → "US Dollars ... Cents", EUR → "Euros ... Cents", GBP → "Pounds Sterling ... Pence", not always defaulting to Rupees/Paise.</w:t>
            </w:r>
          </w:p>
        </w:tc>
      </w:tr>
    </w:tbl>
    <w:p>
      <w:pPr>
        <w:pStyle w:val="Heading1"/>
        <w:spacing w:after="150" w:before="300"/>
      </w:pPr>
      <w:r>
        <w:t xml:space="preserve">6. Receipts &amp; Forex Gain/Loss (New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4858" w:color="auto" w:val="clear"/>
            <w:tcMar>
              <w:top w:type="dxa" w:w="100"/>
              <w:left w:type="dxa" w:w="120"/>
              <w:bottom w:type="dxa" w:w="100"/>
              <w:right w:type="dxa" w:w="120"/>
            </w:tcMar>
          </w:tcPr>
          <w:p>
            <w:r>
              <w:rPr>
                <w:b/>
                <w:bCs/>
                <w:color w:val="FFFFFF"/>
              </w:rPr>
              <w:t xml:space="preserve">Requirement</w:t>
            </w:r>
          </w:p>
        </w:tc>
        <w:tc>
          <w:tcPr>
            <w:tcW w:type="dxa" w:w="6760"/>
            <w:shd w:fill="2F4858" w:color="auto" w:val="clear"/>
            <w:tcMar>
              <w:top w:type="dxa" w:w="100"/>
              <w:left w:type="dxa" w:w="120"/>
              <w:bottom w:type="dxa" w:w="100"/>
              <w:right w:type="dxa" w:w="120"/>
            </w:tcMar>
          </w:tcPr>
          <w:p>
            <w:r>
              <w:rPr>
                <w:b/>
                <w:bCs/>
                <w:color w:val="FFFFFF"/>
              </w:rPr>
              <w:t xml:space="preserve">Description</w:t>
            </w:r>
          </w:p>
        </w:tc>
      </w:tr>
      <w:tr>
        <w:tc>
          <w:tcPr>
            <w:tcW w:type="dxa" w:w="2600"/>
            <w:tcMar>
              <w:top w:type="dxa" w:w="100"/>
              <w:left w:type="dxa" w:w="120"/>
              <w:bottom w:type="dxa" w:w="100"/>
              <w:right w:type="dxa" w:w="120"/>
            </w:tcMar>
          </w:tcPr>
          <w:p>
            <w:r>
              <w:rPr>
                <w:b w:val="false"/>
                <w:bCs w:val="false"/>
                <w:color w:val="000000"/>
              </w:rPr>
              <w:t xml:space="preserve">Export receipt fields</w:t>
            </w:r>
          </w:p>
        </w:tc>
        <w:tc>
          <w:tcPr>
            <w:tcW w:type="dxa" w:w="6760"/>
            <w:tcMar>
              <w:top w:type="dxa" w:w="100"/>
              <w:left w:type="dxa" w:w="120"/>
              <w:bottom w:type="dxa" w:w="100"/>
              <w:right w:type="dxa" w:w="120"/>
            </w:tcMar>
          </w:tcPr>
          <w:p>
            <w:r>
              <w:rPr>
                <w:b w:val="false"/>
                <w:bCs w:val="false"/>
                <w:color w:val="000000"/>
              </w:rPr>
              <w:t xml:space="preserve">When recording a payment receipt against an EXPORT invoice, require: foreign amount received, and exchange rate at the time of receipt (the bank's actual realized rate). Also provide an optional field for FIRC Number (Foreign Inward Remittance Certificate reference).</w:t>
            </w:r>
          </w:p>
        </w:tc>
      </w:tr>
      <w:tr>
        <w:tc>
          <w:tcPr>
            <w:tcW w:type="dxa" w:w="2600"/>
            <w:tcMar>
              <w:top w:type="dxa" w:w="100"/>
              <w:left w:type="dxa" w:w="120"/>
              <w:bottom w:type="dxa" w:w="100"/>
              <w:right w:type="dxa" w:w="120"/>
            </w:tcMar>
          </w:tcPr>
          <w:p>
            <w:r>
              <w:rPr>
                <w:b/>
                <w:bCs/>
                <w:color w:val="000000"/>
              </w:rPr>
              <w:t xml:space="preserve">Forex gain/loss calculation</w:t>
            </w:r>
          </w:p>
        </w:tc>
        <w:tc>
          <w:tcPr>
            <w:tcW w:type="dxa" w:w="6760"/>
            <w:tcMar>
              <w:top w:type="dxa" w:w="100"/>
              <w:left w:type="dxa" w:w="120"/>
              <w:bottom w:type="dxa" w:w="100"/>
              <w:right w:type="dxa" w:w="120"/>
            </w:tcMar>
          </w:tcPr>
          <w:p>
            <w:r>
              <w:rPr>
                <w:b w:val="false"/>
                <w:bCs w:val="false"/>
                <w:color w:val="000000"/>
              </w:rPr>
              <w:t xml:space="preserve">Calculate: realized INR value = foreign amount received × exchange rate at receipt. Compare this against the proportional share of the invoice's originally frozen INR equivalent. The difference is the forex gain (positive) or loss (negative). Store this value against the receipt record — do not discard it, since it's needed for year-end accounting reconciliation.</w:t>
            </w:r>
          </w:p>
        </w:tc>
      </w:tr>
      <w:tr>
        <w:tc>
          <w:tcPr>
            <w:tcW w:type="dxa" w:w="2600"/>
            <w:tcMar>
              <w:top w:type="dxa" w:w="100"/>
              <w:left w:type="dxa" w:w="120"/>
              <w:bottom w:type="dxa" w:w="100"/>
              <w:right w:type="dxa" w:w="120"/>
            </w:tcMar>
          </w:tcPr>
          <w:p>
            <w:r>
              <w:rPr>
                <w:b w:val="false"/>
                <w:bCs w:val="false"/>
                <w:color w:val="000000"/>
              </w:rPr>
              <w:t xml:space="preserve">Domestic receipts unaffected</w:t>
            </w:r>
          </w:p>
        </w:tc>
        <w:tc>
          <w:tcPr>
            <w:tcW w:type="dxa" w:w="6760"/>
            <w:tcMar>
              <w:top w:type="dxa" w:w="100"/>
              <w:left w:type="dxa" w:w="120"/>
              <w:bottom w:type="dxa" w:w="100"/>
              <w:right w:type="dxa" w:w="120"/>
            </w:tcMar>
          </w:tcPr>
          <w:p>
            <w:r>
              <w:rPr>
                <w:b w:val="false"/>
                <w:bCs w:val="false"/>
                <w:color w:val="000000"/>
              </w:rPr>
              <w:t xml:space="preserve">Domestic invoice receipts continue to just require a plain INR amount — no currency/exchange rate fields needed for these.</w:t>
            </w:r>
          </w:p>
        </w:tc>
      </w:tr>
    </w:tbl>
    <w:p>
      <w:pPr>
        <w:pStyle w:val="Heading1"/>
        <w:spacing w:after="150" w:before="300"/>
      </w:pPr>
      <w:r>
        <w:t xml:space="preserve">7. Invoice 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4858" w:color="auto" w:val="clear"/>
            <w:tcMar>
              <w:top w:type="dxa" w:w="100"/>
              <w:left w:type="dxa" w:w="120"/>
              <w:bottom w:type="dxa" w:w="100"/>
              <w:right w:type="dxa" w:w="120"/>
            </w:tcMar>
          </w:tcPr>
          <w:p>
            <w:r>
              <w:rPr>
                <w:b/>
                <w:bCs/>
                <w:color w:val="FFFFFF"/>
              </w:rPr>
              <w:t xml:space="preserve">Requirement</w:t>
            </w:r>
          </w:p>
        </w:tc>
        <w:tc>
          <w:tcPr>
            <w:tcW w:type="dxa" w:w="6760"/>
            <w:shd w:fill="2F4858" w:color="auto" w:val="clear"/>
            <w:tcMar>
              <w:top w:type="dxa" w:w="100"/>
              <w:left w:type="dxa" w:w="120"/>
              <w:bottom w:type="dxa" w:w="100"/>
              <w:right w:type="dxa" w:w="120"/>
            </w:tcMar>
          </w:tcPr>
          <w:p>
            <w:r>
              <w:rPr>
                <w:b/>
                <w:bCs/>
                <w:color w:val="FFFFFF"/>
              </w:rPr>
              <w:t xml:space="preserve">Description</w:t>
            </w:r>
          </w:p>
        </w:tc>
      </w:tr>
      <w:tr>
        <w:tc>
          <w:tcPr>
            <w:tcW w:type="dxa" w:w="2600"/>
            <w:tcMar>
              <w:top w:type="dxa" w:w="100"/>
              <w:left w:type="dxa" w:w="120"/>
              <w:bottom w:type="dxa" w:w="100"/>
              <w:right w:type="dxa" w:w="120"/>
            </w:tcMar>
          </w:tcPr>
          <w:p>
            <w:r>
              <w:rPr>
                <w:b/>
                <w:bCs/>
                <w:color w:val="000000"/>
              </w:rPr>
              <w:t xml:space="preserve">Split into Item Name + Item Description</w:t>
            </w:r>
          </w:p>
        </w:tc>
        <w:tc>
          <w:tcPr>
            <w:tcW w:type="dxa" w:w="6760"/>
            <w:tcMar>
              <w:top w:type="dxa" w:w="100"/>
              <w:left w:type="dxa" w:w="120"/>
              <w:bottom w:type="dxa" w:w="100"/>
              <w:right w:type="dxa" w:w="120"/>
            </w:tcMar>
          </w:tcPr>
          <w:p>
            <w:r>
              <w:rPr>
                <w:b w:val="false"/>
                <w:bCs w:val="false"/>
                <w:color w:val="000000"/>
              </w:rPr>
              <w:t xml:space="preserve">Replace the old single "Description" field (with a cramped optional "note") with two distinct fields: Item Name (required, short title — e.g., "Audit Fee for the year 2025-26") and Item Description (optional, can be multi-line — e.g., "Statutory audit of financial statements for FY 2025-26, as per engagement letter").</w:t>
            </w:r>
          </w:p>
        </w:tc>
      </w:tr>
      <w:tr>
        <w:tc>
          <w:tcPr>
            <w:tcW w:type="dxa" w:w="2600"/>
            <w:tcMar>
              <w:top w:type="dxa" w:w="100"/>
              <w:left w:type="dxa" w:w="120"/>
              <w:bottom w:type="dxa" w:w="100"/>
              <w:right w:type="dxa" w:w="120"/>
            </w:tcMar>
          </w:tcPr>
          <w:p>
            <w:r>
              <w:rPr>
                <w:b w:val="false"/>
                <w:bCs w:val="false"/>
                <w:color w:val="000000"/>
              </w:rPr>
              <w:t xml:space="preserve">Visual formatting on invoice</w:t>
            </w:r>
          </w:p>
        </w:tc>
        <w:tc>
          <w:tcPr>
            <w:tcW w:type="dxa" w:w="6760"/>
            <w:tcMar>
              <w:top w:type="dxa" w:w="100"/>
              <w:left w:type="dxa" w:w="120"/>
              <w:bottom w:type="dxa" w:w="100"/>
              <w:right w:type="dxa" w:w="120"/>
            </w:tcMar>
          </w:tcPr>
          <w:p>
            <w:r>
              <w:rPr>
                <w:b w:val="false"/>
                <w:bCs w:val="false"/>
                <w:color w:val="000000"/>
              </w:rPr>
              <w:t xml:space="preserve">On the printed invoice, Item Name must appear in bold as the primary line; Item Description (if provided) wraps directly beneath it in a smaller, lighter-colored font. These must be visually distinct, not run together as one block of text.</w:t>
            </w:r>
          </w:p>
        </w:tc>
      </w:tr>
      <w:tr>
        <w:tc>
          <w:tcPr>
            <w:tcW w:type="dxa" w:w="2600"/>
            <w:tcMar>
              <w:top w:type="dxa" w:w="100"/>
              <w:left w:type="dxa" w:w="120"/>
              <w:bottom w:type="dxa" w:w="100"/>
              <w:right w:type="dxa" w:w="120"/>
            </w:tcMar>
          </w:tcPr>
          <w:p>
            <w:r>
              <w:rPr>
                <w:b w:val="false"/>
                <w:bCs w:val="false"/>
                <w:color w:val="000000"/>
              </w:rPr>
              <w:t xml:space="preserve">Adequate column width</w:t>
            </w:r>
          </w:p>
        </w:tc>
        <w:tc>
          <w:tcPr>
            <w:tcW w:type="dxa" w:w="6760"/>
            <w:tcMar>
              <w:top w:type="dxa" w:w="100"/>
              <w:left w:type="dxa" w:w="120"/>
              <w:bottom w:type="dxa" w:w="100"/>
              <w:right w:type="dxa" w:w="120"/>
            </w:tcMar>
          </w:tcPr>
          <w:p>
            <w:r>
              <w:rPr>
                <w:b w:val="false"/>
                <w:bCs w:val="false"/>
                <w:color w:val="000000"/>
              </w:rPr>
              <w:t xml:space="preserve">The item table's Item Name/Description column must be given the majority of the table's width (roughly 45–50% of the total printable width) so that longer descriptions wrap cleanly across 2–3 lines without looking cramped, rather than being squeezed into a narrow column.</w:t>
            </w:r>
          </w:p>
        </w:tc>
      </w:tr>
      <w:tr>
        <w:tc>
          <w:tcPr>
            <w:tcW w:type="dxa" w:w="2600"/>
            <w:tcMar>
              <w:top w:type="dxa" w:w="100"/>
              <w:left w:type="dxa" w:w="120"/>
              <w:bottom w:type="dxa" w:w="100"/>
              <w:right w:type="dxa" w:w="120"/>
            </w:tcMar>
          </w:tcPr>
          <w:p>
            <w:r>
              <w:rPr>
                <w:b w:val="false"/>
                <w:bCs w:val="false"/>
                <w:color w:val="000000"/>
              </w:rPr>
              <w:t xml:space="preserve">HSN/SAC stays a separate column</w:t>
            </w:r>
          </w:p>
        </w:tc>
        <w:tc>
          <w:tcPr>
            <w:tcW w:type="dxa" w:w="6760"/>
            <w:tcMar>
              <w:top w:type="dxa" w:w="100"/>
              <w:left w:type="dxa" w:w="120"/>
              <w:bottom w:type="dxa" w:w="100"/>
              <w:right w:type="dxa" w:w="120"/>
            </w:tcMar>
          </w:tcPr>
          <w:p>
            <w:r>
              <w:rPr>
                <w:b w:val="false"/>
                <w:bCs w:val="false"/>
                <w:color w:val="000000"/>
              </w:rPr>
              <w:t xml:space="preserve">HSN/SAC, Qty, Rate, and Amount remain their own distinct columns, unaffected by the Item Name/Description split.</w:t>
            </w:r>
          </w:p>
        </w:tc>
      </w:tr>
    </w:tbl>
    <w:p>
      <w:pPr>
        <w:pStyle w:val="Heading1"/>
        <w:spacing w:after="150" w:before="300"/>
      </w:pPr>
      <w:r>
        <w:t xml:space="preserve">8. Invoice Numbering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4858" w:color="auto" w:val="clear"/>
            <w:tcMar>
              <w:top w:type="dxa" w:w="100"/>
              <w:left w:type="dxa" w:w="120"/>
              <w:bottom w:type="dxa" w:w="100"/>
              <w:right w:type="dxa" w:w="120"/>
            </w:tcMar>
          </w:tcPr>
          <w:p>
            <w:r>
              <w:rPr>
                <w:b/>
                <w:bCs/>
                <w:color w:val="FFFFFF"/>
              </w:rPr>
              <w:t xml:space="preserve">Requirement</w:t>
            </w:r>
          </w:p>
        </w:tc>
        <w:tc>
          <w:tcPr>
            <w:tcW w:type="dxa" w:w="6760"/>
            <w:shd w:fill="2F4858" w:color="auto" w:val="clear"/>
            <w:tcMar>
              <w:top w:type="dxa" w:w="100"/>
              <w:left w:type="dxa" w:w="120"/>
              <w:bottom w:type="dxa" w:w="100"/>
              <w:right w:type="dxa" w:w="120"/>
            </w:tcMar>
          </w:tcPr>
          <w:p>
            <w:r>
              <w:rPr>
                <w:b/>
                <w:bCs/>
                <w:color w:val="FFFFFF"/>
              </w:rPr>
              <w:t xml:space="preserve">Description</w:t>
            </w:r>
          </w:p>
        </w:tc>
      </w:tr>
      <w:tr>
        <w:tc>
          <w:tcPr>
            <w:tcW w:type="dxa" w:w="2600"/>
            <w:tcMar>
              <w:top w:type="dxa" w:w="100"/>
              <w:left w:type="dxa" w:w="120"/>
              <w:bottom w:type="dxa" w:w="100"/>
              <w:right w:type="dxa" w:w="120"/>
            </w:tcMar>
          </w:tcPr>
          <w:p>
            <w:r>
              <w:rPr>
                <w:b w:val="false"/>
                <w:bCs w:val="false"/>
                <w:color w:val="000000"/>
              </w:rPr>
              <w:t xml:space="preserve">Financial-year-based sequential numbering</w:t>
            </w:r>
          </w:p>
        </w:tc>
        <w:tc>
          <w:tcPr>
            <w:tcW w:type="dxa" w:w="6760"/>
            <w:tcMar>
              <w:top w:type="dxa" w:w="100"/>
              <w:left w:type="dxa" w:w="120"/>
              <w:bottom w:type="dxa" w:w="100"/>
              <w:right w:type="dxa" w:w="120"/>
            </w:tcMar>
          </w:tcPr>
          <w:p>
            <w:r>
              <w:rPr>
                <w:b w:val="false"/>
                <w:bCs w:val="false"/>
                <w:color w:val="000000"/>
              </w:rPr>
              <w:t xml:space="preserve">Format: PREFIX/YYYY-YY/NNNN (e.g., INV/2026-27/0001). The sequence resets to 0001 at the start of each financial year (April 1st).</w:t>
            </w:r>
          </w:p>
        </w:tc>
      </w:tr>
      <w:tr>
        <w:tc>
          <w:tcPr>
            <w:tcW w:type="dxa" w:w="2600"/>
            <w:tcMar>
              <w:top w:type="dxa" w:w="100"/>
              <w:left w:type="dxa" w:w="120"/>
              <w:bottom w:type="dxa" w:w="100"/>
              <w:right w:type="dxa" w:w="120"/>
            </w:tcMar>
          </w:tcPr>
          <w:p>
            <w:r>
              <w:rPr>
                <w:b w:val="false"/>
                <w:bCs w:val="false"/>
                <w:color w:val="000000"/>
              </w:rPr>
              <w:t xml:space="preserve">Guaranteed uniqueness under concurrency</w:t>
            </w:r>
          </w:p>
        </w:tc>
        <w:tc>
          <w:tcPr>
            <w:tcW w:type="dxa" w:w="6760"/>
            <w:tcMar>
              <w:top w:type="dxa" w:w="100"/>
              <w:left w:type="dxa" w:w="120"/>
              <w:bottom w:type="dxa" w:w="100"/>
              <w:right w:type="dxa" w:w="120"/>
            </w:tcMar>
          </w:tcPr>
          <w:p>
            <w:r>
              <w:rPr>
                <w:b w:val="false"/>
                <w:bCs w:val="false"/>
                <w:color w:val="000000"/>
              </w:rPr>
              <w:t xml:space="preserve">The system must never issue the same invoice number twice, even if two invoices are being created at nearly the same moment. Use a database-level unique constraint on (financial year, sequence number) with retry-on-conflict logic, rather than relying on a simple "read last number, add 1" approach that could race.</w:t>
            </w:r>
          </w:p>
        </w:tc>
      </w:tr>
      <w:tr>
        <w:tc>
          <w:tcPr>
            <w:tcW w:type="dxa" w:w="2600"/>
            <w:tcMar>
              <w:top w:type="dxa" w:w="100"/>
              <w:left w:type="dxa" w:w="120"/>
              <w:bottom w:type="dxa" w:w="100"/>
              <w:right w:type="dxa" w:w="120"/>
            </w:tcMar>
          </w:tcPr>
          <w:p>
            <w:r>
              <w:rPr>
                <w:b/>
                <w:bCs/>
                <w:color w:val="000000"/>
              </w:rPr>
              <w:t xml:space="preserve">Mid-year go-live: initial invoice number setup</w:t>
            </w:r>
          </w:p>
        </w:tc>
        <w:tc>
          <w:tcPr>
            <w:tcW w:type="dxa" w:w="6760"/>
            <w:tcMar>
              <w:top w:type="dxa" w:w="100"/>
              <w:left w:type="dxa" w:w="120"/>
              <w:bottom w:type="dxa" w:w="100"/>
              <w:right w:type="dxa" w:w="120"/>
            </w:tcMar>
          </w:tcPr>
          <w:p>
            <w:r>
              <w:rPr>
                <w:b w:val="false"/>
                <w:bCs w:val="false"/>
                <w:color w:val="000000"/>
              </w:rPr>
              <w:t xml:space="preserve">Since the utility is being adopted partway through a financial year, the business will already have issued invoices manually (outside the system) before go-live. At Company Master setup, provide a one-time configuration step asking: (a) the current Financial Year, and (b) the "Next Invoice Number to Use" (i.e., one more than the last invoice number already issued manually outside the system). The system must initialize its internal counter so that the very first invoice created inside the utility continues the existing series correctly — e.g., if invoices up to INV/2026-27/0037 were already issued manually, the setup should accept "38" as the next number, and the first system-generated invoice becomes INV/2026-27/0038.</w:t>
            </w:r>
          </w:p>
        </w:tc>
      </w:tr>
      <w:tr>
        <w:tc>
          <w:tcPr>
            <w:tcW w:type="dxa" w:w="2600"/>
            <w:tcMar>
              <w:top w:type="dxa" w:w="100"/>
              <w:left w:type="dxa" w:w="120"/>
              <w:bottom w:type="dxa" w:w="100"/>
              <w:right w:type="dxa" w:w="120"/>
            </w:tcMar>
          </w:tcPr>
          <w:p>
            <w:r>
              <w:rPr>
                <w:b/>
                <w:bCs/>
                <w:color w:val="000000"/>
              </w:rPr>
              <w:t xml:space="preserve">Auto-continue after initial setup</w:t>
            </w:r>
          </w:p>
        </w:tc>
        <w:tc>
          <w:tcPr>
            <w:tcW w:type="dxa" w:w="6760"/>
            <w:tcMar>
              <w:top w:type="dxa" w:w="100"/>
              <w:left w:type="dxa" w:w="120"/>
              <w:bottom w:type="dxa" w:w="100"/>
              <w:right w:type="dxa" w:w="120"/>
            </w:tcMar>
          </w:tcPr>
          <w:p>
            <w:r>
              <w:rPr>
                <w:b w:val="false"/>
                <w:bCs w:val="false"/>
                <w:color w:val="000000"/>
              </w:rPr>
              <w:t xml:space="preserve">Once this starting number is configured and the first invoice is created, all subsequent invoices within the same financial year must auto-increment normally (0039, 0040, ...) — no further manual input needed for that year.</w:t>
            </w:r>
          </w:p>
        </w:tc>
      </w:tr>
      <w:tr>
        <w:tc>
          <w:tcPr>
            <w:tcW w:type="dxa" w:w="2600"/>
            <w:tcMar>
              <w:top w:type="dxa" w:w="100"/>
              <w:left w:type="dxa" w:w="120"/>
              <w:bottom w:type="dxa" w:w="100"/>
              <w:right w:type="dxa" w:w="120"/>
            </w:tcMar>
          </w:tcPr>
          <w:p>
            <w:r>
              <w:rPr>
                <w:b/>
                <w:bCs/>
                <w:color w:val="000000"/>
              </w:rPr>
              <w:t xml:space="preserve">Auto-reset at financial year change</w:t>
            </w:r>
          </w:p>
        </w:tc>
        <w:tc>
          <w:tcPr>
            <w:tcW w:type="dxa" w:w="6760"/>
            <w:tcMar>
              <w:top w:type="dxa" w:w="100"/>
              <w:left w:type="dxa" w:w="120"/>
              <w:bottom w:type="dxa" w:w="100"/>
              <w:right w:type="dxa" w:w="120"/>
            </w:tcMar>
          </w:tcPr>
          <w:p>
            <w:r>
              <w:rPr>
                <w:b w:val="false"/>
                <w:bCs w:val="false"/>
                <w:color w:val="000000"/>
              </w:rPr>
              <w:t xml:space="preserve">When the financial year rolls over (April 1st) AFTER the initial go-live setup, the system must automatically reset to 0001 for the new financial year, following the standard rule — the manual starting-number override is only ever needed once, at initial go-live, not every year.</w:t>
            </w:r>
          </w:p>
        </w:tc>
      </w:tr>
      <w:tr>
        <w:tc>
          <w:tcPr>
            <w:tcW w:type="dxa" w:w="2600"/>
            <w:tcMar>
              <w:top w:type="dxa" w:w="100"/>
              <w:left w:type="dxa" w:w="120"/>
              <w:bottom w:type="dxa" w:w="100"/>
              <w:right w:type="dxa" w:w="120"/>
            </w:tcMar>
          </w:tcPr>
          <w:p>
            <w:r>
              <w:rPr>
                <w:b/>
                <w:bCs/>
                <w:color w:val="000000"/>
              </w:rPr>
              <w:t xml:space="preserve">Per-company / per-entity setting</w:t>
            </w:r>
          </w:p>
        </w:tc>
        <w:tc>
          <w:tcPr>
            <w:tcW w:type="dxa" w:w="6760"/>
            <w:tcMar>
              <w:top w:type="dxa" w:w="100"/>
              <w:left w:type="dxa" w:w="120"/>
              <w:bottom w:type="dxa" w:w="100"/>
              <w:right w:type="dxa" w:w="120"/>
            </w:tcMar>
          </w:tcPr>
          <w:p>
            <w:r>
              <w:rPr>
                <w:b w:val="false"/>
                <w:bCs w:val="false"/>
                <w:color w:val="000000"/>
              </w:rPr>
              <w:t xml:space="preserve">Since this utility may be used by more than one company entity (e.g., Grovisor Services and Gupta HK and Company both issuing invoices under their own GSTINs), this starting-number configuration must be settable independently for each company profile — each entity likely has a different count of invoices already issued manually before go-live.</w:t>
            </w:r>
          </w:p>
        </w:tc>
      </w:tr>
      <w:tr>
        <w:tc>
          <w:tcPr>
            <w:tcW w:type="dxa" w:w="2600"/>
            <w:tcMar>
              <w:top w:type="dxa" w:w="100"/>
              <w:left w:type="dxa" w:w="120"/>
              <w:bottom w:type="dxa" w:w="100"/>
              <w:right w:type="dxa" w:w="120"/>
            </w:tcMar>
          </w:tcPr>
          <w:p>
            <w:r>
              <w:rPr>
                <w:b/>
                <w:bCs/>
                <w:color w:val="000000"/>
              </w:rPr>
              <w:t xml:space="preserve">Safeguard against accidental reset</w:t>
            </w:r>
          </w:p>
        </w:tc>
        <w:tc>
          <w:tcPr>
            <w:tcW w:type="dxa" w:w="6760"/>
            <w:tcMar>
              <w:top w:type="dxa" w:w="100"/>
              <w:left w:type="dxa" w:w="120"/>
              <w:bottom w:type="dxa" w:w="100"/>
              <w:right w:type="dxa" w:w="120"/>
            </w:tcMar>
          </w:tcPr>
          <w:p>
            <w:r>
              <w:rPr>
                <w:b w:val="false"/>
                <w:bCs w:val="false"/>
                <w:color w:val="000000"/>
              </w:rPr>
              <w:t xml:space="preserve">Once at least one invoice has been created inside the system for a given company + financial year, the starting-number field should no longer be editable/visible for that same financial year (to prevent someone accidentally changing it mid-use and causing a duplicate or skipped number). It should only be usable again when a genuinely new company profile is set up, or for a financial year that hasn't started yet.</w:t>
            </w:r>
          </w:p>
        </w:tc>
      </w:tr>
    </w:tbl>
    <w:p>
      <w:pPr>
        <w:pStyle w:val="Heading1"/>
        <w:spacing w:after="150" w:before="300"/>
      </w:pPr>
      <w:r>
        <w:t xml:space="preserve">9. Invoice Layout &amp; Pagination (Fixing Overlap/Fit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4858" w:color="auto" w:val="clear"/>
            <w:tcMar>
              <w:top w:type="dxa" w:w="100"/>
              <w:left w:type="dxa" w:w="120"/>
              <w:bottom w:type="dxa" w:w="100"/>
              <w:right w:type="dxa" w:w="120"/>
            </w:tcMar>
          </w:tcPr>
          <w:p>
            <w:r>
              <w:rPr>
                <w:b/>
                <w:bCs/>
                <w:color w:val="FFFFFF"/>
              </w:rPr>
              <w:t xml:space="preserve">Requirement</w:t>
            </w:r>
          </w:p>
        </w:tc>
        <w:tc>
          <w:tcPr>
            <w:tcW w:type="dxa" w:w="6760"/>
            <w:shd w:fill="2F4858" w:color="auto" w:val="clear"/>
            <w:tcMar>
              <w:top w:type="dxa" w:w="100"/>
              <w:left w:type="dxa" w:w="120"/>
              <w:bottom w:type="dxa" w:w="100"/>
              <w:right w:type="dxa" w:w="120"/>
            </w:tcMar>
          </w:tcPr>
          <w:p>
            <w:r>
              <w:rPr>
                <w:b/>
                <w:bCs/>
                <w:color w:val="FFFFFF"/>
              </w:rPr>
              <w:t xml:space="preserve">Description</w:t>
            </w:r>
          </w:p>
        </w:tc>
      </w:tr>
      <w:tr>
        <w:tc>
          <w:tcPr>
            <w:tcW w:type="dxa" w:w="2600"/>
            <w:tcMar>
              <w:top w:type="dxa" w:w="100"/>
              <w:left w:type="dxa" w:w="120"/>
              <w:bottom w:type="dxa" w:w="100"/>
              <w:right w:type="dxa" w:w="120"/>
            </w:tcMar>
          </w:tcPr>
          <w:p>
            <w:r>
              <w:rPr>
                <w:b/>
                <w:bCs/>
                <w:color w:val="000000"/>
              </w:rPr>
              <w:t xml:space="preserve">Consistent full-width tables (fixes the overlap/misalignment issue)</w:t>
            </w:r>
          </w:p>
        </w:tc>
        <w:tc>
          <w:tcPr>
            <w:tcW w:type="dxa" w:w="6760"/>
            <w:tcMar>
              <w:top w:type="dxa" w:w="100"/>
              <w:left w:type="dxa" w:w="120"/>
              <w:bottom w:type="dxa" w:w="100"/>
              <w:right w:type="dxa" w:w="120"/>
            </w:tcMar>
          </w:tcPr>
          <w:p>
            <w:r>
              <w:rPr>
                <w:b w:val="false"/>
                <w:bCs w:val="false"/>
                <w:color w:val="000000"/>
              </w:rPr>
              <w:t xml:space="preserve">Every section of the invoice — header meta table, Bill To box, item table, totals table, bank/UPI box, Terms &amp; Notes box — must be sized to span the EXACT same total printable width. Previously, some boxes (e.g., the bank details box) were narrower than others, creating an ugly gap on the right-hand side and making the layout look unfinished. All section widths must be calculated from one shared "content width" constant so they always line up.</w:t>
            </w:r>
          </w:p>
        </w:tc>
      </w:tr>
      <w:tr>
        <w:tc>
          <w:tcPr>
            <w:tcW w:type="dxa" w:w="2600"/>
            <w:tcMar>
              <w:top w:type="dxa" w:w="100"/>
              <w:left w:type="dxa" w:w="120"/>
              <w:bottom w:type="dxa" w:w="100"/>
              <w:right w:type="dxa" w:w="120"/>
            </w:tcMar>
          </w:tcPr>
          <w:p>
            <w:r>
              <w:rPr>
                <w:b w:val="false"/>
                <w:bCs w:val="false"/>
                <w:color w:val="000000"/>
              </w:rPr>
              <w:t xml:space="preserve">Repeating table header on page breaks</w:t>
            </w:r>
          </w:p>
        </w:tc>
        <w:tc>
          <w:tcPr>
            <w:tcW w:type="dxa" w:w="6760"/>
            <w:tcMar>
              <w:top w:type="dxa" w:w="100"/>
              <w:left w:type="dxa" w:w="120"/>
              <w:bottom w:type="dxa" w:w="100"/>
              <w:right w:type="dxa" w:w="120"/>
            </w:tcMar>
          </w:tcPr>
          <w:p>
            <w:r>
              <w:rPr>
                <w:b w:val="false"/>
                <w:bCs w:val="false"/>
                <w:color w:val="000000"/>
              </w:rPr>
              <w:t xml:space="preserve">If an invoice has enough line items to spill onto a second (or further) page, the item table's column header row ("Item Name/Description, HSN/SAC, Qty, Rate, Amount") must automatically repeat at the top of each continuation page.</w:t>
            </w:r>
          </w:p>
        </w:tc>
      </w:tr>
      <w:tr>
        <w:tc>
          <w:tcPr>
            <w:tcW w:type="dxa" w:w="2600"/>
            <w:tcMar>
              <w:top w:type="dxa" w:w="100"/>
              <w:left w:type="dxa" w:w="120"/>
              <w:bottom w:type="dxa" w:w="100"/>
              <w:right w:type="dxa" w:w="120"/>
            </w:tcMar>
          </w:tcPr>
          <w:p>
            <w:r>
              <w:rPr>
                <w:b w:val="false"/>
                <w:bCs w:val="false"/>
                <w:color w:val="000000"/>
              </w:rPr>
              <w:t xml:space="preserve">Non-orphaned closing section</w:t>
            </w:r>
          </w:p>
        </w:tc>
        <w:tc>
          <w:tcPr>
            <w:tcW w:type="dxa" w:w="6760"/>
            <w:tcMar>
              <w:top w:type="dxa" w:w="100"/>
              <w:left w:type="dxa" w:w="120"/>
              <w:bottom w:type="dxa" w:w="100"/>
              <w:right w:type="dxa" w:w="120"/>
            </w:tcMar>
          </w:tcPr>
          <w:p>
            <w:r>
              <w:rPr>
                <w:b w:val="false"/>
                <w:bCs w:val="false"/>
                <w:color w:val="000000"/>
              </w:rPr>
              <w:t xml:space="preserve">The Totals block, Bank Details, Terms &amp; Notes, Signature block, and Tagline banner must be treated as one connected unit when paginating: if they don't all fit on the current page, the WHOLE group moves together to the next page. Never allow a situation where, e.g., the Total appears on one page and the signature ends up alone on the next.</w:t>
            </w:r>
          </w:p>
        </w:tc>
      </w:tr>
      <w:tr>
        <w:tc>
          <w:tcPr>
            <w:tcW w:type="dxa" w:w="2600"/>
            <w:tcMar>
              <w:top w:type="dxa" w:w="100"/>
              <w:left w:type="dxa" w:w="120"/>
              <w:bottom w:type="dxa" w:w="100"/>
              <w:right w:type="dxa" w:w="120"/>
            </w:tcMar>
          </w:tcPr>
          <w:p>
            <w:r>
              <w:rPr>
                <w:b w:val="false"/>
                <w:bCs w:val="false"/>
                <w:color w:val="000000"/>
              </w:rPr>
              <w:t xml:space="preserve">Page footer on every page</w:t>
            </w:r>
          </w:p>
        </w:tc>
        <w:tc>
          <w:tcPr>
            <w:tcW w:type="dxa" w:w="6760"/>
            <w:tcMar>
              <w:top w:type="dxa" w:w="100"/>
              <w:left w:type="dxa" w:w="120"/>
              <w:bottom w:type="dxa" w:w="100"/>
              <w:right w:type="dxa" w:w="120"/>
            </w:tcMar>
          </w:tcPr>
          <w:p>
            <w:r>
              <w:rPr>
                <w:b w:val="false"/>
                <w:bCs w:val="false"/>
                <w:color w:val="000000"/>
              </w:rPr>
              <w:t xml:space="preserve">Every page of the invoice (including continuation pages) must show a small footer: Invoice Number + Company Name on the left, "Page X" on the right.</w:t>
            </w:r>
          </w:p>
        </w:tc>
      </w:tr>
      <w:tr>
        <w:tc>
          <w:tcPr>
            <w:tcW w:type="dxa" w:w="2600"/>
            <w:tcMar>
              <w:top w:type="dxa" w:w="100"/>
              <w:left w:type="dxa" w:w="120"/>
              <w:bottom w:type="dxa" w:w="100"/>
              <w:right w:type="dxa" w:w="120"/>
            </w:tcMar>
          </w:tcPr>
          <w:p>
            <w:r>
              <w:rPr>
                <w:b w:val="false"/>
                <w:bCs w:val="false"/>
                <w:color w:val="000000"/>
              </w:rPr>
              <w:t xml:space="preserve">No fixed single-page assumption</w:t>
            </w:r>
          </w:p>
        </w:tc>
        <w:tc>
          <w:tcPr>
            <w:tcW w:type="dxa" w:w="6760"/>
            <w:tcMar>
              <w:top w:type="dxa" w:w="100"/>
              <w:left w:type="dxa" w:w="120"/>
              <w:bottom w:type="dxa" w:w="100"/>
              <w:right w:type="dxa" w:w="120"/>
            </w:tcMar>
          </w:tcPr>
          <w:p>
            <w:r>
              <w:rPr>
                <w:b w:val="false"/>
                <w:bCs w:val="false"/>
                <w:color w:val="000000"/>
              </w:rPr>
              <w:t xml:space="preserve">The system must handle any number of line items gracefully — from 1 item to 20+ — without breaking layout, overlapping text, or cutting off content. Test with both a 1-item invoice and an 18–20 item invoice before sign-off.</w:t>
            </w:r>
          </w:p>
        </w:tc>
      </w:tr>
    </w:tbl>
    <w:p>
      <w:pPr>
        <w:pStyle w:val="Heading1"/>
        <w:spacing w:after="150" w:before="300"/>
      </w:pPr>
      <w:r>
        <w:t xml:space="preserve">10. UPI / QR Code (Domestic Invoices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4858" w:color="auto" w:val="clear"/>
            <w:tcMar>
              <w:top w:type="dxa" w:w="100"/>
              <w:left w:type="dxa" w:w="120"/>
              <w:bottom w:type="dxa" w:w="100"/>
              <w:right w:type="dxa" w:w="120"/>
            </w:tcMar>
          </w:tcPr>
          <w:p>
            <w:r>
              <w:rPr>
                <w:b/>
                <w:bCs/>
                <w:color w:val="FFFFFF"/>
              </w:rPr>
              <w:t xml:space="preserve">Requirement</w:t>
            </w:r>
          </w:p>
        </w:tc>
        <w:tc>
          <w:tcPr>
            <w:tcW w:type="dxa" w:w="6760"/>
            <w:shd w:fill="2F4858" w:color="auto" w:val="clear"/>
            <w:tcMar>
              <w:top w:type="dxa" w:w="100"/>
              <w:left w:type="dxa" w:w="120"/>
              <w:bottom w:type="dxa" w:w="100"/>
              <w:right w:type="dxa" w:w="120"/>
            </w:tcMar>
          </w:tcPr>
          <w:p>
            <w:r>
              <w:rPr>
                <w:b/>
                <w:bCs/>
                <w:color w:val="FFFFFF"/>
              </w:rPr>
              <w:t xml:space="preserve">Description</w:t>
            </w:r>
          </w:p>
        </w:tc>
      </w:tr>
      <w:tr>
        <w:tc>
          <w:tcPr>
            <w:tcW w:type="dxa" w:w="2600"/>
            <w:tcMar>
              <w:top w:type="dxa" w:w="100"/>
              <w:left w:type="dxa" w:w="120"/>
              <w:bottom w:type="dxa" w:w="100"/>
              <w:right w:type="dxa" w:w="120"/>
            </w:tcMar>
          </w:tcPr>
          <w:p>
            <w:r>
              <w:rPr>
                <w:b w:val="false"/>
                <w:bCs w:val="false"/>
                <w:color w:val="000000"/>
              </w:rPr>
              <w:t xml:space="preserve">Conditional QR generation</w:t>
            </w:r>
          </w:p>
        </w:tc>
        <w:tc>
          <w:tcPr>
            <w:tcW w:type="dxa" w:w="6760"/>
            <w:tcMar>
              <w:top w:type="dxa" w:w="100"/>
              <w:left w:type="dxa" w:w="120"/>
              <w:bottom w:type="dxa" w:w="100"/>
              <w:right w:type="dxa" w:w="120"/>
            </w:tcMar>
          </w:tcPr>
          <w:p>
            <w:r>
              <w:rPr>
                <w:b w:val="false"/>
                <w:bCs w:val="false"/>
                <w:color w:val="000000"/>
              </w:rPr>
              <w:t xml:space="preserve">Only generate and print a UPI QR code if the Company Master has a UPI ID configured AND the invoice is domestic. If either condition fails, omit the entire UPI section (don't show an empty box).</w:t>
            </w:r>
          </w:p>
        </w:tc>
      </w:tr>
      <w:tr>
        <w:tc>
          <w:tcPr>
            <w:tcW w:type="dxa" w:w="2600"/>
            <w:tcMar>
              <w:top w:type="dxa" w:w="100"/>
              <w:left w:type="dxa" w:w="120"/>
              <w:bottom w:type="dxa" w:w="100"/>
              <w:right w:type="dxa" w:w="120"/>
            </w:tcMar>
          </w:tcPr>
          <w:p>
            <w:r>
              <w:rPr>
                <w:b w:val="false"/>
                <w:bCs w:val="false"/>
                <w:color w:val="000000"/>
              </w:rPr>
              <w:t xml:space="preserve">Dynamic QR content</w:t>
            </w:r>
          </w:p>
        </w:tc>
        <w:tc>
          <w:tcPr>
            <w:tcW w:type="dxa" w:w="6760"/>
            <w:tcMar>
              <w:top w:type="dxa" w:w="100"/>
              <w:left w:type="dxa" w:w="120"/>
              <w:bottom w:type="dxa" w:w="100"/>
              <w:right w:type="dxa" w:w="120"/>
            </w:tcMar>
          </w:tcPr>
          <w:p>
            <w:r>
              <w:rPr>
                <w:b w:val="false"/>
                <w:bCs w:val="false"/>
                <w:color w:val="000000"/>
              </w:rPr>
              <w:t xml:space="preserve">The QR code must encode a UPI payment string containing: the payee UPI ID, payee name, the exact invoice total amount, and the invoice number as a reference/transaction note — so scanning it pre-fills the payment app with the correct amount.</w:t>
            </w:r>
          </w:p>
        </w:tc>
      </w:tr>
    </w:tbl>
    <w:p>
      <w:pPr>
        <w:pStyle w:val="Heading1"/>
        <w:spacing w:after="150" w:before="300"/>
      </w:pPr>
      <w:r>
        <w:t xml:space="preserve">11. Receivables Ageing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4858" w:color="auto" w:val="clear"/>
            <w:tcMar>
              <w:top w:type="dxa" w:w="100"/>
              <w:left w:type="dxa" w:w="120"/>
              <w:bottom w:type="dxa" w:w="100"/>
              <w:right w:type="dxa" w:w="120"/>
            </w:tcMar>
          </w:tcPr>
          <w:p>
            <w:r>
              <w:rPr>
                <w:b/>
                <w:bCs/>
                <w:color w:val="FFFFFF"/>
              </w:rPr>
              <w:t xml:space="preserve">Requirement</w:t>
            </w:r>
          </w:p>
        </w:tc>
        <w:tc>
          <w:tcPr>
            <w:tcW w:type="dxa" w:w="6760"/>
            <w:shd w:fill="2F4858" w:color="auto" w:val="clear"/>
            <w:tcMar>
              <w:top w:type="dxa" w:w="100"/>
              <w:left w:type="dxa" w:w="120"/>
              <w:bottom w:type="dxa" w:w="100"/>
              <w:right w:type="dxa" w:w="120"/>
            </w:tcMar>
          </w:tcPr>
          <w:p>
            <w:r>
              <w:rPr>
                <w:b/>
                <w:bCs/>
                <w:color w:val="FFFFFF"/>
              </w:rPr>
              <w:t xml:space="preserve">Description</w:t>
            </w:r>
          </w:p>
        </w:tc>
      </w:tr>
      <w:tr>
        <w:tc>
          <w:tcPr>
            <w:tcW w:type="dxa" w:w="2600"/>
            <w:tcMar>
              <w:top w:type="dxa" w:w="100"/>
              <w:left w:type="dxa" w:w="120"/>
              <w:bottom w:type="dxa" w:w="100"/>
              <w:right w:type="dxa" w:w="120"/>
            </w:tcMar>
          </w:tcPr>
          <w:p>
            <w:r>
              <w:rPr>
                <w:b w:val="false"/>
                <w:bCs w:val="false"/>
                <w:color w:val="000000"/>
              </w:rPr>
              <w:t xml:space="preserve">Ageing buckets</w:t>
            </w:r>
          </w:p>
        </w:tc>
        <w:tc>
          <w:tcPr>
            <w:tcW w:type="dxa" w:w="6760"/>
            <w:tcMar>
              <w:top w:type="dxa" w:w="100"/>
              <w:left w:type="dxa" w:w="120"/>
              <w:bottom w:type="dxa" w:w="100"/>
              <w:right w:type="dxa" w:w="120"/>
            </w:tcMar>
          </w:tcPr>
          <w:p>
            <w:r>
              <w:rPr>
                <w:b w:val="false"/>
                <w:bCs w:val="false"/>
                <w:color w:val="000000"/>
              </w:rPr>
              <w:t xml:space="preserve">Categorize all outstanding (unpaid or partially paid) invoices into: Not Due, 1–30 days overdue, 31–60 days overdue, 61–90 days overdue, 90+ days overdue — based on comparing today's date (or a selected "as of" date) against each invoice's due date.</w:t>
            </w:r>
          </w:p>
        </w:tc>
      </w:tr>
      <w:tr>
        <w:tc>
          <w:tcPr>
            <w:tcW w:type="dxa" w:w="2600"/>
            <w:tcMar>
              <w:top w:type="dxa" w:w="100"/>
              <w:left w:type="dxa" w:w="120"/>
              <w:bottom w:type="dxa" w:w="100"/>
              <w:right w:type="dxa" w:w="120"/>
            </w:tcMar>
          </w:tcPr>
          <w:p>
            <w:r>
              <w:rPr>
                <w:b/>
                <w:bCs/>
                <w:color w:val="000000"/>
              </w:rPr>
              <w:t xml:space="preserve">INR-only reporting, regardless of invoice currency</w:t>
            </w:r>
          </w:p>
        </w:tc>
        <w:tc>
          <w:tcPr>
            <w:tcW w:type="dxa" w:w="6760"/>
            <w:tcMar>
              <w:top w:type="dxa" w:w="100"/>
              <w:left w:type="dxa" w:w="120"/>
              <w:bottom w:type="dxa" w:w="100"/>
              <w:right w:type="dxa" w:w="120"/>
            </w:tcMar>
          </w:tcPr>
          <w:p>
            <w:r>
              <w:rPr>
                <w:b w:val="false"/>
                <w:bCs w:val="false"/>
                <w:color w:val="000000"/>
              </w:rPr>
              <w:t xml:space="preserve">Ageing calculations must ALWAYS use each invoice's frozen INR equivalent value — never the original foreign currency amount — so that domestic and export invoices can be combined into one consistent, meaningful total. This is true even though the export invoice document itself never displays that INR figure to the customer.</w:t>
            </w:r>
          </w:p>
        </w:tc>
      </w:tr>
      <w:tr>
        <w:tc>
          <w:tcPr>
            <w:tcW w:type="dxa" w:w="2600"/>
            <w:tcMar>
              <w:top w:type="dxa" w:w="100"/>
              <w:left w:type="dxa" w:w="120"/>
              <w:bottom w:type="dxa" w:w="100"/>
              <w:right w:type="dxa" w:w="120"/>
            </w:tcMar>
          </w:tcPr>
          <w:p>
            <w:r>
              <w:rPr>
                <w:b w:val="false"/>
                <w:bCs w:val="false"/>
                <w:color w:val="000000"/>
              </w:rPr>
              <w:t xml:space="preserve">Outstanding amount calculation</w:t>
            </w:r>
          </w:p>
        </w:tc>
        <w:tc>
          <w:tcPr>
            <w:tcW w:type="dxa" w:w="6760"/>
            <w:tcMar>
              <w:top w:type="dxa" w:w="100"/>
              <w:left w:type="dxa" w:w="120"/>
              <w:bottom w:type="dxa" w:w="100"/>
              <w:right w:type="dxa" w:w="120"/>
            </w:tcMar>
          </w:tcPr>
          <w:p>
            <w:r>
              <w:rPr>
                <w:b w:val="false"/>
                <w:bCs w:val="false"/>
                <w:color w:val="000000"/>
              </w:rPr>
              <w:t xml:space="preserve">For each invoice, outstanding = (invoice's total INR equivalent) minus (sum of all receipts recorded against it, in INR). Only include invoices with status "Issued" (not Draft or Cancelled) and outstanding &gt; 0.</w:t>
            </w:r>
          </w:p>
        </w:tc>
      </w:tr>
      <w:tr>
        <w:tc>
          <w:tcPr>
            <w:tcW w:type="dxa" w:w="2600"/>
            <w:tcMar>
              <w:top w:type="dxa" w:w="100"/>
              <w:left w:type="dxa" w:w="120"/>
              <w:bottom w:type="dxa" w:w="100"/>
              <w:right w:type="dxa" w:w="120"/>
            </w:tcMar>
          </w:tcPr>
          <w:p>
            <w:r>
              <w:rPr>
                <w:b w:val="false"/>
                <w:bCs w:val="false"/>
                <w:color w:val="000000"/>
              </w:rPr>
              <w:t xml:space="preserve">Selectable "as of" date</w:t>
            </w:r>
          </w:p>
        </w:tc>
        <w:tc>
          <w:tcPr>
            <w:tcW w:type="dxa" w:w="6760"/>
            <w:tcMar>
              <w:top w:type="dxa" w:w="100"/>
              <w:left w:type="dxa" w:w="120"/>
              <w:bottom w:type="dxa" w:w="100"/>
              <w:right w:type="dxa" w:w="120"/>
            </w:tcMar>
          </w:tcPr>
          <w:p>
            <w:r>
              <w:rPr>
                <w:b w:val="false"/>
                <w:bCs w:val="false"/>
                <w:color w:val="000000"/>
              </w:rPr>
              <w:t xml:space="preserve">The report should accept a date parameter so the user can check ageing as of today or any past date, not just the current moment.</w:t>
            </w:r>
          </w:p>
        </w:tc>
      </w:tr>
    </w:tbl>
    <w:p>
      <w:pPr>
        <w:pStyle w:val="Heading1"/>
        <w:spacing w:after="150" w:before="300"/>
      </w:pPr>
      <w:r>
        <w:t xml:space="preserve">12. Known Follow-Ups (Not Yet Built — Flagged for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4858" w:color="auto" w:val="clear"/>
            <w:tcMar>
              <w:top w:type="dxa" w:w="100"/>
              <w:left w:type="dxa" w:w="120"/>
              <w:bottom w:type="dxa" w:w="100"/>
              <w:right w:type="dxa" w:w="120"/>
            </w:tcMar>
          </w:tcPr>
          <w:p>
            <w:r>
              <w:rPr>
                <w:b/>
                <w:bCs/>
                <w:color w:val="FFFFFF"/>
              </w:rPr>
              <w:t xml:space="preserve">Requirement</w:t>
            </w:r>
          </w:p>
        </w:tc>
        <w:tc>
          <w:tcPr>
            <w:tcW w:type="dxa" w:w="6760"/>
            <w:shd w:fill="2F4858" w:color="auto" w:val="clear"/>
            <w:tcMar>
              <w:top w:type="dxa" w:w="100"/>
              <w:left w:type="dxa" w:w="120"/>
              <w:bottom w:type="dxa" w:w="100"/>
              <w:right w:type="dxa" w:w="120"/>
            </w:tcMar>
          </w:tcPr>
          <w:p>
            <w:r>
              <w:rPr>
                <w:b/>
                <w:bCs/>
                <w:color w:val="FFFFFF"/>
              </w:rPr>
              <w:t xml:space="preserve">Description</w:t>
            </w:r>
          </w:p>
        </w:tc>
      </w:tr>
      <w:tr>
        <w:tc>
          <w:tcPr>
            <w:tcW w:type="dxa" w:w="2600"/>
            <w:tcMar>
              <w:top w:type="dxa" w:w="100"/>
              <w:left w:type="dxa" w:w="120"/>
              <w:bottom w:type="dxa" w:w="100"/>
              <w:right w:type="dxa" w:w="120"/>
            </w:tcMar>
          </w:tcPr>
          <w:p>
            <w:r>
              <w:rPr>
                <w:b w:val="false"/>
                <w:bCs w:val="false"/>
                <w:color w:val="000000"/>
              </w:rPr>
              <w:t xml:space="preserve">Exchange rate sanity-check</w:t>
            </w:r>
          </w:p>
        </w:tc>
        <w:tc>
          <w:tcPr>
            <w:tcW w:type="dxa" w:w="6760"/>
            <w:tcMar>
              <w:top w:type="dxa" w:w="100"/>
              <w:left w:type="dxa" w:w="120"/>
              <w:bottom w:type="dxa" w:w="100"/>
              <w:right w:type="dxa" w:w="120"/>
            </w:tcMar>
          </w:tcPr>
          <w:p>
            <w:r>
              <w:rPr>
                <w:b w:val="false"/>
                <w:bCs w:val="false"/>
                <w:color w:val="000000"/>
              </w:rPr>
              <w:t xml:space="preserve">Currently, manual exchange rate entry has no validation against typical market ranges. A soft warning (not a hard block) if an entered rate looks implausible would reduce data-entry errors. Not yet implemented — flagged for a future pass.</w:t>
            </w:r>
          </w:p>
        </w:tc>
      </w:tr>
      <w:tr>
        <w:tc>
          <w:tcPr>
            <w:tcW w:type="dxa" w:w="2600"/>
            <w:tcMar>
              <w:top w:type="dxa" w:w="100"/>
              <w:left w:type="dxa" w:w="120"/>
              <w:bottom w:type="dxa" w:w="100"/>
              <w:right w:type="dxa" w:w="120"/>
            </w:tcMar>
          </w:tcPr>
          <w:p>
            <w:r>
              <w:rPr>
                <w:b w:val="false"/>
                <w:bCs w:val="false"/>
                <w:color w:val="000000"/>
              </w:rPr>
              <w:t xml:space="preserve">CORS lockdown</w:t>
            </w:r>
          </w:p>
        </w:tc>
        <w:tc>
          <w:tcPr>
            <w:tcW w:type="dxa" w:w="6760"/>
            <w:tcMar>
              <w:top w:type="dxa" w:w="100"/>
              <w:left w:type="dxa" w:w="120"/>
              <w:bottom w:type="dxa" w:w="100"/>
              <w:right w:type="dxa" w:w="120"/>
            </w:tcMar>
          </w:tcPr>
          <w:p>
            <w:r>
              <w:rPr>
                <w:b w:val="false"/>
                <w:bCs w:val="false"/>
                <w:color w:val="000000"/>
              </w:rPr>
              <w:t xml:space="preserve">The backend currently accepts requests from any origin ("*"). Before/if this tool is exposed more broadly (beyond your own hosting), this must be restricted to the exact production domain.</w:t>
            </w:r>
          </w:p>
        </w:tc>
      </w:tr>
      <w:tr>
        <w:tc>
          <w:tcPr>
            <w:tcW w:type="dxa" w:w="2600"/>
            <w:tcMar>
              <w:top w:type="dxa" w:w="100"/>
              <w:left w:type="dxa" w:w="120"/>
              <w:bottom w:type="dxa" w:w="100"/>
              <w:right w:type="dxa" w:w="120"/>
            </w:tcMar>
          </w:tcPr>
          <w:p>
            <w:r>
              <w:rPr>
                <w:b w:val="false"/>
                <w:bCs w:val="false"/>
                <w:color w:val="000000"/>
              </w:rPr>
              <w:t xml:space="preserve">File storage for logo/signature</w:t>
            </w:r>
          </w:p>
        </w:tc>
        <w:tc>
          <w:tcPr>
            <w:tcW w:type="dxa" w:w="6760"/>
            <w:tcMar>
              <w:top w:type="dxa" w:w="100"/>
              <w:left w:type="dxa" w:w="120"/>
              <w:bottom w:type="dxa" w:w="100"/>
              <w:right w:type="dxa" w:w="120"/>
            </w:tcMar>
          </w:tcPr>
          <w:p>
            <w:r>
              <w:rPr>
                <w:b w:val="false"/>
                <w:bCs w:val="false"/>
                <w:color w:val="000000"/>
              </w:rPr>
              <w:t xml:space="preserve">Uploaded logo and signature images are currently stored as local files on the server. This works for a single-company deployment but would need to move to proper cloud storage if the tool ever supports multiple independent companies at once.</w:t>
            </w:r>
          </w:p>
        </w:tc>
      </w:tr>
    </w:tbl>
    <w:p>
      <w:pPr>
        <w:spacing w:after="100"/>
      </w:pPr>
    </w:p>
    <w:p>
      <w:r>
        <w:rPr>
          <w:b/>
          <w:bCs/>
        </w:rPr>
        <w:t xml:space="preserve">Note to developer: </w:t>
      </w:r>
      <w:r>
        <w:t xml:space="preserve">Every requirement above has already been implemented once and functionally tested (invoice creation, PDF generation, GST logic, forex calculation, ageing report) in a working reference build. If anything in this document is ambiguous, the reference build's behavior should be treated as the source of truth — please ask for a walkthrough of that build rather than guessing at intent.</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2026-09-05T16:55:26.085Z</dcterms:created>
  <dcterms:modified xsi:type="dcterms:W3CDTF">2026-09-05T16:55:26.094Z</dcterms:modified>
</cp:coreProperties>
</file>

<file path=docProps/custom.xml><?xml version="1.0" encoding="utf-8"?>
<Properties xmlns="http://schemas.openxmlformats.org/officeDocument/2006/custom-properties" xmlns:vt="http://schemas.openxmlformats.org/officeDocument/2006/docPropsVTypes"/>
</file>