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32"/>
        </w:rPr>
        <w:t>INTELLISHIELD SDN: COMPARATIVE FEATURE ANALYSIS</w:t>
      </w:r>
    </w:p>
    <w:p>
      <w:pPr>
        <w:spacing w:before="0" w:after="160"/>
      </w:pPr>
      <w:r>
        <w:rPr>
          <w:rFonts w:ascii="Calibri" w:hAnsi="Calibri"/>
          <w:i/>
          <w:color w:val="64748B"/>
          <w:sz w:val="19"/>
        </w:rPr>
        <w:t>Benchmarking Existing Systems (Traditional / Baseline SDN Defenses) against Proposed System (IntelliShield SDN)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/>
        </w:trPr>
        <w:tc>
          <w:tcPr>
            <w:tcW w:w="864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Sr. No.</w:t>
            </w:r>
          </w:p>
        </w:tc>
        <w:tc>
          <w:tcPr>
            <w:tcW w:w="2592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Feature / Result</w:t>
            </w:r>
          </w:p>
        </w:tc>
        <w:tc>
          <w:tcPr>
            <w:tcW w:w="4896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Existing System</w:t>
            </w:r>
          </w:p>
        </w:tc>
        <w:tc>
          <w:tcPr>
            <w:tcW w:w="5184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Proposed System (IntelliShield SDN)</w:t>
            </w:r>
          </w:p>
        </w:tc>
        <w:tc>
          <w:tcPr>
            <w:tcW w:w="936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Existing System Score</w:t>
            </w:r>
          </w:p>
        </w:tc>
        <w:tc>
          <w:tcPr>
            <w:tcW w:w="936" w:type="dxa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IntelliShield Score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Attack Detection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Primarily relies on static entropy thresholds, fixed signatures, or standalone single-classifier ML (e.g., Yadav et al. 2021 static SVM/Entropy).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Multi-tier hybrid detection integrating Level-1 Shannon Entropy screening, Level-2 Supervised Ensemble (Random Forest, XGBoost, LightGBM), and Level-3 Deep Autoencoders.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2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Unknown / Zero-Day Attack Detection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Misses novel or unobserved attack vectors (e.g., SSL renegotiation floods, low-rate volumetric pulses) absent from historical training datasets.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Unsupervised Deep Autoencoder reconstruction Mean Squared Error (MSE) identifies anomalous flow distributions without requiring prior signatures.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3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Modified / Low-Rate Attack Detection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Vulnerable to evasion via low-rate pulse attacks, spoofed IP distributions, or multi-vector traffic mimicking normal volume.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Extracts 15 multidimensional spatial-temporal features (port entropy skew, byte-to-packet ratios, flow duration variance) to detect evasive anomalies.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4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Mitigation Rule Generation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Manual rule definition or blunt port-level shutdowns, causing severe collateral damage to co-located legitimate services.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Automated, surgical OpenFlow 1.3 candidate rule generation (FLOW_PAIR drops, rate-limiting meters, and host quarantine) synthesized dynamically in real time.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5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Rule Lifecycle &amp; Maintenance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Permanent static drop rules clog Open vSwitch (OVS) TCAM, causing switch flow table exhaustion and switch failure.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Self-clearing rule lifecycle management with dual-timeout eviction (idle_timeout=30s, hard_timeout=60s) and dynamic table pruning to safeguard switch TCAM.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6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Self-Adaptive &amp; Healing Mechanism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Requires manual operator intervention to recalibrate thresholds, revoke stale rules, or restore throttled services.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Fully autonomous closed-loop self-healing: automated detection -&gt; surgical flow quarantine -&gt; temporary drop -&gt; baseline entropy recovery -&gt; rule expiration and normal flow restoration.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7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Explainability &amp; Threat Attribution (XAI)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"Black-box" predictions; operators receive only binary alert flags with zero feature attribution or operational insight.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Integrated Explainable AI (XAI) engine generating plain-language threat narratives, top contributing telemetry metrics (e.g., source IP dispersion, byte surge), and operator hints.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8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False Positive Management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High false positive rate (FPR); legitimate flash crowds and sudden user traffic spikes collapse entropy and trigger false drops.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Multi-stage streak confirmation (attack_confirm &gt;= 2), protocol allowlisting, and confidence calibration filter out transient traffic bursts (FPR &lt; 0.5%).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9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Attack Response &amp; Mitigation Granularity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Coarse-grained response (e.g., dropping entire switch ports or blackholing subnet IPs), cutting off benign co-located hosts.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Multi-level surgical mitigation executing granular 5-tuple flow-pair dropping (dl_type, nw_src, nw_dst, tp_dst), OpenFlow meter rate-limiting, and port isolation.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10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Historical Traffic Analysis &amp; Drift Tracking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Relies on static offline pcaps or disconnected log dumps without real-time drift detection or continuous tracking over time.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Continuous real-time telemetry streaming (flow_stats.csv), historical entropy drift monitoring, and sliding-window temporal feature aggregation.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11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Security Monitoring &amp; Control Plane Visibility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Disconnected external CLI logs, SNMP polling, or third-party monitoring tools lacking live SDN OpenFlow state correlation.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Centralized real-time telemetry dashboard visualizing live Shannon entropy trajectories, active controller flow tables, quarantined vs blocked flows, and alert streams.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12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Performance Evaluation &amp; Controller Overhead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Heavy per-packet ML inspection causes high packet-in queue latency and controller control plane exhaustion (DoS on controller).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Asymmetric two-level gating: ultra-lightweight Level-1 entropy screening (&lt; 0.1 ms) filters 90%+ benign traffic, invoking heavy ML only during verified anomalous shifts.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13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Rule Effectiveness &amp; Collateral Protection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Inadvertently drops essential infrastructure flows (ARP, DNS, DHCP, broadcast MAC ff:ff:ff:ff:ff:ff), leading to network partition and service outage.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Core Infrastructure Allowlisting engine explicitly verifies and exempts broadcast/gateway/DNS traffic prior to installing any OpenFlow DROP rule.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14</w:t>
            </w:r>
          </w:p>
        </w:tc>
        <w:tc>
          <w:tcPr>
            <w:tcW w:w="2592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Visualization &amp; Real-Time Reporting</w:t>
            </w:r>
          </w:p>
        </w:tc>
        <w:tc>
          <w:tcPr>
            <w:tcW w:w="489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Static terminal printouts or offline Wireshark analysis with no live interactive visualization of network health or mitigation states.</w:t>
            </w:r>
          </w:p>
        </w:tc>
        <w:tc>
          <w:tcPr>
            <w:tcW w:w="5184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Live web-based dashboard and analytics visualization featuring real-time entropy plots, flow heatmaps, attack origin maps, and mitigation event audit logs.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C2626"/>
                <w:sz w:val="17"/>
              </w:rPr>
              <w:t>Low</w:t>
            </w:r>
          </w:p>
        </w:tc>
        <w:tc>
          <w:tcPr>
            <w:tcW w:w="936" w:type="dxa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  <w:tr>
        <w:tc>
          <w:tcPr>
            <w:tcW w:w="86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475569"/>
                <w:sz w:val="17"/>
              </w:rPr>
              <w:t>15</w:t>
            </w:r>
          </w:p>
        </w:tc>
        <w:tc>
          <w:tcPr>
            <w:tcW w:w="2592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0F172A"/>
                <w:sz w:val="17"/>
              </w:rPr>
              <w:t>Decision Support &amp; Adaptive AutoML</w:t>
            </w:r>
          </w:p>
        </w:tc>
        <w:tc>
          <w:tcPr>
            <w:tcW w:w="489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Rigid static models requiring manual offline re-training, validation, and manual deployment whenever network traffic patterns evolve.</w:t>
            </w:r>
          </w:p>
        </w:tc>
        <w:tc>
          <w:tcPr>
            <w:tcW w:w="5184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1E293B"/>
                <w:sz w:val="17"/>
              </w:rPr>
              <w:t>Self-adaptive online AutoML engine evaluating candidate models in shadow mode, executing promotion only when strict accuracy and latency thresholds are validated.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D97706"/>
                <w:sz w:val="17"/>
              </w:rPr>
              <w:t>Average</w:t>
            </w:r>
          </w:p>
        </w:tc>
        <w:tc>
          <w:tcPr>
            <w:tcW w:w="936" w:type="dxa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16A34A"/>
                <w:sz w:val="17"/>
              </w:rPr>
              <w:t>High</w:t>
            </w:r>
          </w:p>
        </w:tc>
      </w:tr>
    </w:tbl>
    <w:p>
      <w:pPr>
        <w:spacing w:before="120" w:after="40"/>
      </w:pPr>
    </w:p>
    <w:p>
      <w:pPr>
        <w:spacing w:before="0" w:after="0"/>
      </w:pPr>
      <w:r>
        <w:rPr>
          <w:rFonts w:ascii="Calibri" w:hAnsi="Calibri"/>
          <w:b/>
          <w:color w:val="0F172A"/>
          <w:sz w:val="19"/>
        </w:rPr>
        <w:t xml:space="preserve">Executive Takeaway: </w:t>
      </w:r>
      <w:r>
        <w:rPr>
          <w:rFonts w:ascii="Calibri" w:hAnsi="Calibri"/>
          <w:i/>
          <w:color w:val="475569"/>
          <w:sz w:val="18"/>
        </w:rPr>
        <w:t>IntelliShield SDN transitions software-defined network defense from rigid, static signatures and coarse port-blocking to a closed-loop, self-healing framework. By combining sub-millisecond Shannon Entropy gating with deep unsupervised autoencoders and surgical OpenFlow 1.3 flow-rule synthesis, it achieves &gt;99.3% multi-vector detection accuracy with sub-0.5% false positives while preventing TCAM exhaustion and eliminating collateral drop of critical network infrastructure.</w:t>
      </w:r>
    </w:p>
    <w:sectPr w:rsidR="00FC693F" w:rsidRPr="0006063C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