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/>
        <w:jc w:val="center"/>
      </w:pPr>
      <w:r>
        <w:rPr>
          <w:rFonts w:ascii="Calibri" w:cs="Calibri" w:eastAsia="Calibri" w:hAnsi="Calibri"/>
          <w:b/>
          <w:bCs/>
          <w:color w:val="1A1A1A"/>
          <w:sz w:val="36"/>
          <w:szCs w:val="36"/>
        </w:rPr>
        <w:t xml:space="preserve">Uday Prakash Lakkaraju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Data Analyst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color w:val="595959"/>
                <w:sz w:val="17"/>
                <w:szCs w:val="17"/>
              </w:rPr>
              <w:t xml:space="preserve">(551)-376-9128  |  Sacramento, CA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75B6"/>
                <w:sz w:val="17"/>
                <w:szCs w:val="17"/>
              </w:rPr>
              <w:t xml:space="preserve">ludayprakash22@gmail.com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E75B6"/>
                <w:sz w:val="17"/>
                <w:szCs w:val="17"/>
              </w:rPr>
              <w:t xml:space="preserve">udaylakkaraju.me  |  github.com/Udaylakkaraju</w:t>
            </w:r>
          </w:p>
        </w:tc>
      </w:tr>
    </w:tbl>
    <w:p>
      <w:pPr>
        <w:spacing w:after="0" w:before="40"/>
      </w:pPr>
    </w:p>
    <w:p>
      <w:pPr>
        <w:spacing w:after="20" w:before="16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EDUCATION</w:t>
      </w:r>
    </w:p>
    <w:p>
      <w:pPr>
        <w:pBdr>
          <w:bottom w:val="single" w:color="2E75B6" w:sz="8" w:space="1"/>
        </w:pBdr>
        <w:spacing w:after="6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Stevens Institute of Technology</w:t>
            </w:r>
            <w:r>
              <w:rPr>
                <w:rFonts w:ascii="Calibri" w:cs="Calibri" w:eastAsia="Calibri" w:hAnsi="Calibri"/>
                <w:i/>
                <w:iCs/>
                <w:color w:val="595959"/>
                <w:sz w:val="19"/>
                <w:szCs w:val="19"/>
              </w:rPr>
              <w:t xml:space="preserve">  —  Master of Science, Information Systems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9"/>
                <w:szCs w:val="19"/>
              </w:rPr>
              <w:t xml:space="preserve">Sep 2024 – May 2026  |  New Jersey, USA</w:t>
            </w:r>
          </w:p>
        </w:tc>
      </w:tr>
    </w:tbl>
    <w:p>
      <w:pPr>
        <w:spacing w:after="20" w:before="20"/>
      </w:pPr>
      <w:r>
        <w:rPr>
          <w:rFonts w:ascii="Calibri" w:cs="Calibri" w:eastAsia="Calibri" w:hAnsi="Calibri"/>
          <w:i/>
          <w:iCs/>
          <w:color w:val="595959"/>
          <w:sz w:val="17"/>
          <w:szCs w:val="17"/>
        </w:rPr>
        <w:t xml:space="preserve">Relevant Coursework: 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Business Intelligence &amp; Analytics, Data Integration, Database Management Systems</w:t>
      </w:r>
    </w:p>
    <w:p>
      <w:pPr>
        <w:spacing w:after="0" w:before="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Sreyas Institute of Engineering and Technology</w:t>
            </w:r>
            <w:r>
              <w:rPr>
                <w:rFonts w:ascii="Calibri" w:cs="Calibri" w:eastAsia="Calibri" w:hAnsi="Calibri"/>
                <w:i/>
                <w:iCs/>
                <w:color w:val="595959"/>
                <w:sz w:val="19"/>
                <w:szCs w:val="19"/>
              </w:rPr>
              <w:t xml:space="preserve">  —  B.Tech, Computer Science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9"/>
                <w:szCs w:val="19"/>
              </w:rPr>
              <w:t xml:space="preserve">Nov 2020 – Jun 2024  |  Hyderabad, India</w:t>
            </w:r>
          </w:p>
        </w:tc>
      </w:tr>
    </w:tbl>
    <w:p>
      <w:pPr>
        <w:spacing w:after="20" w:before="20"/>
      </w:pPr>
      <w:r>
        <w:rPr>
          <w:rFonts w:ascii="Calibri" w:cs="Calibri" w:eastAsia="Calibri" w:hAnsi="Calibri"/>
          <w:i/>
          <w:iCs/>
          <w:color w:val="595959"/>
          <w:sz w:val="17"/>
          <w:szCs w:val="17"/>
        </w:rPr>
        <w:t xml:space="preserve">Relevant Coursework: </w:t>
      </w:r>
      <w:r>
        <w:rPr>
          <w:rFonts w:ascii="Calibri" w:cs="Calibri" w:eastAsia="Calibri" w:hAnsi="Calibri"/>
          <w:color w:val="595959"/>
          <w:sz w:val="17"/>
          <w:szCs w:val="17"/>
        </w:rPr>
        <w:t xml:space="preserve">Machine Learning, Statistical Methods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SKILLS</w:t>
      </w:r>
    </w:p>
    <w:p>
      <w:pPr>
        <w:pBdr>
          <w:bottom w:val="single" w:color="2E75B6" w:sz="8" w:space="1"/>
        </w:pBdr>
        <w:spacing w:after="60" w:before="0"/>
      </w:pPr>
    </w:p>
    <w:p>
      <w:pPr>
        <w:spacing w:after="20" w:before="2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Tools: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SQL (CTEs, Window Functions), Python (Pandas, NumPy, Scikit-learn), Excel (Pivot Tables, XLOOKUP)</w:t>
      </w:r>
    </w:p>
    <w:p>
      <w:pPr>
        <w:spacing w:after="20" w:before="2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Visualization: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Power BI (DAX, Power Query), Matplotlib, Seaborn, Microsoft Office (PowerPoint, Word)</w:t>
      </w:r>
    </w:p>
    <w:p>
      <w:pPr>
        <w:spacing w:after="20" w:before="2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Data &amp; Cloud: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GCP, PostgreSQL, SQLite, ETL/ELT Pipelines, dbt, Data Warehousing</w:t>
      </w:r>
    </w:p>
    <w:p>
      <w:pPr>
        <w:spacing w:after="20" w:before="2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Methods: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KPI Analysis, Root Cause Analysis, Funnel Analysis, Anomaly Detection, Cohort Analysis, Logistic Regression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EXPERIENCE</w:t>
      </w:r>
    </w:p>
    <w:p>
      <w:pPr>
        <w:pBdr>
          <w:bottom w:val="single" w:color="2E75B6" w:sz="8" w:space="1"/>
        </w:pBdr>
        <w:spacing w:after="6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Data Operations Analyst (Intern)</w:t>
            </w:r>
            <w:r>
              <w:rPr>
                <w:rFonts w:ascii="Calibri" w:cs="Calibri" w:eastAsia="Calibri" w:hAnsi="Calibri"/>
                <w:i/>
                <w:iCs/>
                <w:color w:val="595959"/>
                <w:sz w:val="19"/>
                <w:szCs w:val="19"/>
              </w:rPr>
              <w:t xml:space="preserve">  —  Sreyas Institute of Engineering and Technology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9"/>
                <w:szCs w:val="19"/>
              </w:rPr>
              <w:t xml:space="preserve">Jun 2023 – Aug 2023  |  Hyderabad, India</w:t>
            </w:r>
          </w:p>
        </w:tc>
      </w:tr>
    </w:tbl>
    <w:p>
      <w:pPr>
        <w:spacing w:after="0" w:before="20"/>
      </w:pP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Consolidated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100,000+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student records from 5 departmental Excel systems into PostgreSQL, reducing report preparation time from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3 hrs to 30 mins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across 4 departments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Audited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85,000+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records across enrollment and attendance resolving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4,500+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duplicate and incomplete entries to ensure data integrity before semester-end reporting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Presented monthly KPI and academic performance summaries to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4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department heads through executive PowerPoint reports, supporting semester planning and resource allocation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PROJECTS</w:t>
      </w:r>
    </w:p>
    <w:p>
      <w:pPr>
        <w:pBdr>
          <w:bottom w:val="single" w:color="2E75B6" w:sz="8" w:space="1"/>
        </w:pBdr>
        <w:spacing w:after="6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Supply Chain SLA &amp; Profit-at-Risk Analytics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9"/>
                <w:szCs w:val="19"/>
              </w:rPr>
              <w:t xml:space="preserve">SQL | Python | dbt | GCP</w:t>
            </w:r>
          </w:p>
        </w:tc>
      </w:tr>
    </w:tbl>
    <w:p>
      <w:pPr>
        <w:spacing w:after="0" w:before="20"/>
      </w:pP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Engineered a dbt + Python ELT pipeline on BigQuery processing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180K+ orders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, automating data ingestion and transformation workflows and reducing manual consolidation by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20%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Designed and validated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15+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SQL transformation models across fulfillment datasets, ensuring data quality and pipeline reliability for downstream KPI reporting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Identified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$2.77M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in high-margin orders lacking priority routing through BigQuery SQL analysis, surfacing operational inefficiencies impacting SLA performance</w:t>
      </w:r>
    </w:p>
    <w:p>
      <w:pPr>
        <w:spacing w:after="0" w:before="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Payment Fraud Detection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9"/>
                <w:szCs w:val="19"/>
              </w:rPr>
              <w:t xml:space="preserve">SQL | Python | BigQuery</w:t>
            </w:r>
          </w:p>
        </w:tc>
      </w:tr>
    </w:tbl>
    <w:p>
      <w:pPr>
        <w:spacing w:after="0" w:before="20"/>
      </w:pP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Quantified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$500K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in failed payment value across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51K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transactions, identifying Insufficient Funds (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51.7%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) as the primary decline driver and highest-recovery segment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Sized a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$37.5K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revenue recovery opportunity by modeling retry outcomes across issuers, card brands, and decline reasons; designed an A/B testing framework to validate retry timing before rollout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Built a gradient boosting fraud model with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83.5% recall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and zero false positives, operationalized into a daily risk-ranked review queue and surfaced through a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3-page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Power BI executive dashboard</w:t>
      </w:r>
    </w:p>
    <w:p>
      <w:pPr>
        <w:spacing w:after="0" w:before="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Pediatric CHD Care Pathway Analytics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9"/>
                <w:szCs w:val="19"/>
              </w:rPr>
              <w:t xml:space="preserve">Python | SQL | Excel | scikit-learn</w:t>
            </w:r>
          </w:p>
        </w:tc>
      </w:tr>
    </w:tbl>
    <w:p>
      <w:pPr>
        <w:spacing w:after="0" w:before="20"/>
      </w:pP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Built a Python + SQLite analytics pipeline across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9 tables (4,969 patients)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with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13 SQL queries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— CTEs, window functions, funnel aggregation — to map a 5-stage pediatric CHD care pathway end-to-end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Pinpointed referral drop-off (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44% patient loss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) as the highest-impact failure point; scenario-modeled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196 additional diagnoses (+19%)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and surfaced a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27-day Medicaid wait gap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— enabling care teams to prioritize intervention at the two highest-loss stages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Deployed a logistic regression risk model (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AUC 0.66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) identifying uninsured status and neighborhood disadvantage as the strongest dropout predictors; quantified equity gaps and scenario outcomes to support care coordination prioritization across high-risk patient segments</w:t>
      </w:r>
    </w:p>
    <w:sectPr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  <w:rPr>
        <w:rFonts w:ascii="Calibri" w:cs="Calibri" w:eastAsia="Calibri" w:hAnsi="Calibri"/>
        <w:sz w:val="19"/>
        <w:szCs w:val="19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2026-06-24T21:32:31.122Z</dcterms:created>
  <dcterms:modified xsi:type="dcterms:W3CDTF">2026-06-24T21:32:31.123Z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