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A2C" w:rsidRDefault="00566A2C" w:rsidP="004A362B">
      <w:pPr>
        <w:pStyle w:val="Heading1"/>
        <w:numPr>
          <w:ilvl w:val="0"/>
          <w:numId w:val="0"/>
        </w:numPr>
        <w:jc w:val="center"/>
        <w:rPr>
          <w:rFonts w:ascii="Arial" w:hAnsi="Arial"/>
          <w:b w:val="0"/>
          <w:color w:val="000000"/>
          <w:sz w:val="52"/>
          <w:szCs w:val="52"/>
        </w:rPr>
      </w:pPr>
    </w:p>
    <w:p w:rsidR="00566A2C" w:rsidRDefault="00566A2C" w:rsidP="00497DDD"/>
    <w:p w:rsidR="00566A2C" w:rsidRDefault="00566A2C" w:rsidP="00497DDD"/>
    <w:p w:rsidR="00566A2C" w:rsidRDefault="00566A2C" w:rsidP="00497DDD"/>
    <w:p w:rsidR="00566A2C" w:rsidRPr="00497DDD" w:rsidRDefault="00566A2C" w:rsidP="00497DDD"/>
    <w:p w:rsidR="00566A2C" w:rsidRDefault="00566A2C" w:rsidP="004A362B">
      <w:pPr>
        <w:pStyle w:val="Heading1"/>
        <w:numPr>
          <w:ilvl w:val="0"/>
          <w:numId w:val="0"/>
        </w:numPr>
        <w:jc w:val="center"/>
        <w:rPr>
          <w:rFonts w:ascii="Arial" w:hAnsi="Arial"/>
          <w:b w:val="0"/>
          <w:color w:val="000000"/>
          <w:sz w:val="52"/>
          <w:szCs w:val="52"/>
        </w:rPr>
      </w:pPr>
    </w:p>
    <w:p w:rsidR="00566A2C" w:rsidRDefault="00566A2C" w:rsidP="004A362B">
      <w:pPr>
        <w:pStyle w:val="Heading1"/>
        <w:numPr>
          <w:ilvl w:val="0"/>
          <w:numId w:val="0"/>
        </w:numPr>
        <w:jc w:val="center"/>
        <w:rPr>
          <w:rFonts w:ascii="Arial" w:hAnsi="Arial"/>
          <w:b w:val="0"/>
          <w:color w:val="000000"/>
          <w:sz w:val="52"/>
          <w:szCs w:val="52"/>
        </w:rPr>
      </w:pPr>
      <w:r w:rsidRPr="004A362B">
        <w:rPr>
          <w:rFonts w:ascii="Arial" w:hAnsi="Arial"/>
          <w:b w:val="0"/>
          <w:color w:val="000000"/>
          <w:sz w:val="52"/>
          <w:szCs w:val="52"/>
        </w:rPr>
        <w:t>Business Requirements Document for</w:t>
      </w:r>
    </w:p>
    <w:p w:rsidR="00566A2C" w:rsidRPr="00497DDD" w:rsidRDefault="00C227B6" w:rsidP="00497DDD">
      <w:pPr>
        <w:pStyle w:val="Heading1"/>
        <w:numPr>
          <w:ilvl w:val="0"/>
          <w:numId w:val="0"/>
        </w:numPr>
        <w:jc w:val="center"/>
        <w:rPr>
          <w:rFonts w:ascii="Arial" w:hAnsi="Arial"/>
          <w:b w:val="0"/>
          <w:i/>
          <w:color w:val="000000"/>
          <w:sz w:val="52"/>
          <w:szCs w:val="52"/>
        </w:rPr>
      </w:pPr>
      <w:bookmarkStart w:id="0" w:name="_[&lt;Change_ID&gt;:_Change_"/>
      <w:bookmarkEnd w:id="0"/>
      <w:r>
        <w:rPr>
          <w:rFonts w:ascii="Arial" w:hAnsi="Arial"/>
          <w:b w:val="0"/>
          <w:i/>
          <w:color w:val="000000"/>
          <w:sz w:val="52"/>
          <w:szCs w:val="52"/>
        </w:rPr>
        <w:t xml:space="preserve">Claims Dashboard for </w:t>
      </w:r>
      <w:r w:rsidR="00111EB9">
        <w:rPr>
          <w:rFonts w:ascii="Arial" w:hAnsi="Arial"/>
          <w:b w:val="0"/>
          <w:i/>
          <w:color w:val="000000"/>
          <w:sz w:val="52"/>
          <w:szCs w:val="52"/>
        </w:rPr>
        <w:t>TPA Ops</w:t>
      </w:r>
    </w:p>
    <w:p w:rsidR="00566A2C" w:rsidRPr="00497DDD" w:rsidRDefault="00566A2C" w:rsidP="005E1085">
      <w:pPr>
        <w:rPr>
          <w:color w:val="0000FF"/>
        </w:rPr>
      </w:pPr>
      <w:r>
        <w:rPr>
          <w:color w:val="0000FF"/>
        </w:rPr>
        <w:t xml:space="preserve">                                                      UW_TPAIR</w:t>
      </w:r>
    </w:p>
    <w:p w:rsidR="00566A2C" w:rsidRDefault="00566A2C" w:rsidP="008646AB">
      <w:pPr>
        <w:pStyle w:val="BodyText"/>
        <w:widowControl w:val="0"/>
        <w:suppressLineNumbers/>
        <w:suppressAutoHyphens/>
        <w:spacing w:before="0" w:after="0"/>
        <w:ind w:left="0"/>
        <w:jc w:val="center"/>
        <w:rPr>
          <w:rFonts w:ascii="Arial" w:hAnsi="Arial" w:cs="Arial"/>
          <w:sz w:val="44"/>
          <w:szCs w:val="44"/>
        </w:rPr>
      </w:pPr>
    </w:p>
    <w:p w:rsidR="00566A2C" w:rsidRPr="008646AB" w:rsidRDefault="00566A2C" w:rsidP="008646AB">
      <w:pPr>
        <w:pStyle w:val="BodyText"/>
        <w:widowControl w:val="0"/>
        <w:suppressLineNumbers/>
        <w:suppressAutoHyphens/>
        <w:spacing w:before="0" w:after="0"/>
        <w:ind w:left="0"/>
        <w:jc w:val="center"/>
        <w:rPr>
          <w:rFonts w:cs="Arial"/>
        </w:rPr>
      </w:pPr>
    </w:p>
    <w:p w:rsidR="00566A2C" w:rsidRPr="00160DE6" w:rsidRDefault="00566A2C" w:rsidP="00865476">
      <w:pPr>
        <w:widowControl w:val="0"/>
        <w:suppressLineNumbers/>
        <w:suppressAutoHyphens/>
        <w:ind w:left="0" w:firstLine="0"/>
        <w:rPr>
          <w:b/>
          <w:sz w:val="28"/>
          <w:szCs w:val="28"/>
        </w:rPr>
      </w:pPr>
      <w:r w:rsidRPr="00160DE6">
        <w:rPr>
          <w:b/>
          <w:sz w:val="28"/>
          <w:szCs w:val="28"/>
        </w:rPr>
        <w:t>Document Version Control</w:t>
      </w:r>
    </w:p>
    <w:tbl>
      <w:tblPr>
        <w:tblW w:w="919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620"/>
        <w:gridCol w:w="4590"/>
        <w:gridCol w:w="2177"/>
      </w:tblGrid>
      <w:tr w:rsidR="00566A2C" w:rsidRPr="00160DE6" w:rsidTr="004A362B">
        <w:trPr>
          <w:trHeight w:val="331"/>
        </w:trPr>
        <w:tc>
          <w:tcPr>
            <w:tcW w:w="810" w:type="dxa"/>
            <w:shd w:val="clear" w:color="auto" w:fill="D9D9D9"/>
            <w:vAlign w:val="center"/>
          </w:tcPr>
          <w:p w:rsidR="00566A2C" w:rsidRPr="00160DE6" w:rsidRDefault="00566A2C" w:rsidP="004A362B">
            <w:pPr>
              <w:pStyle w:val="TableTextLeft"/>
              <w:suppressLineNumbers/>
              <w:suppressAutoHyphens/>
              <w:jc w:val="center"/>
              <w:rPr>
                <w:rFonts w:ascii="Arial" w:hAnsi="Arial" w:cs="Arial"/>
                <w:b/>
                <w:sz w:val="18"/>
                <w:szCs w:val="18"/>
              </w:rPr>
            </w:pPr>
            <w:r w:rsidRPr="00160DE6">
              <w:rPr>
                <w:rFonts w:ascii="Arial" w:hAnsi="Arial" w:cs="Arial"/>
                <w:b/>
                <w:sz w:val="18"/>
                <w:szCs w:val="18"/>
              </w:rPr>
              <w:t>Ver.</w:t>
            </w:r>
          </w:p>
        </w:tc>
        <w:tc>
          <w:tcPr>
            <w:tcW w:w="1620" w:type="dxa"/>
            <w:shd w:val="clear" w:color="auto" w:fill="D9D9D9"/>
            <w:vAlign w:val="center"/>
          </w:tcPr>
          <w:p w:rsidR="00566A2C" w:rsidRPr="004A362B" w:rsidRDefault="00566A2C" w:rsidP="004A362B">
            <w:pPr>
              <w:pStyle w:val="TableTextLeft"/>
              <w:ind w:firstLine="0"/>
              <w:rPr>
                <w:rFonts w:ascii="Arial" w:hAnsi="Arial" w:cs="Arial"/>
                <w:b/>
                <w:bCs/>
                <w:sz w:val="18"/>
                <w:szCs w:val="18"/>
              </w:rPr>
            </w:pPr>
            <w:r>
              <w:rPr>
                <w:rFonts w:ascii="Arial" w:hAnsi="Arial" w:cs="Arial"/>
                <w:b/>
                <w:bCs/>
                <w:sz w:val="18"/>
                <w:szCs w:val="18"/>
              </w:rPr>
              <w:t xml:space="preserve">       </w:t>
            </w:r>
            <w:r w:rsidRPr="004A362B">
              <w:rPr>
                <w:rFonts w:ascii="Arial" w:hAnsi="Arial" w:cs="Arial"/>
                <w:b/>
                <w:bCs/>
                <w:sz w:val="18"/>
                <w:szCs w:val="18"/>
              </w:rPr>
              <w:t>Date</w:t>
            </w:r>
          </w:p>
        </w:tc>
        <w:tc>
          <w:tcPr>
            <w:tcW w:w="4590" w:type="dxa"/>
            <w:shd w:val="clear" w:color="auto" w:fill="D9D9D9"/>
            <w:vAlign w:val="center"/>
          </w:tcPr>
          <w:p w:rsidR="00566A2C" w:rsidRPr="00160DE6" w:rsidRDefault="00566A2C" w:rsidP="004A362B">
            <w:pPr>
              <w:pStyle w:val="TableTextLeft"/>
              <w:suppressLineNumbers/>
              <w:suppressAutoHyphens/>
              <w:jc w:val="center"/>
              <w:rPr>
                <w:rFonts w:ascii="Arial" w:hAnsi="Arial" w:cs="Arial"/>
                <w:b/>
                <w:sz w:val="18"/>
                <w:szCs w:val="18"/>
              </w:rPr>
            </w:pPr>
            <w:r w:rsidRPr="00160DE6">
              <w:rPr>
                <w:rFonts w:ascii="Arial" w:hAnsi="Arial" w:cs="Arial"/>
                <w:b/>
                <w:sz w:val="18"/>
                <w:szCs w:val="18"/>
              </w:rPr>
              <w:t>Revision Description</w:t>
            </w:r>
          </w:p>
        </w:tc>
        <w:tc>
          <w:tcPr>
            <w:tcW w:w="2177" w:type="dxa"/>
            <w:shd w:val="clear" w:color="auto" w:fill="D9D9D9"/>
            <w:vAlign w:val="center"/>
          </w:tcPr>
          <w:p w:rsidR="00566A2C" w:rsidRPr="00160DE6" w:rsidRDefault="00566A2C" w:rsidP="00F076D8">
            <w:pPr>
              <w:pStyle w:val="TableTextLeft"/>
              <w:suppressLineNumbers/>
              <w:suppressAutoHyphens/>
              <w:ind w:left="432"/>
              <w:jc w:val="center"/>
              <w:rPr>
                <w:rFonts w:ascii="Arial" w:hAnsi="Arial" w:cs="Arial"/>
                <w:b/>
                <w:sz w:val="18"/>
                <w:szCs w:val="18"/>
              </w:rPr>
            </w:pPr>
            <w:r w:rsidRPr="00160DE6">
              <w:rPr>
                <w:rFonts w:ascii="Arial" w:hAnsi="Arial" w:cs="Arial"/>
                <w:b/>
                <w:sz w:val="18"/>
                <w:szCs w:val="18"/>
              </w:rPr>
              <w:t>Author(s)</w:t>
            </w:r>
          </w:p>
        </w:tc>
      </w:tr>
      <w:tr w:rsidR="00566A2C" w:rsidRPr="00A428F7" w:rsidTr="004A362B">
        <w:tc>
          <w:tcPr>
            <w:tcW w:w="810" w:type="dxa"/>
          </w:tcPr>
          <w:p w:rsidR="00566A2C" w:rsidRPr="00A428F7" w:rsidRDefault="00566A2C" w:rsidP="004A362B">
            <w:pPr>
              <w:pStyle w:val="TableTextLeft"/>
              <w:suppressLineNumbers/>
              <w:suppressAutoHyphens/>
              <w:jc w:val="center"/>
              <w:rPr>
                <w:rFonts w:ascii="Arial" w:hAnsi="Arial" w:cs="Arial"/>
                <w:sz w:val="16"/>
                <w:szCs w:val="16"/>
              </w:rPr>
            </w:pPr>
            <w:r>
              <w:rPr>
                <w:rFonts w:ascii="Arial" w:hAnsi="Arial" w:cs="Arial"/>
                <w:sz w:val="16"/>
                <w:szCs w:val="16"/>
              </w:rPr>
              <w:t>1.0</w:t>
            </w:r>
          </w:p>
        </w:tc>
        <w:tc>
          <w:tcPr>
            <w:tcW w:w="1620" w:type="dxa"/>
          </w:tcPr>
          <w:p w:rsidR="00566A2C" w:rsidRPr="00A428F7" w:rsidRDefault="00C227B6" w:rsidP="003734DB">
            <w:pPr>
              <w:pStyle w:val="TableTextLeft"/>
              <w:suppressLineNumbers/>
              <w:suppressAutoHyphens/>
              <w:ind w:left="-46" w:firstLine="0"/>
              <w:jc w:val="center"/>
              <w:rPr>
                <w:rFonts w:ascii="Arial" w:hAnsi="Arial" w:cs="Arial"/>
                <w:sz w:val="16"/>
                <w:szCs w:val="16"/>
              </w:rPr>
            </w:pPr>
            <w:r>
              <w:rPr>
                <w:rFonts w:ascii="Arial" w:hAnsi="Arial" w:cs="Arial"/>
                <w:sz w:val="16"/>
                <w:szCs w:val="16"/>
              </w:rPr>
              <w:t>5/5/2017</w:t>
            </w:r>
          </w:p>
        </w:tc>
        <w:tc>
          <w:tcPr>
            <w:tcW w:w="4590" w:type="dxa"/>
          </w:tcPr>
          <w:p w:rsidR="00566A2C" w:rsidRPr="00A428F7" w:rsidRDefault="00566A2C" w:rsidP="00F076D8">
            <w:pPr>
              <w:pStyle w:val="TableTextLeft"/>
              <w:ind w:left="342"/>
              <w:rPr>
                <w:rFonts w:ascii="Arial" w:hAnsi="Arial" w:cs="Arial"/>
                <w:bCs/>
                <w:sz w:val="16"/>
                <w:szCs w:val="16"/>
              </w:rPr>
            </w:pPr>
            <w:r>
              <w:rPr>
                <w:rFonts w:ascii="Arial" w:hAnsi="Arial" w:cs="Arial"/>
                <w:bCs/>
                <w:sz w:val="16"/>
                <w:szCs w:val="16"/>
              </w:rPr>
              <w:t>Initial Draft</w:t>
            </w:r>
          </w:p>
        </w:tc>
        <w:tc>
          <w:tcPr>
            <w:tcW w:w="2177" w:type="dxa"/>
          </w:tcPr>
          <w:p w:rsidR="00566A2C" w:rsidRPr="00A428F7" w:rsidRDefault="00566A2C" w:rsidP="00F076D8">
            <w:pPr>
              <w:pStyle w:val="TableTextLeft"/>
              <w:suppressLineNumbers/>
              <w:suppressAutoHyphens/>
              <w:ind w:left="72" w:firstLine="0"/>
              <w:jc w:val="center"/>
              <w:rPr>
                <w:rFonts w:ascii="Arial" w:hAnsi="Arial" w:cs="Arial"/>
                <w:sz w:val="16"/>
                <w:szCs w:val="16"/>
              </w:rPr>
            </w:pPr>
            <w:r>
              <w:rPr>
                <w:rFonts w:ascii="Arial" w:hAnsi="Arial" w:cs="Arial"/>
                <w:sz w:val="16"/>
                <w:szCs w:val="16"/>
              </w:rPr>
              <w:t>Nick Bongiovanni</w:t>
            </w:r>
          </w:p>
        </w:tc>
      </w:tr>
      <w:tr w:rsidR="00566A2C" w:rsidRPr="00A428F7" w:rsidTr="004A362B">
        <w:tc>
          <w:tcPr>
            <w:tcW w:w="810" w:type="dxa"/>
          </w:tcPr>
          <w:p w:rsidR="00566A2C" w:rsidRPr="00A428F7" w:rsidRDefault="00455C44" w:rsidP="004A362B">
            <w:pPr>
              <w:pStyle w:val="TableTextLeft"/>
              <w:suppressLineNumbers/>
              <w:suppressAutoHyphens/>
              <w:jc w:val="center"/>
              <w:rPr>
                <w:rFonts w:ascii="Arial" w:hAnsi="Arial" w:cs="Arial"/>
                <w:sz w:val="16"/>
                <w:szCs w:val="16"/>
              </w:rPr>
            </w:pPr>
            <w:r>
              <w:rPr>
                <w:rFonts w:ascii="Arial" w:hAnsi="Arial" w:cs="Arial"/>
                <w:sz w:val="16"/>
                <w:szCs w:val="16"/>
              </w:rPr>
              <w:t>1.1</w:t>
            </w:r>
          </w:p>
        </w:tc>
        <w:tc>
          <w:tcPr>
            <w:tcW w:w="1620" w:type="dxa"/>
          </w:tcPr>
          <w:p w:rsidR="00566A2C" w:rsidRPr="00A428F7" w:rsidRDefault="00455C44" w:rsidP="00F076D8">
            <w:pPr>
              <w:pStyle w:val="TableTextLeft"/>
              <w:suppressLineNumbers/>
              <w:suppressAutoHyphens/>
              <w:ind w:left="-46" w:firstLine="0"/>
              <w:jc w:val="center"/>
              <w:rPr>
                <w:rFonts w:ascii="Arial" w:hAnsi="Arial" w:cs="Arial"/>
                <w:sz w:val="16"/>
                <w:szCs w:val="16"/>
              </w:rPr>
            </w:pPr>
            <w:r>
              <w:rPr>
                <w:rFonts w:ascii="Arial" w:hAnsi="Arial" w:cs="Arial"/>
                <w:sz w:val="16"/>
                <w:szCs w:val="16"/>
              </w:rPr>
              <w:t>5/8/2017</w:t>
            </w:r>
          </w:p>
        </w:tc>
        <w:tc>
          <w:tcPr>
            <w:tcW w:w="4590" w:type="dxa"/>
          </w:tcPr>
          <w:p w:rsidR="00566A2C" w:rsidRPr="00A428F7" w:rsidRDefault="00455C44" w:rsidP="00F076D8">
            <w:pPr>
              <w:pStyle w:val="TableTextLeft"/>
              <w:ind w:firstLine="0"/>
              <w:rPr>
                <w:rFonts w:ascii="Arial" w:hAnsi="Arial" w:cs="Arial"/>
                <w:bCs/>
                <w:sz w:val="16"/>
                <w:szCs w:val="16"/>
              </w:rPr>
            </w:pPr>
            <w:r>
              <w:rPr>
                <w:rFonts w:ascii="Arial" w:hAnsi="Arial" w:cs="Arial"/>
                <w:bCs/>
                <w:sz w:val="16"/>
                <w:szCs w:val="16"/>
              </w:rPr>
              <w:t>Revised Draft</w:t>
            </w:r>
          </w:p>
        </w:tc>
        <w:tc>
          <w:tcPr>
            <w:tcW w:w="2177" w:type="dxa"/>
          </w:tcPr>
          <w:p w:rsidR="00566A2C" w:rsidRPr="00A428F7" w:rsidRDefault="00455C44" w:rsidP="00F076D8">
            <w:pPr>
              <w:pStyle w:val="TableTextLeft"/>
              <w:suppressLineNumbers/>
              <w:suppressAutoHyphens/>
              <w:ind w:left="72" w:firstLine="0"/>
              <w:jc w:val="center"/>
              <w:rPr>
                <w:rFonts w:ascii="Arial" w:hAnsi="Arial" w:cs="Arial"/>
                <w:sz w:val="16"/>
                <w:szCs w:val="16"/>
              </w:rPr>
            </w:pPr>
            <w:r>
              <w:rPr>
                <w:rFonts w:ascii="Arial" w:hAnsi="Arial" w:cs="Arial"/>
                <w:sz w:val="16"/>
                <w:szCs w:val="16"/>
              </w:rPr>
              <w:t>Nick Bongiovanni</w:t>
            </w:r>
          </w:p>
        </w:tc>
      </w:tr>
      <w:tr w:rsidR="00566A2C" w:rsidRPr="00A428F7" w:rsidTr="004A362B">
        <w:tc>
          <w:tcPr>
            <w:tcW w:w="810" w:type="dxa"/>
          </w:tcPr>
          <w:p w:rsidR="00566A2C" w:rsidRPr="00A428F7" w:rsidRDefault="008F55D4" w:rsidP="004A362B">
            <w:pPr>
              <w:pStyle w:val="TableTextLeft"/>
              <w:suppressLineNumbers/>
              <w:suppressAutoHyphens/>
              <w:jc w:val="center"/>
              <w:rPr>
                <w:rFonts w:ascii="Arial" w:hAnsi="Arial" w:cs="Arial"/>
                <w:sz w:val="16"/>
                <w:szCs w:val="16"/>
              </w:rPr>
            </w:pPr>
            <w:r>
              <w:rPr>
                <w:rFonts w:ascii="Arial" w:hAnsi="Arial" w:cs="Arial"/>
                <w:sz w:val="16"/>
                <w:szCs w:val="16"/>
              </w:rPr>
              <w:t>1.2</w:t>
            </w:r>
          </w:p>
        </w:tc>
        <w:tc>
          <w:tcPr>
            <w:tcW w:w="1620" w:type="dxa"/>
          </w:tcPr>
          <w:p w:rsidR="00566A2C" w:rsidRPr="00A428F7" w:rsidRDefault="008F55D4" w:rsidP="00F076D8">
            <w:pPr>
              <w:pStyle w:val="TableTextLeft"/>
              <w:suppressLineNumbers/>
              <w:suppressAutoHyphens/>
              <w:ind w:left="-46" w:firstLine="0"/>
              <w:jc w:val="center"/>
              <w:rPr>
                <w:rFonts w:ascii="Arial" w:hAnsi="Arial" w:cs="Arial"/>
                <w:sz w:val="16"/>
                <w:szCs w:val="16"/>
              </w:rPr>
            </w:pPr>
            <w:r>
              <w:rPr>
                <w:rFonts w:ascii="Arial" w:hAnsi="Arial" w:cs="Arial"/>
                <w:sz w:val="16"/>
                <w:szCs w:val="16"/>
              </w:rPr>
              <w:t>7/20/2017</w:t>
            </w:r>
          </w:p>
        </w:tc>
        <w:tc>
          <w:tcPr>
            <w:tcW w:w="4590" w:type="dxa"/>
          </w:tcPr>
          <w:p w:rsidR="00566A2C" w:rsidRPr="00A428F7" w:rsidRDefault="008F55D4" w:rsidP="00F076D8">
            <w:pPr>
              <w:pStyle w:val="TableTextLeft"/>
              <w:ind w:firstLine="0"/>
              <w:rPr>
                <w:rFonts w:ascii="Arial" w:hAnsi="Arial" w:cs="Arial"/>
                <w:bCs/>
                <w:sz w:val="16"/>
                <w:szCs w:val="16"/>
              </w:rPr>
            </w:pPr>
            <w:r>
              <w:rPr>
                <w:rFonts w:ascii="Arial" w:hAnsi="Arial" w:cs="Arial"/>
                <w:bCs/>
                <w:sz w:val="16"/>
                <w:szCs w:val="16"/>
              </w:rPr>
              <w:t>Revised Draft</w:t>
            </w:r>
          </w:p>
        </w:tc>
        <w:tc>
          <w:tcPr>
            <w:tcW w:w="2177" w:type="dxa"/>
          </w:tcPr>
          <w:p w:rsidR="00566A2C" w:rsidRPr="00A428F7" w:rsidRDefault="008F55D4" w:rsidP="00F076D8">
            <w:pPr>
              <w:pStyle w:val="TableTextLeft"/>
              <w:suppressLineNumbers/>
              <w:suppressAutoHyphens/>
              <w:ind w:left="72" w:firstLine="0"/>
              <w:jc w:val="center"/>
              <w:rPr>
                <w:rFonts w:ascii="Arial" w:hAnsi="Arial" w:cs="Arial"/>
                <w:sz w:val="16"/>
                <w:szCs w:val="16"/>
              </w:rPr>
            </w:pPr>
            <w:r>
              <w:rPr>
                <w:rFonts w:ascii="Arial" w:hAnsi="Arial" w:cs="Arial"/>
                <w:sz w:val="16"/>
                <w:szCs w:val="16"/>
              </w:rPr>
              <w:t>Nick Bongiovanni</w:t>
            </w:r>
            <w:bookmarkStart w:id="1" w:name="_GoBack"/>
            <w:bookmarkEnd w:id="1"/>
          </w:p>
        </w:tc>
      </w:tr>
      <w:tr w:rsidR="00566A2C" w:rsidRPr="00A428F7" w:rsidTr="004A362B">
        <w:tc>
          <w:tcPr>
            <w:tcW w:w="810" w:type="dxa"/>
          </w:tcPr>
          <w:p w:rsidR="00566A2C" w:rsidRPr="00A428F7" w:rsidRDefault="00566A2C" w:rsidP="004A362B">
            <w:pPr>
              <w:pStyle w:val="TableTextLeft"/>
              <w:suppressLineNumbers/>
              <w:suppressAutoHyphens/>
              <w:jc w:val="center"/>
              <w:rPr>
                <w:rFonts w:ascii="Arial" w:hAnsi="Arial" w:cs="Arial"/>
                <w:sz w:val="16"/>
                <w:szCs w:val="16"/>
              </w:rPr>
            </w:pPr>
          </w:p>
        </w:tc>
        <w:tc>
          <w:tcPr>
            <w:tcW w:w="1620" w:type="dxa"/>
          </w:tcPr>
          <w:p w:rsidR="00566A2C" w:rsidRPr="00A428F7" w:rsidRDefault="00566A2C" w:rsidP="00F076D8">
            <w:pPr>
              <w:pStyle w:val="TableTextLeft"/>
              <w:suppressLineNumbers/>
              <w:suppressAutoHyphens/>
              <w:ind w:left="-46" w:firstLine="0"/>
              <w:jc w:val="center"/>
              <w:rPr>
                <w:rFonts w:ascii="Arial" w:hAnsi="Arial" w:cs="Arial"/>
                <w:sz w:val="16"/>
                <w:szCs w:val="16"/>
              </w:rPr>
            </w:pPr>
          </w:p>
        </w:tc>
        <w:tc>
          <w:tcPr>
            <w:tcW w:w="4590" w:type="dxa"/>
          </w:tcPr>
          <w:p w:rsidR="00566A2C" w:rsidRPr="00A428F7" w:rsidRDefault="00566A2C" w:rsidP="00F076D8">
            <w:pPr>
              <w:pStyle w:val="TableTextLeft"/>
              <w:ind w:firstLine="0"/>
              <w:rPr>
                <w:rFonts w:ascii="Arial" w:hAnsi="Arial" w:cs="Arial"/>
                <w:bCs/>
                <w:sz w:val="16"/>
                <w:szCs w:val="16"/>
              </w:rPr>
            </w:pPr>
          </w:p>
        </w:tc>
        <w:tc>
          <w:tcPr>
            <w:tcW w:w="2177" w:type="dxa"/>
          </w:tcPr>
          <w:p w:rsidR="00566A2C" w:rsidRPr="00A428F7" w:rsidRDefault="00566A2C" w:rsidP="00F076D8">
            <w:pPr>
              <w:pStyle w:val="TableTextLeft"/>
              <w:suppressLineNumbers/>
              <w:suppressAutoHyphens/>
              <w:ind w:left="72" w:firstLine="0"/>
              <w:jc w:val="center"/>
              <w:rPr>
                <w:rFonts w:ascii="Arial" w:hAnsi="Arial" w:cs="Arial"/>
                <w:sz w:val="16"/>
                <w:szCs w:val="16"/>
              </w:rPr>
            </w:pPr>
          </w:p>
        </w:tc>
      </w:tr>
      <w:tr w:rsidR="00566A2C" w:rsidRPr="00A428F7" w:rsidTr="004A362B">
        <w:tc>
          <w:tcPr>
            <w:tcW w:w="810" w:type="dxa"/>
          </w:tcPr>
          <w:p w:rsidR="00566A2C" w:rsidRDefault="00566A2C" w:rsidP="004A362B">
            <w:pPr>
              <w:pStyle w:val="TableTextLeft"/>
              <w:suppressLineNumbers/>
              <w:suppressAutoHyphens/>
              <w:jc w:val="center"/>
              <w:rPr>
                <w:rFonts w:ascii="Arial" w:hAnsi="Arial" w:cs="Arial"/>
                <w:sz w:val="16"/>
                <w:szCs w:val="16"/>
              </w:rPr>
            </w:pPr>
          </w:p>
        </w:tc>
        <w:tc>
          <w:tcPr>
            <w:tcW w:w="1620" w:type="dxa"/>
          </w:tcPr>
          <w:p w:rsidR="00566A2C" w:rsidRDefault="00566A2C" w:rsidP="00F076D8">
            <w:pPr>
              <w:pStyle w:val="TableTextLeft"/>
              <w:suppressLineNumbers/>
              <w:suppressAutoHyphens/>
              <w:ind w:left="-46" w:firstLine="0"/>
              <w:jc w:val="center"/>
              <w:rPr>
                <w:rFonts w:ascii="Arial" w:hAnsi="Arial" w:cs="Arial"/>
                <w:sz w:val="16"/>
                <w:szCs w:val="16"/>
              </w:rPr>
            </w:pPr>
          </w:p>
        </w:tc>
        <w:tc>
          <w:tcPr>
            <w:tcW w:w="4590" w:type="dxa"/>
          </w:tcPr>
          <w:p w:rsidR="00566A2C" w:rsidRDefault="00566A2C" w:rsidP="00F076D8">
            <w:pPr>
              <w:pStyle w:val="TableTextLeft"/>
              <w:ind w:firstLine="0"/>
              <w:rPr>
                <w:rFonts w:ascii="Arial" w:hAnsi="Arial" w:cs="Arial"/>
                <w:bCs/>
                <w:sz w:val="16"/>
                <w:szCs w:val="16"/>
              </w:rPr>
            </w:pPr>
          </w:p>
        </w:tc>
        <w:tc>
          <w:tcPr>
            <w:tcW w:w="2177" w:type="dxa"/>
          </w:tcPr>
          <w:p w:rsidR="00566A2C" w:rsidRDefault="00566A2C" w:rsidP="00F076D8">
            <w:pPr>
              <w:pStyle w:val="TableTextLeft"/>
              <w:suppressLineNumbers/>
              <w:suppressAutoHyphens/>
              <w:ind w:left="72" w:firstLine="0"/>
              <w:jc w:val="center"/>
              <w:rPr>
                <w:rFonts w:ascii="Arial" w:hAnsi="Arial" w:cs="Arial"/>
                <w:sz w:val="16"/>
                <w:szCs w:val="16"/>
              </w:rPr>
            </w:pPr>
          </w:p>
        </w:tc>
      </w:tr>
      <w:tr w:rsidR="00566A2C" w:rsidRPr="00A428F7" w:rsidTr="004A362B">
        <w:tc>
          <w:tcPr>
            <w:tcW w:w="810" w:type="dxa"/>
          </w:tcPr>
          <w:p w:rsidR="00566A2C" w:rsidRDefault="00566A2C" w:rsidP="004A362B">
            <w:pPr>
              <w:pStyle w:val="TableTextLeft"/>
              <w:suppressLineNumbers/>
              <w:suppressAutoHyphens/>
              <w:jc w:val="center"/>
              <w:rPr>
                <w:rFonts w:ascii="Arial" w:hAnsi="Arial" w:cs="Arial"/>
                <w:sz w:val="16"/>
                <w:szCs w:val="16"/>
              </w:rPr>
            </w:pPr>
          </w:p>
        </w:tc>
        <w:tc>
          <w:tcPr>
            <w:tcW w:w="1620" w:type="dxa"/>
          </w:tcPr>
          <w:p w:rsidR="00566A2C" w:rsidRDefault="00566A2C" w:rsidP="00F076D8">
            <w:pPr>
              <w:pStyle w:val="TableTextLeft"/>
              <w:suppressLineNumbers/>
              <w:suppressAutoHyphens/>
              <w:ind w:left="-46" w:firstLine="0"/>
              <w:jc w:val="center"/>
              <w:rPr>
                <w:rFonts w:ascii="Arial" w:hAnsi="Arial" w:cs="Arial"/>
                <w:sz w:val="16"/>
                <w:szCs w:val="16"/>
              </w:rPr>
            </w:pPr>
          </w:p>
        </w:tc>
        <w:tc>
          <w:tcPr>
            <w:tcW w:w="4590" w:type="dxa"/>
          </w:tcPr>
          <w:p w:rsidR="00566A2C" w:rsidRDefault="00566A2C" w:rsidP="00F076D8">
            <w:pPr>
              <w:pStyle w:val="TableTextLeft"/>
              <w:ind w:firstLine="0"/>
              <w:rPr>
                <w:rFonts w:ascii="Arial" w:hAnsi="Arial" w:cs="Arial"/>
                <w:bCs/>
                <w:sz w:val="16"/>
                <w:szCs w:val="16"/>
              </w:rPr>
            </w:pPr>
          </w:p>
        </w:tc>
        <w:tc>
          <w:tcPr>
            <w:tcW w:w="2177" w:type="dxa"/>
          </w:tcPr>
          <w:p w:rsidR="00566A2C" w:rsidRDefault="00566A2C" w:rsidP="00F076D8">
            <w:pPr>
              <w:pStyle w:val="TableTextLeft"/>
              <w:suppressLineNumbers/>
              <w:suppressAutoHyphens/>
              <w:ind w:left="72" w:firstLine="0"/>
              <w:jc w:val="center"/>
              <w:rPr>
                <w:rFonts w:ascii="Arial" w:hAnsi="Arial" w:cs="Arial"/>
                <w:sz w:val="16"/>
                <w:szCs w:val="16"/>
              </w:rPr>
            </w:pPr>
          </w:p>
        </w:tc>
      </w:tr>
    </w:tbl>
    <w:p w:rsidR="00566A2C" w:rsidRPr="007B566B" w:rsidRDefault="00566A2C" w:rsidP="007B566B">
      <w:pPr>
        <w:widowControl w:val="0"/>
        <w:suppressLineNumbers/>
        <w:suppressAutoHyphens/>
        <w:ind w:left="0" w:firstLine="0"/>
        <w:rPr>
          <w:b/>
          <w:sz w:val="28"/>
          <w:szCs w:val="28"/>
        </w:rPr>
      </w:pPr>
      <w:bookmarkStart w:id="2" w:name="_Toc266960931"/>
      <w:bookmarkStart w:id="3" w:name="_Toc267037402"/>
      <w:bookmarkStart w:id="4" w:name="_Toc274214372"/>
      <w:bookmarkStart w:id="5" w:name="_Toc287359026"/>
      <w:r>
        <w:rPr>
          <w:rStyle w:val="Strong"/>
        </w:rPr>
        <w:br w:type="page"/>
      </w:r>
      <w:r w:rsidRPr="007B566B">
        <w:rPr>
          <w:rFonts w:ascii="Times New Roman Bold" w:hAnsi="Times New Roman Bold"/>
          <w:b/>
          <w:color w:val="0033CC"/>
          <w:sz w:val="28"/>
          <w:szCs w:val="28"/>
        </w:rPr>
        <w:lastRenderedPageBreak/>
        <w:t>Purpose</w:t>
      </w:r>
      <w:bookmarkEnd w:id="2"/>
      <w:bookmarkEnd w:id="3"/>
      <w:bookmarkEnd w:id="4"/>
      <w:bookmarkEnd w:id="5"/>
      <w:r w:rsidRPr="007B566B">
        <w:rPr>
          <w:b/>
          <w:sz w:val="28"/>
          <w:szCs w:val="28"/>
        </w:rPr>
        <w:t xml:space="preserve"> </w:t>
      </w:r>
    </w:p>
    <w:p w:rsidR="00566A2C" w:rsidRPr="00160DE6" w:rsidRDefault="00566A2C" w:rsidP="00865476">
      <w:pPr>
        <w:pStyle w:val="Body"/>
        <w:jc w:val="both"/>
      </w:pPr>
      <w:bookmarkStart w:id="6" w:name="_Toc266960932"/>
      <w:bookmarkStart w:id="7" w:name="_Toc267037403"/>
      <w:r w:rsidRPr="00160DE6">
        <w:t>This Business Requirements Document (BRD) is a formal translation of associated business needs and requirements; (both functional and non-functional). It has four primary functions:</w:t>
      </w:r>
    </w:p>
    <w:p w:rsidR="00566A2C" w:rsidRPr="00160DE6" w:rsidRDefault="00566A2C" w:rsidP="00865476">
      <w:pPr>
        <w:pStyle w:val="Body"/>
        <w:jc w:val="both"/>
      </w:pPr>
      <w:r w:rsidRPr="00160DE6">
        <w:t>Enable end-users and other stakeholders to validate that the requirements are complete and accurate</w:t>
      </w:r>
    </w:p>
    <w:p w:rsidR="00566A2C" w:rsidRPr="00160DE6" w:rsidRDefault="00566A2C" w:rsidP="00865476">
      <w:pPr>
        <w:pStyle w:val="Body"/>
        <w:jc w:val="both"/>
      </w:pPr>
      <w:r w:rsidRPr="00160DE6">
        <w:t>Enable the design, development, and testing of automated solutions, aligned with stated business needs and requirements.</w:t>
      </w:r>
    </w:p>
    <w:p w:rsidR="00566A2C" w:rsidRPr="00160DE6" w:rsidRDefault="00566A2C" w:rsidP="00865476">
      <w:pPr>
        <w:pStyle w:val="Body"/>
        <w:jc w:val="both"/>
      </w:pPr>
      <w:r w:rsidRPr="00160DE6">
        <w:t>Enable traceability between the stated requirements, code, test scripts, and software product functionality</w:t>
      </w:r>
    </w:p>
    <w:p w:rsidR="00566A2C" w:rsidRPr="00160DE6" w:rsidRDefault="00566A2C" w:rsidP="00865476">
      <w:pPr>
        <w:pStyle w:val="Body"/>
        <w:jc w:val="both"/>
      </w:pPr>
      <w:r w:rsidRPr="00160DE6">
        <w:t>Enable changes in requirements to be effectively managed throughout the System Development Life Cycle (SDLC)</w:t>
      </w:r>
    </w:p>
    <w:p w:rsidR="00566A2C" w:rsidRPr="007B566B" w:rsidRDefault="00566A2C" w:rsidP="007B566B">
      <w:pPr>
        <w:widowControl w:val="0"/>
        <w:suppressLineNumbers/>
        <w:suppressAutoHyphens/>
        <w:ind w:left="0" w:firstLine="0"/>
        <w:rPr>
          <w:rFonts w:ascii="Times New Roman Bold" w:hAnsi="Times New Roman Bold"/>
          <w:b/>
          <w:bCs/>
          <w:color w:val="0033CC"/>
          <w:sz w:val="28"/>
          <w:szCs w:val="28"/>
        </w:rPr>
      </w:pPr>
      <w:bookmarkStart w:id="8" w:name="_Toc266960933"/>
      <w:bookmarkStart w:id="9" w:name="_Toc267037404"/>
      <w:bookmarkStart w:id="10" w:name="_Toc274214374"/>
      <w:bookmarkStart w:id="11" w:name="_Toc287359028"/>
      <w:bookmarkEnd w:id="6"/>
      <w:bookmarkEnd w:id="7"/>
      <w:r w:rsidRPr="007B566B">
        <w:rPr>
          <w:rFonts w:ascii="Times New Roman Bold" w:hAnsi="Times New Roman Bold"/>
          <w:b/>
          <w:bCs/>
          <w:color w:val="0033CC"/>
          <w:sz w:val="28"/>
          <w:szCs w:val="28"/>
        </w:rPr>
        <w:t>Participants</w:t>
      </w:r>
      <w:bookmarkEnd w:id="8"/>
      <w:bookmarkEnd w:id="9"/>
      <w:bookmarkEnd w:id="10"/>
      <w:bookmarkEnd w:id="11"/>
    </w:p>
    <w:tbl>
      <w:tblPr>
        <w:tblW w:w="5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3168"/>
      </w:tblGrid>
      <w:tr w:rsidR="00C227B6" w:rsidRPr="002B3A68" w:rsidTr="00C227B6">
        <w:trPr>
          <w:trHeight w:val="278"/>
          <w:tblHeader/>
        </w:trPr>
        <w:tc>
          <w:tcPr>
            <w:tcW w:w="1980" w:type="dxa"/>
            <w:shd w:val="clear" w:color="auto" w:fill="E6E6E6"/>
          </w:tcPr>
          <w:p w:rsidR="00C227B6" w:rsidRPr="002B3A68" w:rsidRDefault="00C227B6" w:rsidP="000F6514">
            <w:pPr>
              <w:pStyle w:val="BodyTextIndent2"/>
              <w:spacing w:after="60" w:line="240" w:lineRule="auto"/>
              <w:ind w:left="432"/>
              <w:jc w:val="center"/>
              <w:rPr>
                <w:b/>
              </w:rPr>
            </w:pPr>
            <w:r w:rsidRPr="002B3A68">
              <w:rPr>
                <w:b/>
              </w:rPr>
              <w:t>Name</w:t>
            </w:r>
          </w:p>
        </w:tc>
        <w:tc>
          <w:tcPr>
            <w:tcW w:w="3168" w:type="dxa"/>
            <w:shd w:val="clear" w:color="auto" w:fill="E6E6E6"/>
          </w:tcPr>
          <w:p w:rsidR="00C227B6" w:rsidRPr="002B3A68" w:rsidRDefault="00C227B6" w:rsidP="000F6514">
            <w:pPr>
              <w:pStyle w:val="BodyTextIndent2"/>
              <w:spacing w:after="60" w:line="240" w:lineRule="auto"/>
              <w:ind w:left="432"/>
              <w:jc w:val="center"/>
              <w:rPr>
                <w:b/>
              </w:rPr>
            </w:pPr>
            <w:r w:rsidRPr="002B3A68">
              <w:rPr>
                <w:b/>
              </w:rPr>
              <w:t>Company / Unit</w:t>
            </w:r>
          </w:p>
        </w:tc>
      </w:tr>
      <w:tr w:rsidR="00C227B6" w:rsidRPr="00160DE6" w:rsidTr="00C227B6">
        <w:trPr>
          <w:trHeight w:val="287"/>
        </w:trPr>
        <w:tc>
          <w:tcPr>
            <w:tcW w:w="1980" w:type="dxa"/>
          </w:tcPr>
          <w:p w:rsidR="00C227B6" w:rsidRDefault="00C227B6" w:rsidP="000F6514">
            <w:pPr>
              <w:pStyle w:val="BodyTextIndent2"/>
              <w:spacing w:after="60" w:line="240" w:lineRule="auto"/>
              <w:ind w:left="432"/>
              <w:jc w:val="center"/>
            </w:pPr>
            <w:r>
              <w:t>Nick Bongiovanni</w:t>
            </w:r>
          </w:p>
        </w:tc>
        <w:tc>
          <w:tcPr>
            <w:tcW w:w="3168" w:type="dxa"/>
          </w:tcPr>
          <w:p w:rsidR="00C227B6" w:rsidRDefault="00C227B6" w:rsidP="000F6514">
            <w:pPr>
              <w:pStyle w:val="BodyTextIndent2"/>
              <w:spacing w:after="60" w:line="240" w:lineRule="auto"/>
              <w:ind w:left="432"/>
              <w:jc w:val="center"/>
            </w:pPr>
            <w:r>
              <w:t>Fusion</w:t>
            </w:r>
          </w:p>
        </w:tc>
      </w:tr>
      <w:tr w:rsidR="00C227B6" w:rsidRPr="00160DE6" w:rsidTr="00C227B6">
        <w:trPr>
          <w:trHeight w:val="287"/>
        </w:trPr>
        <w:tc>
          <w:tcPr>
            <w:tcW w:w="1980" w:type="dxa"/>
          </w:tcPr>
          <w:p w:rsidR="00C227B6" w:rsidRDefault="00C227B6" w:rsidP="000F6514">
            <w:pPr>
              <w:pStyle w:val="BodyTextIndent2"/>
              <w:spacing w:after="60" w:line="240" w:lineRule="auto"/>
              <w:ind w:left="432"/>
              <w:jc w:val="center"/>
            </w:pPr>
            <w:r>
              <w:t>Suzanne Egan</w:t>
            </w:r>
          </w:p>
        </w:tc>
        <w:tc>
          <w:tcPr>
            <w:tcW w:w="3168" w:type="dxa"/>
          </w:tcPr>
          <w:p w:rsidR="00C227B6" w:rsidRDefault="00C227B6" w:rsidP="000F6514">
            <w:pPr>
              <w:pStyle w:val="BodyTextIndent2"/>
              <w:spacing w:after="60" w:line="240" w:lineRule="auto"/>
              <w:ind w:left="432"/>
              <w:jc w:val="center"/>
            </w:pPr>
          </w:p>
        </w:tc>
      </w:tr>
      <w:tr w:rsidR="00C227B6" w:rsidRPr="00160DE6" w:rsidTr="00C227B6">
        <w:trPr>
          <w:trHeight w:val="287"/>
        </w:trPr>
        <w:tc>
          <w:tcPr>
            <w:tcW w:w="1980" w:type="dxa"/>
          </w:tcPr>
          <w:p w:rsidR="00C227B6" w:rsidRPr="00160DE6" w:rsidRDefault="00C227B6" w:rsidP="000F6514">
            <w:pPr>
              <w:pStyle w:val="BodyTextIndent2"/>
              <w:spacing w:after="60" w:line="240" w:lineRule="auto"/>
              <w:ind w:left="432"/>
              <w:jc w:val="center"/>
            </w:pPr>
            <w:r>
              <w:t>Doreen Quance</w:t>
            </w:r>
          </w:p>
        </w:tc>
        <w:tc>
          <w:tcPr>
            <w:tcW w:w="3168" w:type="dxa"/>
          </w:tcPr>
          <w:p w:rsidR="00C227B6" w:rsidRPr="00160DE6" w:rsidRDefault="00C227B6" w:rsidP="000F6514">
            <w:pPr>
              <w:pStyle w:val="BodyTextIndent2"/>
              <w:spacing w:after="60" w:line="240" w:lineRule="auto"/>
              <w:ind w:left="432"/>
              <w:jc w:val="center"/>
            </w:pPr>
          </w:p>
        </w:tc>
      </w:tr>
      <w:tr w:rsidR="00C227B6" w:rsidRPr="00160DE6" w:rsidTr="00C227B6">
        <w:trPr>
          <w:trHeight w:val="287"/>
        </w:trPr>
        <w:tc>
          <w:tcPr>
            <w:tcW w:w="1980" w:type="dxa"/>
          </w:tcPr>
          <w:p w:rsidR="00C227B6" w:rsidRDefault="00C227B6" w:rsidP="000F6514">
            <w:pPr>
              <w:pStyle w:val="BodyTextIndent2"/>
              <w:spacing w:after="60" w:line="240" w:lineRule="auto"/>
              <w:ind w:left="432"/>
              <w:jc w:val="center"/>
            </w:pPr>
            <w:r>
              <w:t>Wendy Boyd</w:t>
            </w:r>
          </w:p>
        </w:tc>
        <w:tc>
          <w:tcPr>
            <w:tcW w:w="3168" w:type="dxa"/>
          </w:tcPr>
          <w:p w:rsidR="00C227B6" w:rsidRPr="00160DE6" w:rsidRDefault="00111EB9" w:rsidP="000F6514">
            <w:pPr>
              <w:pStyle w:val="BodyTextIndent2"/>
              <w:spacing w:after="60" w:line="240" w:lineRule="auto"/>
              <w:ind w:left="432"/>
              <w:jc w:val="center"/>
            </w:pPr>
            <w:r>
              <w:t>TPA Ops</w:t>
            </w:r>
          </w:p>
        </w:tc>
      </w:tr>
    </w:tbl>
    <w:p w:rsidR="00566A2C" w:rsidRPr="007B566B" w:rsidRDefault="00566A2C" w:rsidP="007B566B">
      <w:pPr>
        <w:widowControl w:val="0"/>
        <w:suppressLineNumbers/>
        <w:suppressAutoHyphens/>
        <w:ind w:left="0" w:firstLine="0"/>
        <w:rPr>
          <w:rFonts w:ascii="Times New Roman Bold" w:hAnsi="Times New Roman Bold"/>
          <w:b/>
          <w:color w:val="0033CC"/>
          <w:sz w:val="28"/>
          <w:szCs w:val="28"/>
        </w:rPr>
      </w:pPr>
      <w:bookmarkStart w:id="12" w:name="_Toc267037405"/>
      <w:bookmarkStart w:id="13" w:name="_Toc274214375"/>
      <w:bookmarkStart w:id="14" w:name="_Toc287359029"/>
      <w:bookmarkStart w:id="15" w:name="_Toc222822245"/>
      <w:bookmarkStart w:id="16" w:name="_Toc266960934"/>
      <w:r w:rsidRPr="007B566B">
        <w:rPr>
          <w:rFonts w:ascii="Times New Roman Bold" w:hAnsi="Times New Roman Bold"/>
          <w:b/>
          <w:color w:val="0033CC"/>
          <w:sz w:val="28"/>
          <w:szCs w:val="28"/>
        </w:rPr>
        <w:t>Contact</w:t>
      </w:r>
      <w:bookmarkEnd w:id="12"/>
      <w:bookmarkEnd w:id="13"/>
      <w:bookmarkEnd w:id="14"/>
    </w:p>
    <w:tbl>
      <w:tblPr>
        <w:tblW w:w="29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581"/>
      </w:tblGrid>
      <w:tr w:rsidR="00566A2C" w:rsidRPr="00160DE6" w:rsidTr="00643743">
        <w:trPr>
          <w:tblHeader/>
        </w:trPr>
        <w:tc>
          <w:tcPr>
            <w:tcW w:w="1570" w:type="pct"/>
            <w:shd w:val="clear" w:color="auto" w:fill="E6E6E6"/>
          </w:tcPr>
          <w:p w:rsidR="00566A2C" w:rsidRPr="002B3A68" w:rsidRDefault="00566A2C" w:rsidP="000F6514">
            <w:pPr>
              <w:pStyle w:val="BodyTextIndent2"/>
              <w:widowControl w:val="0"/>
              <w:suppressLineNumbers/>
              <w:suppressAutoHyphens/>
              <w:spacing w:after="60" w:line="240" w:lineRule="auto"/>
              <w:ind w:left="432"/>
              <w:rPr>
                <w:b/>
              </w:rPr>
            </w:pPr>
            <w:r w:rsidRPr="002B3A68">
              <w:rPr>
                <w:b/>
              </w:rPr>
              <w:t>Name</w:t>
            </w:r>
          </w:p>
        </w:tc>
        <w:tc>
          <w:tcPr>
            <w:tcW w:w="3430" w:type="pct"/>
          </w:tcPr>
          <w:p w:rsidR="00566A2C" w:rsidRPr="00160DE6" w:rsidRDefault="00566A2C" w:rsidP="000F6514">
            <w:pPr>
              <w:pStyle w:val="BodyTextIndent2"/>
              <w:widowControl w:val="0"/>
              <w:suppressLineNumbers/>
              <w:suppressAutoHyphens/>
              <w:spacing w:after="60" w:line="240" w:lineRule="auto"/>
              <w:ind w:left="432"/>
            </w:pPr>
            <w:r>
              <w:t>Nick Bongiovanni</w:t>
            </w:r>
          </w:p>
        </w:tc>
      </w:tr>
      <w:tr w:rsidR="00566A2C" w:rsidRPr="00160DE6" w:rsidTr="00643743">
        <w:tc>
          <w:tcPr>
            <w:tcW w:w="1570" w:type="pct"/>
            <w:shd w:val="clear" w:color="auto" w:fill="E6E6E6"/>
          </w:tcPr>
          <w:p w:rsidR="00566A2C" w:rsidRPr="002B3A68" w:rsidRDefault="00566A2C" w:rsidP="000F6514">
            <w:pPr>
              <w:pStyle w:val="BodyTextIndent2"/>
              <w:widowControl w:val="0"/>
              <w:suppressLineNumbers/>
              <w:suppressAutoHyphens/>
              <w:spacing w:after="60" w:line="240" w:lineRule="auto"/>
              <w:ind w:left="432"/>
              <w:rPr>
                <w:b/>
              </w:rPr>
            </w:pPr>
            <w:r w:rsidRPr="002B3A68">
              <w:rPr>
                <w:b/>
              </w:rPr>
              <w:t>Telephone</w:t>
            </w:r>
          </w:p>
        </w:tc>
        <w:tc>
          <w:tcPr>
            <w:tcW w:w="3430" w:type="pct"/>
          </w:tcPr>
          <w:p w:rsidR="00566A2C" w:rsidRPr="00160DE6" w:rsidRDefault="00566A2C" w:rsidP="00643743">
            <w:pPr>
              <w:pStyle w:val="BodyTextIndent2"/>
              <w:widowControl w:val="0"/>
              <w:suppressLineNumbers/>
              <w:suppressAutoHyphens/>
              <w:spacing w:after="60" w:line="240" w:lineRule="auto"/>
              <w:ind w:left="432"/>
            </w:pPr>
            <w:r>
              <w:t>908-679-4667</w:t>
            </w:r>
          </w:p>
        </w:tc>
      </w:tr>
      <w:tr w:rsidR="00566A2C" w:rsidRPr="00160DE6" w:rsidTr="00643743">
        <w:tc>
          <w:tcPr>
            <w:tcW w:w="1570" w:type="pct"/>
            <w:shd w:val="clear" w:color="auto" w:fill="E6E6E6"/>
          </w:tcPr>
          <w:p w:rsidR="00566A2C" w:rsidRPr="002B3A68" w:rsidRDefault="00566A2C" w:rsidP="000F6514">
            <w:pPr>
              <w:pStyle w:val="BodyTextIndent2"/>
              <w:widowControl w:val="0"/>
              <w:suppressLineNumbers/>
              <w:suppressAutoHyphens/>
              <w:spacing w:after="60" w:line="240" w:lineRule="auto"/>
              <w:ind w:left="432"/>
              <w:rPr>
                <w:b/>
              </w:rPr>
            </w:pPr>
            <w:r w:rsidRPr="002B3A68">
              <w:rPr>
                <w:b/>
              </w:rPr>
              <w:t>Email</w:t>
            </w:r>
          </w:p>
        </w:tc>
        <w:tc>
          <w:tcPr>
            <w:tcW w:w="3430" w:type="pct"/>
          </w:tcPr>
          <w:p w:rsidR="00566A2C" w:rsidRPr="00160DE6" w:rsidRDefault="00566A2C" w:rsidP="000F6514">
            <w:pPr>
              <w:pStyle w:val="BodyTextIndent2"/>
              <w:widowControl w:val="0"/>
              <w:suppressLineNumbers/>
              <w:suppressAutoHyphens/>
              <w:spacing w:after="60" w:line="240" w:lineRule="auto"/>
              <w:ind w:left="432"/>
            </w:pPr>
            <w:r>
              <w:t>Nick.Bongiovanni@aig.com</w:t>
            </w:r>
          </w:p>
        </w:tc>
      </w:tr>
    </w:tbl>
    <w:p w:rsidR="00566A2C" w:rsidRDefault="00566A2C" w:rsidP="007B566B">
      <w:pPr>
        <w:widowControl w:val="0"/>
        <w:suppressLineNumbers/>
        <w:suppressAutoHyphens/>
        <w:ind w:left="0" w:firstLine="0"/>
        <w:rPr>
          <w:rFonts w:ascii="Times New Roman Bold" w:hAnsi="Times New Roman Bold"/>
          <w:b/>
          <w:bCs/>
          <w:color w:val="0033CC"/>
          <w:sz w:val="28"/>
          <w:szCs w:val="28"/>
        </w:rPr>
      </w:pPr>
      <w:bookmarkStart w:id="17" w:name="_Toc267037406"/>
    </w:p>
    <w:p w:rsidR="00566A2C" w:rsidRPr="007B566B" w:rsidRDefault="00566A2C" w:rsidP="007B566B">
      <w:pPr>
        <w:widowControl w:val="0"/>
        <w:suppressLineNumbers/>
        <w:suppressAutoHyphens/>
        <w:ind w:left="0" w:firstLine="0"/>
        <w:rPr>
          <w:rFonts w:ascii="Times New Roman Bold" w:hAnsi="Times New Roman Bold"/>
          <w:b/>
          <w:bCs/>
          <w:color w:val="0033CC"/>
          <w:sz w:val="28"/>
          <w:szCs w:val="28"/>
        </w:rPr>
      </w:pPr>
      <w:r w:rsidRPr="007B566B">
        <w:rPr>
          <w:rFonts w:ascii="Times New Roman Bold" w:hAnsi="Times New Roman Bold"/>
          <w:b/>
          <w:bCs/>
          <w:color w:val="0033CC"/>
          <w:sz w:val="28"/>
          <w:szCs w:val="28"/>
        </w:rPr>
        <w:t>Required Sign-Off</w:t>
      </w:r>
      <w:bookmarkEnd w:id="15"/>
      <w:bookmarkEnd w:id="16"/>
      <w:bookmarkEnd w:id="17"/>
    </w:p>
    <w:tbl>
      <w:tblPr>
        <w:tblW w:w="31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8"/>
        <w:gridCol w:w="2521"/>
      </w:tblGrid>
      <w:tr w:rsidR="00C227B6" w:rsidRPr="002B3A68" w:rsidTr="00C227B6">
        <w:trPr>
          <w:cantSplit/>
        </w:trPr>
        <w:tc>
          <w:tcPr>
            <w:tcW w:w="2741" w:type="pct"/>
            <w:shd w:val="clear" w:color="auto" w:fill="D9D9D9"/>
            <w:vAlign w:val="bottom"/>
          </w:tcPr>
          <w:p w:rsidR="00C227B6" w:rsidRPr="002B3A68" w:rsidRDefault="00C227B6" w:rsidP="000F6514">
            <w:pPr>
              <w:widowControl w:val="0"/>
              <w:suppressLineNumbers/>
              <w:suppressAutoHyphens/>
              <w:ind w:left="432"/>
              <w:rPr>
                <w:b/>
              </w:rPr>
            </w:pPr>
            <w:r w:rsidRPr="002B3A68">
              <w:rPr>
                <w:b/>
              </w:rPr>
              <w:t>Name of Authorized Approver</w:t>
            </w:r>
          </w:p>
        </w:tc>
        <w:tc>
          <w:tcPr>
            <w:tcW w:w="2259" w:type="pct"/>
            <w:shd w:val="clear" w:color="auto" w:fill="D9D9D9"/>
            <w:vAlign w:val="bottom"/>
          </w:tcPr>
          <w:p w:rsidR="00C227B6" w:rsidRPr="002B3A68" w:rsidRDefault="00C227B6" w:rsidP="00974EA5">
            <w:pPr>
              <w:widowControl w:val="0"/>
              <w:suppressLineNumbers/>
              <w:suppressAutoHyphens/>
              <w:ind w:left="432"/>
              <w:rPr>
                <w:b/>
              </w:rPr>
            </w:pPr>
            <w:r w:rsidRPr="002B3A68">
              <w:rPr>
                <w:b/>
              </w:rPr>
              <w:t>Signature &amp; Date /</w:t>
            </w:r>
          </w:p>
          <w:p w:rsidR="00C227B6" w:rsidRPr="002B3A68" w:rsidRDefault="00C227B6" w:rsidP="00974EA5">
            <w:pPr>
              <w:widowControl w:val="0"/>
              <w:suppressLineNumbers/>
              <w:suppressAutoHyphens/>
              <w:ind w:left="432"/>
              <w:rPr>
                <w:b/>
              </w:rPr>
            </w:pPr>
            <w:r w:rsidRPr="002B3A68">
              <w:rPr>
                <w:b/>
              </w:rPr>
              <w:t>E-mail Approval*</w:t>
            </w:r>
          </w:p>
        </w:tc>
      </w:tr>
      <w:tr w:rsidR="00C227B6" w:rsidRPr="00160DE6" w:rsidTr="00C227B6">
        <w:trPr>
          <w:cantSplit/>
          <w:trHeight w:val="323"/>
        </w:trPr>
        <w:tc>
          <w:tcPr>
            <w:tcW w:w="2741" w:type="pct"/>
            <w:vAlign w:val="bottom"/>
          </w:tcPr>
          <w:p w:rsidR="00C227B6" w:rsidRDefault="00C227B6" w:rsidP="000F6514">
            <w:pPr>
              <w:widowControl w:val="0"/>
              <w:suppressLineNumbers/>
              <w:suppressAutoHyphens/>
              <w:ind w:left="432"/>
            </w:pPr>
            <w:r>
              <w:t>Wendy Boyd</w:t>
            </w:r>
          </w:p>
        </w:tc>
        <w:tc>
          <w:tcPr>
            <w:tcW w:w="2259" w:type="pct"/>
            <w:vAlign w:val="bottom"/>
          </w:tcPr>
          <w:p w:rsidR="00C227B6" w:rsidRDefault="00111EB9" w:rsidP="003734DB">
            <w:pPr>
              <w:widowControl w:val="0"/>
              <w:suppressLineNumbers/>
              <w:suppressAutoHyphens/>
              <w:ind w:left="432"/>
            </w:pPr>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85pt;height:50.25pt" o:ole="">
                  <v:imagedata r:id="rId8" o:title=""/>
                </v:shape>
                <o:OLEObject Type="Embed" ProgID="Package" ShapeID="_x0000_i1025" DrawAspect="Icon" ObjectID="_1562064021" r:id="rId9"/>
              </w:object>
            </w:r>
          </w:p>
        </w:tc>
      </w:tr>
      <w:tr w:rsidR="00C227B6" w:rsidRPr="00160DE6" w:rsidTr="00C227B6">
        <w:trPr>
          <w:cantSplit/>
          <w:trHeight w:val="323"/>
        </w:trPr>
        <w:tc>
          <w:tcPr>
            <w:tcW w:w="2741" w:type="pct"/>
            <w:vAlign w:val="bottom"/>
          </w:tcPr>
          <w:p w:rsidR="00C227B6" w:rsidRPr="00160DE6" w:rsidRDefault="00C227B6" w:rsidP="000F6514">
            <w:pPr>
              <w:widowControl w:val="0"/>
              <w:suppressLineNumbers/>
              <w:suppressAutoHyphens/>
              <w:ind w:left="432"/>
            </w:pPr>
            <w:r>
              <w:t>Doreen Quance</w:t>
            </w:r>
          </w:p>
        </w:tc>
        <w:tc>
          <w:tcPr>
            <w:tcW w:w="2259" w:type="pct"/>
            <w:vAlign w:val="bottom"/>
          </w:tcPr>
          <w:p w:rsidR="00C227B6" w:rsidRPr="00160DE6" w:rsidRDefault="00111EB9" w:rsidP="003734DB">
            <w:pPr>
              <w:widowControl w:val="0"/>
              <w:suppressLineNumbers/>
              <w:suppressAutoHyphens/>
              <w:ind w:left="432"/>
            </w:pPr>
            <w:r>
              <w:object w:dxaOrig="1551" w:dyaOrig="1004">
                <v:shape id="_x0000_i1026" type="#_x0000_t75" style="width:77.85pt;height:50.25pt" o:ole="">
                  <v:imagedata r:id="rId10" o:title=""/>
                </v:shape>
                <o:OLEObject Type="Embed" ProgID="Package" ShapeID="_x0000_i1026" DrawAspect="Icon" ObjectID="_1562064022" r:id="rId11"/>
              </w:object>
            </w:r>
          </w:p>
        </w:tc>
      </w:tr>
      <w:tr w:rsidR="00C227B6" w:rsidRPr="00160DE6" w:rsidTr="00C227B6">
        <w:trPr>
          <w:cantSplit/>
          <w:trHeight w:val="287"/>
        </w:trPr>
        <w:tc>
          <w:tcPr>
            <w:tcW w:w="2741" w:type="pct"/>
            <w:vAlign w:val="bottom"/>
          </w:tcPr>
          <w:p w:rsidR="00C227B6" w:rsidRDefault="00C227B6" w:rsidP="000F6514">
            <w:pPr>
              <w:widowControl w:val="0"/>
              <w:suppressLineNumbers/>
              <w:suppressAutoHyphens/>
              <w:ind w:left="432"/>
            </w:pPr>
            <w:r>
              <w:lastRenderedPageBreak/>
              <w:t>Suzanne Egan</w:t>
            </w:r>
          </w:p>
        </w:tc>
        <w:tc>
          <w:tcPr>
            <w:tcW w:w="2259" w:type="pct"/>
            <w:vAlign w:val="bottom"/>
          </w:tcPr>
          <w:p w:rsidR="00C227B6" w:rsidRPr="00160DE6" w:rsidRDefault="00111EB9" w:rsidP="008F5414">
            <w:pPr>
              <w:ind w:left="432"/>
            </w:pPr>
            <w:r>
              <w:object w:dxaOrig="1551" w:dyaOrig="1004">
                <v:shape id="_x0000_i1027" type="#_x0000_t75" style="width:77.85pt;height:50.25pt" o:ole="">
                  <v:imagedata r:id="rId12" o:title=""/>
                </v:shape>
                <o:OLEObject Type="Embed" ProgID="Package" ShapeID="_x0000_i1027" DrawAspect="Icon" ObjectID="_1562064023" r:id="rId13"/>
              </w:object>
            </w:r>
          </w:p>
        </w:tc>
      </w:tr>
    </w:tbl>
    <w:p w:rsidR="00566A2C" w:rsidRPr="00B34930" w:rsidRDefault="00566A2C" w:rsidP="009E0004">
      <w:pPr>
        <w:pStyle w:val="Body2"/>
        <w:ind w:left="0"/>
      </w:pPr>
      <w:r w:rsidRPr="00B34930">
        <w:t>* Drag and drop e-mail approval from Outlook into the respective table cell indicating approval of this version.</w:t>
      </w:r>
    </w:p>
    <w:p w:rsidR="00566A2C" w:rsidRPr="00611190" w:rsidRDefault="00566A2C" w:rsidP="007B566B">
      <w:pPr>
        <w:pStyle w:val="Heading1"/>
      </w:pPr>
      <w:r>
        <w:br w:type="page"/>
      </w:r>
      <w:bookmarkStart w:id="18" w:name="_Toc319594734"/>
      <w:bookmarkStart w:id="19" w:name="_Toc319594788"/>
      <w:bookmarkStart w:id="20" w:name="_Toc319956247"/>
      <w:bookmarkStart w:id="21" w:name="_Toc319956381"/>
      <w:bookmarkStart w:id="22" w:name="_Toc319956515"/>
      <w:bookmarkStart w:id="23" w:name="_Toc319956649"/>
      <w:bookmarkStart w:id="24" w:name="_Toc319956702"/>
      <w:bookmarkStart w:id="25" w:name="_Toc319957029"/>
      <w:bookmarkStart w:id="26" w:name="_Toc319957169"/>
      <w:bookmarkStart w:id="27" w:name="_Toc320014748"/>
      <w:bookmarkStart w:id="28" w:name="_Toc320014881"/>
      <w:bookmarkStart w:id="29" w:name="_Toc320015032"/>
      <w:bookmarkStart w:id="30" w:name="_Toc320015256"/>
      <w:bookmarkStart w:id="31" w:name="_Toc336334587"/>
      <w:bookmarkStart w:id="32" w:name="_Toc337545875"/>
      <w:bookmarkStart w:id="33" w:name="_Toc341988610"/>
      <w:bookmarkStart w:id="34" w:name="_Toc287347594"/>
      <w:bookmarkStart w:id="35" w:name="_Toc292209875"/>
      <w:bookmarkStart w:id="36" w:name="_Toc293504059"/>
      <w:bookmarkStart w:id="37" w:name="_Toc293506738"/>
      <w:r w:rsidRPr="00611190">
        <w:lastRenderedPageBreak/>
        <w:t>REQUIREMENTS</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566A2C" w:rsidRPr="001C05A8" w:rsidRDefault="00111EB9" w:rsidP="002B3A68">
      <w:pPr>
        <w:pStyle w:val="Heading2"/>
      </w:pPr>
      <w:bookmarkStart w:id="38" w:name="_[&lt;Change_ID&gt;:_Change"/>
      <w:bookmarkEnd w:id="34"/>
      <w:bookmarkEnd w:id="35"/>
      <w:bookmarkEnd w:id="36"/>
      <w:bookmarkEnd w:id="37"/>
      <w:bookmarkEnd w:id="38"/>
      <w:r>
        <w:t>Claims Dashboard for TPA Ops</w:t>
      </w:r>
    </w:p>
    <w:p w:rsidR="00566A2C" w:rsidRPr="00612CE6" w:rsidRDefault="00566A2C" w:rsidP="007B566B">
      <w:pPr>
        <w:pStyle w:val="Heading4"/>
      </w:pPr>
      <w:bookmarkStart w:id="39" w:name="_Toc337545916"/>
      <w:r w:rsidRPr="00612CE6">
        <w:t>Current Business Process</w:t>
      </w:r>
      <w:bookmarkEnd w:id="39"/>
      <w:r>
        <w:t>/Issue</w:t>
      </w:r>
    </w:p>
    <w:p w:rsidR="00566A2C" w:rsidRDefault="00111EB9" w:rsidP="00892E7E">
      <w:pPr>
        <w:ind w:left="0" w:firstLine="720"/>
      </w:pPr>
      <w:bookmarkStart w:id="40" w:name="_Toc337545917"/>
      <w:r>
        <w:t>TPA Ops</w:t>
      </w:r>
      <w:r w:rsidR="003734DB">
        <w:t xml:space="preserve"> is in need of a report </w:t>
      </w:r>
      <w:r w:rsidR="006A4752">
        <w:t xml:space="preserve">to be able to track </w:t>
      </w:r>
      <w:r w:rsidR="00C227B6">
        <w:t>various claims volume and financial data</w:t>
      </w:r>
      <w:r w:rsidR="006A4752">
        <w:t xml:space="preserve">. Currently there is no report that is generated from TPAIR to be able to fill the </w:t>
      </w:r>
      <w:r>
        <w:t>TPA Ops</w:t>
      </w:r>
      <w:r w:rsidR="006A4752">
        <w:t xml:space="preserve"> needs.</w:t>
      </w:r>
    </w:p>
    <w:p w:rsidR="00566A2C" w:rsidRPr="00413042" w:rsidRDefault="00566A2C" w:rsidP="00892E7E">
      <w:pPr>
        <w:ind w:left="0" w:firstLine="720"/>
        <w:rPr>
          <w:b/>
          <w:color w:val="E36C0A"/>
        </w:rPr>
      </w:pPr>
      <w:r w:rsidRPr="00413042">
        <w:rPr>
          <w:b/>
          <w:color w:val="E36C0A"/>
        </w:rPr>
        <w:t>Proposed Business Process</w:t>
      </w:r>
      <w:bookmarkEnd w:id="40"/>
      <w:r w:rsidRPr="00413042">
        <w:rPr>
          <w:b/>
          <w:color w:val="E36C0A"/>
        </w:rPr>
        <w:t>/Resolution</w:t>
      </w:r>
    </w:p>
    <w:p w:rsidR="00566A2C" w:rsidRPr="00BF6678" w:rsidRDefault="00566A2C" w:rsidP="00C13A40">
      <w:pPr>
        <w:pStyle w:val="Body"/>
        <w:ind w:firstLine="720"/>
      </w:pPr>
      <w:bookmarkStart w:id="41" w:name="_Toc337545918"/>
      <w:r>
        <w:t xml:space="preserve">A report will be generated </w:t>
      </w:r>
      <w:r w:rsidR="00C227B6">
        <w:t>MONTHLY</w:t>
      </w:r>
      <w:r>
        <w:t xml:space="preserve"> and be automated to send to </w:t>
      </w:r>
      <w:r w:rsidR="00C227B6">
        <w:t xml:space="preserve">the </w:t>
      </w:r>
      <w:r w:rsidR="00111EB9">
        <w:t>TPA Ops</w:t>
      </w:r>
      <w:r w:rsidR="00C227B6">
        <w:t xml:space="preserve"> Team</w:t>
      </w:r>
      <w:r w:rsidR="006A4752">
        <w:t xml:space="preserve"> </w:t>
      </w:r>
      <w:r>
        <w:t xml:space="preserve">(and possible other recipients pending </w:t>
      </w:r>
      <w:r w:rsidR="00C227B6">
        <w:t>Wendy Boyd</w:t>
      </w:r>
      <w:r w:rsidR="006A4752">
        <w:t>’s</w:t>
      </w:r>
      <w:r>
        <w:t xml:space="preserve"> approval)</w:t>
      </w:r>
    </w:p>
    <w:p w:rsidR="00566A2C" w:rsidRDefault="00566A2C" w:rsidP="00E779DB">
      <w:pPr>
        <w:pStyle w:val="Heading4"/>
      </w:pPr>
      <w:r>
        <w:t>Requirements</w:t>
      </w:r>
      <w:bookmarkEnd w:id="41"/>
    </w:p>
    <w:p w:rsidR="003903DE" w:rsidRPr="003903DE" w:rsidRDefault="00C227B6" w:rsidP="003903DE">
      <w:r>
        <w:t xml:space="preserve">There is a variety of different reports that are required showing different criteria across the reports. </w:t>
      </w:r>
      <w:r w:rsidR="00CD042D">
        <w:t>These</w:t>
      </w:r>
      <w:r w:rsidR="001F08E7">
        <w:t xml:space="preserve"> reports encompass all EXTERNAL </w:t>
      </w:r>
      <w:r w:rsidR="00CD042D">
        <w:t xml:space="preserve">TPAs. </w:t>
      </w:r>
      <w:r w:rsidR="001C31C3">
        <w:t xml:space="preserve">Please note a SUMMARY field is needed below each TPA grouping on each report as seen in the attachment below. </w:t>
      </w:r>
      <w:r>
        <w:t>Requirements are as follows:</w:t>
      </w:r>
    </w:p>
    <w:p w:rsidR="00566A2C" w:rsidRPr="008F5414" w:rsidRDefault="00566A2C" w:rsidP="001754FA">
      <w:pPr>
        <w:ind w:left="720" w:firstLine="0"/>
        <w:rPr>
          <w:b/>
        </w:rPr>
      </w:pPr>
    </w:p>
    <w:p w:rsidR="00566A2C" w:rsidRDefault="00566A2C" w:rsidP="001754FA">
      <w:pPr>
        <w:ind w:left="720" w:firstLine="0"/>
        <w:rPr>
          <w:b/>
          <w:color w:val="E36C0A"/>
        </w:rPr>
      </w:pPr>
      <w:r w:rsidRPr="00B06384">
        <w:rPr>
          <w:b/>
          <w:color w:val="E36C0A"/>
        </w:rPr>
        <w:t>1.2.1 Report Criteria</w:t>
      </w:r>
    </w:p>
    <w:p w:rsidR="00566A2C" w:rsidRDefault="00C227B6" w:rsidP="00AF4472">
      <w:pPr>
        <w:ind w:left="0" w:firstLine="720"/>
      </w:pPr>
      <w:r>
        <w:t>The first group of reports includes 12 different reports that should be grouped into one excel workbook with each report being on its own separate tab. The report name that should be reflected on the specific tab is detailed below as the beginning bullet point to each report.</w:t>
      </w:r>
    </w:p>
    <w:p w:rsidR="00C227B6" w:rsidRDefault="00C227B6" w:rsidP="00AF4472">
      <w:pPr>
        <w:ind w:left="0" w:firstLine="720"/>
      </w:pPr>
    </w:p>
    <w:p w:rsidR="00C227B6" w:rsidRPr="00C227B6" w:rsidRDefault="00C227B6" w:rsidP="005B2E8D">
      <w:pPr>
        <w:pStyle w:val="ListParagraph"/>
        <w:numPr>
          <w:ilvl w:val="0"/>
          <w:numId w:val="6"/>
        </w:numPr>
        <w:rPr>
          <w:b/>
        </w:rPr>
      </w:pPr>
      <w:r w:rsidRPr="00C227B6">
        <w:rPr>
          <w:b/>
        </w:rPr>
        <w:t>NewSymbols_Features_1</w:t>
      </w:r>
    </w:p>
    <w:p w:rsidR="00C227B6" w:rsidRDefault="00C227B6" w:rsidP="005B2E8D">
      <w:pPr>
        <w:pStyle w:val="ListParagraph"/>
        <w:numPr>
          <w:ilvl w:val="0"/>
          <w:numId w:val="6"/>
        </w:numPr>
      </w:pPr>
      <w:r>
        <w:t xml:space="preserve">Logic – This report is required to show the claim activity for claims that are ‘new’. The Loss Reported Date will be used as </w:t>
      </w:r>
      <w:r w:rsidR="003E6B2F">
        <w:t>the main</w:t>
      </w:r>
      <w:r>
        <w:t xml:space="preserve"> factor to determine the date of the claim. </w:t>
      </w:r>
    </w:p>
    <w:tbl>
      <w:tblPr>
        <w:tblW w:w="0" w:type="auto"/>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57"/>
        <w:gridCol w:w="4335"/>
      </w:tblGrid>
      <w:tr w:rsidR="00566A2C" w:rsidRPr="00643743" w:rsidTr="006336C2">
        <w:tc>
          <w:tcPr>
            <w:tcW w:w="3657" w:type="dxa"/>
            <w:shd w:val="pct50" w:color="auto" w:fill="auto"/>
            <w:vAlign w:val="center"/>
          </w:tcPr>
          <w:p w:rsidR="00566A2C" w:rsidRPr="009624BC" w:rsidRDefault="00566A2C" w:rsidP="009624BC">
            <w:pPr>
              <w:pStyle w:val="Body"/>
              <w:jc w:val="center"/>
              <w:rPr>
                <w:b/>
                <w:color w:val="FFFFFF"/>
              </w:rPr>
            </w:pPr>
            <w:r w:rsidRPr="009624BC">
              <w:rPr>
                <w:b/>
                <w:color w:val="FFFFFF"/>
              </w:rPr>
              <w:t>Data_Field</w:t>
            </w:r>
          </w:p>
        </w:tc>
        <w:tc>
          <w:tcPr>
            <w:tcW w:w="4335" w:type="dxa"/>
            <w:shd w:val="pct50" w:color="auto" w:fill="auto"/>
            <w:vAlign w:val="center"/>
          </w:tcPr>
          <w:p w:rsidR="00566A2C" w:rsidRPr="009624BC" w:rsidRDefault="00566A2C" w:rsidP="009624BC">
            <w:pPr>
              <w:pStyle w:val="Body"/>
              <w:jc w:val="center"/>
              <w:rPr>
                <w:b/>
                <w:color w:val="FFFFFF"/>
              </w:rPr>
            </w:pPr>
            <w:r w:rsidRPr="009624BC">
              <w:rPr>
                <w:b/>
                <w:color w:val="FFFFFF"/>
              </w:rPr>
              <w:t>Description</w:t>
            </w:r>
          </w:p>
        </w:tc>
      </w:tr>
      <w:tr w:rsidR="00A62601" w:rsidRPr="00643743" w:rsidTr="006336C2">
        <w:tc>
          <w:tcPr>
            <w:tcW w:w="3657" w:type="dxa"/>
          </w:tcPr>
          <w:p w:rsidR="00A62601" w:rsidRDefault="00A62601" w:rsidP="00CB06BE">
            <w:pPr>
              <w:pStyle w:val="Body"/>
            </w:pPr>
            <w:r>
              <w:t>TPA Name</w:t>
            </w:r>
          </w:p>
        </w:tc>
        <w:tc>
          <w:tcPr>
            <w:tcW w:w="4335" w:type="dxa"/>
          </w:tcPr>
          <w:p w:rsidR="00A62601" w:rsidRDefault="00A62601" w:rsidP="00CB06BE">
            <w:pPr>
              <w:pStyle w:val="Body"/>
            </w:pPr>
            <w:r>
              <w:t>Name of TPA</w:t>
            </w:r>
          </w:p>
        </w:tc>
      </w:tr>
      <w:tr w:rsidR="00566A2C" w:rsidRPr="00643743" w:rsidTr="006336C2">
        <w:tc>
          <w:tcPr>
            <w:tcW w:w="3657" w:type="dxa"/>
          </w:tcPr>
          <w:p w:rsidR="00566A2C" w:rsidRPr="00815C74" w:rsidRDefault="00C227B6" w:rsidP="00CB06BE">
            <w:pPr>
              <w:pStyle w:val="Body"/>
            </w:pPr>
            <w:r>
              <w:t>Line Of Business</w:t>
            </w:r>
          </w:p>
        </w:tc>
        <w:tc>
          <w:tcPr>
            <w:tcW w:w="4335" w:type="dxa"/>
          </w:tcPr>
          <w:p w:rsidR="00566A2C" w:rsidRPr="00815C74" w:rsidRDefault="006628A7" w:rsidP="00CB06BE">
            <w:pPr>
              <w:pStyle w:val="Body"/>
            </w:pPr>
            <w:r>
              <w:t>Line of Business Code</w:t>
            </w:r>
          </w:p>
        </w:tc>
      </w:tr>
      <w:tr w:rsidR="00C227B6" w:rsidRPr="00643743" w:rsidTr="006336C2">
        <w:tc>
          <w:tcPr>
            <w:tcW w:w="3657" w:type="dxa"/>
          </w:tcPr>
          <w:p w:rsidR="00C227B6" w:rsidRPr="00815C74" w:rsidRDefault="00C227B6" w:rsidP="000515BD">
            <w:pPr>
              <w:pStyle w:val="Body"/>
            </w:pPr>
            <w:r>
              <w:t>Major Class Description</w:t>
            </w:r>
          </w:p>
        </w:tc>
        <w:tc>
          <w:tcPr>
            <w:tcW w:w="4335" w:type="dxa"/>
          </w:tcPr>
          <w:p w:rsidR="00C227B6" w:rsidRPr="00815C74" w:rsidRDefault="00C227B6" w:rsidP="000515BD">
            <w:pPr>
              <w:pStyle w:val="Body"/>
            </w:pPr>
            <w:r>
              <w:t>Description of the MJC Code</w:t>
            </w:r>
          </w:p>
        </w:tc>
      </w:tr>
      <w:tr w:rsidR="00566A2C" w:rsidRPr="00643743" w:rsidTr="006336C2">
        <w:tc>
          <w:tcPr>
            <w:tcW w:w="3657" w:type="dxa"/>
          </w:tcPr>
          <w:p w:rsidR="00566A2C" w:rsidRPr="00815C74" w:rsidRDefault="006628A7" w:rsidP="00CB06BE">
            <w:pPr>
              <w:pStyle w:val="Body"/>
            </w:pPr>
            <w:r>
              <w:t>Year to Date</w:t>
            </w:r>
          </w:p>
        </w:tc>
        <w:tc>
          <w:tcPr>
            <w:tcW w:w="4335" w:type="dxa"/>
          </w:tcPr>
          <w:p w:rsidR="00566A2C" w:rsidRPr="00815C74" w:rsidRDefault="006628A7" w:rsidP="006628A7">
            <w:pPr>
              <w:pStyle w:val="Body"/>
            </w:pPr>
            <w:r>
              <w:t>Number of new claims from January 1</w:t>
            </w:r>
            <w:r w:rsidRPr="006628A7">
              <w:rPr>
                <w:vertAlign w:val="superscript"/>
              </w:rPr>
              <w:t>st</w:t>
            </w:r>
            <w:r>
              <w:t xml:space="preserve"> of the current year until the latest valuation the report was run for</w:t>
            </w:r>
          </w:p>
        </w:tc>
      </w:tr>
      <w:tr w:rsidR="00566A2C" w:rsidRPr="00643743" w:rsidTr="006336C2">
        <w:tc>
          <w:tcPr>
            <w:tcW w:w="3657" w:type="dxa"/>
          </w:tcPr>
          <w:p w:rsidR="00566A2C" w:rsidRPr="00815C74" w:rsidRDefault="006628A7" w:rsidP="006336C2">
            <w:pPr>
              <w:pStyle w:val="Body"/>
            </w:pPr>
            <w:r>
              <w:t>Prior Year to Date</w:t>
            </w:r>
          </w:p>
        </w:tc>
        <w:tc>
          <w:tcPr>
            <w:tcW w:w="4335" w:type="dxa"/>
          </w:tcPr>
          <w:p w:rsidR="00566A2C" w:rsidRDefault="006628A7" w:rsidP="006336C2">
            <w:pPr>
              <w:pStyle w:val="Body"/>
            </w:pPr>
            <w:r>
              <w:t>Number of new claims from January 1</w:t>
            </w:r>
            <w:r w:rsidRPr="006628A7">
              <w:rPr>
                <w:vertAlign w:val="superscript"/>
              </w:rPr>
              <w:t>st</w:t>
            </w:r>
            <w:r>
              <w:t xml:space="preserve"> of the previous year (if report is being sent in 2017, then this field is for 2016 year) to the latest valuation the report was run for. This field is the same logic for the Year to Date field, just for the previous year</w:t>
            </w:r>
          </w:p>
        </w:tc>
      </w:tr>
      <w:tr w:rsidR="00566A2C" w:rsidRPr="00643743" w:rsidTr="006336C2">
        <w:tc>
          <w:tcPr>
            <w:tcW w:w="3657" w:type="dxa"/>
          </w:tcPr>
          <w:p w:rsidR="00566A2C" w:rsidRPr="00815C74" w:rsidRDefault="006628A7" w:rsidP="006336C2">
            <w:pPr>
              <w:pStyle w:val="Body"/>
            </w:pPr>
            <w:r>
              <w:t>Year to Date Change</w:t>
            </w:r>
          </w:p>
        </w:tc>
        <w:tc>
          <w:tcPr>
            <w:tcW w:w="4335" w:type="dxa"/>
          </w:tcPr>
          <w:p w:rsidR="00566A2C" w:rsidRDefault="006628A7" w:rsidP="00CB06BE">
            <w:pPr>
              <w:pStyle w:val="Body"/>
            </w:pPr>
            <w:r>
              <w:t>(Year to Date – Prior Year to Date)</w:t>
            </w:r>
          </w:p>
        </w:tc>
      </w:tr>
      <w:tr w:rsidR="00566A2C" w:rsidRPr="00643743" w:rsidTr="006336C2">
        <w:tc>
          <w:tcPr>
            <w:tcW w:w="3657" w:type="dxa"/>
          </w:tcPr>
          <w:p w:rsidR="00566A2C" w:rsidRDefault="006628A7" w:rsidP="00CB06BE">
            <w:pPr>
              <w:pStyle w:val="Body"/>
            </w:pPr>
            <w:r>
              <w:lastRenderedPageBreak/>
              <w:t>Current Month</w:t>
            </w:r>
          </w:p>
        </w:tc>
        <w:tc>
          <w:tcPr>
            <w:tcW w:w="4335" w:type="dxa"/>
          </w:tcPr>
          <w:p w:rsidR="00566A2C" w:rsidRDefault="006628A7" w:rsidP="00914BD8">
            <w:pPr>
              <w:pStyle w:val="Body"/>
            </w:pPr>
            <w:r>
              <w:t>Number of new claims for the valuation month the report is being run for</w:t>
            </w:r>
          </w:p>
        </w:tc>
      </w:tr>
      <w:tr w:rsidR="00566A2C" w:rsidRPr="00643743" w:rsidTr="006336C2">
        <w:tc>
          <w:tcPr>
            <w:tcW w:w="3657" w:type="dxa"/>
          </w:tcPr>
          <w:p w:rsidR="00566A2C" w:rsidRPr="00815C74" w:rsidRDefault="006628A7" w:rsidP="00CB06BE">
            <w:pPr>
              <w:pStyle w:val="Body"/>
            </w:pPr>
            <w:r>
              <w:t>Prior Year Current Month</w:t>
            </w:r>
          </w:p>
        </w:tc>
        <w:tc>
          <w:tcPr>
            <w:tcW w:w="4335" w:type="dxa"/>
          </w:tcPr>
          <w:p w:rsidR="006336C2" w:rsidRPr="00815C74" w:rsidRDefault="006628A7" w:rsidP="001056BF">
            <w:pPr>
              <w:pStyle w:val="Body"/>
            </w:pPr>
            <w:r>
              <w:t>Similar to the Prior Year to Date, this field shows the n umber of new claims for the same valuation month of the current month but the prior year (report being run in February of 2017, this field would be run for February of 2016)</w:t>
            </w:r>
          </w:p>
        </w:tc>
      </w:tr>
      <w:tr w:rsidR="001C31C3" w:rsidRPr="00643743" w:rsidTr="006336C2">
        <w:tc>
          <w:tcPr>
            <w:tcW w:w="3657" w:type="dxa"/>
          </w:tcPr>
          <w:p w:rsidR="001C31C3" w:rsidRDefault="001C31C3" w:rsidP="00CB06BE">
            <w:pPr>
              <w:pStyle w:val="Body"/>
            </w:pPr>
            <w:r>
              <w:t>Grand Total</w:t>
            </w:r>
          </w:p>
        </w:tc>
        <w:tc>
          <w:tcPr>
            <w:tcW w:w="4335" w:type="dxa"/>
          </w:tcPr>
          <w:p w:rsidR="001C31C3" w:rsidRDefault="001C31C3" w:rsidP="001C31C3">
            <w:pPr>
              <w:pStyle w:val="Body"/>
            </w:pPr>
            <w:r>
              <w:t>Total New Claims for the TPA (</w:t>
            </w:r>
            <w:r w:rsidRPr="001C31C3">
              <w:rPr>
                <w:b/>
              </w:rPr>
              <w:t>this is a row item rather than another column on the report</w:t>
            </w:r>
            <w:r>
              <w:t>)</w:t>
            </w:r>
          </w:p>
        </w:tc>
      </w:tr>
    </w:tbl>
    <w:p w:rsidR="00566A2C" w:rsidRDefault="00566A2C" w:rsidP="00217362">
      <w:pPr>
        <w:ind w:left="0" w:firstLine="0"/>
        <w:rPr>
          <w:b/>
        </w:rPr>
      </w:pPr>
    </w:p>
    <w:p w:rsidR="00B14F9B" w:rsidRDefault="00B14F9B" w:rsidP="005B2E8D">
      <w:pPr>
        <w:pStyle w:val="ListParagraph"/>
        <w:numPr>
          <w:ilvl w:val="0"/>
          <w:numId w:val="7"/>
        </w:numPr>
        <w:rPr>
          <w:b/>
        </w:rPr>
      </w:pPr>
      <w:r>
        <w:rPr>
          <w:b/>
        </w:rPr>
        <w:t>PendingSymbols_Features_2</w:t>
      </w:r>
    </w:p>
    <w:p w:rsidR="00B14F9B" w:rsidRDefault="00B14F9B" w:rsidP="005B2E8D">
      <w:pPr>
        <w:pStyle w:val="ListParagraph"/>
        <w:numPr>
          <w:ilvl w:val="0"/>
          <w:numId w:val="7"/>
        </w:numPr>
      </w:pPr>
      <w:r w:rsidRPr="00B14F9B">
        <w:t xml:space="preserve">Logic </w:t>
      </w:r>
      <w:r>
        <w:t>–</w:t>
      </w:r>
      <w:r w:rsidRPr="00B14F9B">
        <w:t xml:space="preserve"> </w:t>
      </w:r>
      <w:r>
        <w:t>This report is to show all claims that have an ‘open’ claim status as of the valuation date the report is being run for (If being run for March valuation the claim status should reflect as of March 31</w:t>
      </w:r>
      <w:r w:rsidRPr="00B14F9B">
        <w:rPr>
          <w:vertAlign w:val="superscript"/>
        </w:rPr>
        <w:t>st</w:t>
      </w:r>
      <w:r>
        <w:t>)</w:t>
      </w:r>
    </w:p>
    <w:tbl>
      <w:tblPr>
        <w:tblW w:w="0" w:type="auto"/>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57"/>
        <w:gridCol w:w="4335"/>
      </w:tblGrid>
      <w:tr w:rsidR="00B14F9B" w:rsidRPr="009624BC" w:rsidTr="000515BD">
        <w:tc>
          <w:tcPr>
            <w:tcW w:w="3657" w:type="dxa"/>
            <w:shd w:val="pct50" w:color="auto" w:fill="auto"/>
            <w:vAlign w:val="center"/>
          </w:tcPr>
          <w:p w:rsidR="00B14F9B" w:rsidRPr="009624BC" w:rsidRDefault="00B14F9B" w:rsidP="000515BD">
            <w:pPr>
              <w:pStyle w:val="Body"/>
              <w:jc w:val="center"/>
              <w:rPr>
                <w:b/>
                <w:color w:val="FFFFFF"/>
              </w:rPr>
            </w:pPr>
            <w:r w:rsidRPr="009624BC">
              <w:rPr>
                <w:b/>
                <w:color w:val="FFFFFF"/>
              </w:rPr>
              <w:t>Data_Field</w:t>
            </w:r>
          </w:p>
        </w:tc>
        <w:tc>
          <w:tcPr>
            <w:tcW w:w="4335" w:type="dxa"/>
            <w:shd w:val="pct50" w:color="auto" w:fill="auto"/>
            <w:vAlign w:val="center"/>
          </w:tcPr>
          <w:p w:rsidR="00B14F9B" w:rsidRPr="009624BC" w:rsidRDefault="00B14F9B" w:rsidP="000515BD">
            <w:pPr>
              <w:pStyle w:val="Body"/>
              <w:jc w:val="center"/>
              <w:rPr>
                <w:b/>
                <w:color w:val="FFFFFF"/>
              </w:rPr>
            </w:pPr>
            <w:r w:rsidRPr="009624BC">
              <w:rPr>
                <w:b/>
                <w:color w:val="FFFFFF"/>
              </w:rPr>
              <w:t>Description</w:t>
            </w:r>
          </w:p>
        </w:tc>
      </w:tr>
      <w:tr w:rsidR="00A62601" w:rsidRPr="00815C74" w:rsidTr="000515BD">
        <w:tc>
          <w:tcPr>
            <w:tcW w:w="3657" w:type="dxa"/>
          </w:tcPr>
          <w:p w:rsidR="00A62601" w:rsidRDefault="00A62601" w:rsidP="000515BD">
            <w:pPr>
              <w:pStyle w:val="Body"/>
            </w:pPr>
            <w:r>
              <w:t>TPA Name</w:t>
            </w:r>
          </w:p>
        </w:tc>
        <w:tc>
          <w:tcPr>
            <w:tcW w:w="4335" w:type="dxa"/>
          </w:tcPr>
          <w:p w:rsidR="00A62601" w:rsidRDefault="00A62601" w:rsidP="000515BD">
            <w:pPr>
              <w:pStyle w:val="Body"/>
            </w:pPr>
            <w:r>
              <w:t>Name of TPA</w:t>
            </w:r>
          </w:p>
        </w:tc>
      </w:tr>
      <w:tr w:rsidR="00B14F9B" w:rsidRPr="00815C74" w:rsidTr="000515BD">
        <w:tc>
          <w:tcPr>
            <w:tcW w:w="3657" w:type="dxa"/>
          </w:tcPr>
          <w:p w:rsidR="00B14F9B" w:rsidRPr="00815C74" w:rsidRDefault="00B14F9B" w:rsidP="000515BD">
            <w:pPr>
              <w:pStyle w:val="Body"/>
            </w:pPr>
            <w:r>
              <w:t>Line Of Business</w:t>
            </w:r>
          </w:p>
        </w:tc>
        <w:tc>
          <w:tcPr>
            <w:tcW w:w="4335" w:type="dxa"/>
          </w:tcPr>
          <w:p w:rsidR="00B14F9B" w:rsidRPr="00815C74" w:rsidRDefault="00B14F9B" w:rsidP="000515BD">
            <w:pPr>
              <w:pStyle w:val="Body"/>
            </w:pPr>
            <w:r>
              <w:t>Line of Business Code</w:t>
            </w:r>
          </w:p>
        </w:tc>
      </w:tr>
      <w:tr w:rsidR="00B14F9B" w:rsidRPr="00815C74" w:rsidTr="000515BD">
        <w:tc>
          <w:tcPr>
            <w:tcW w:w="3657" w:type="dxa"/>
          </w:tcPr>
          <w:p w:rsidR="00B14F9B" w:rsidRPr="00815C74" w:rsidRDefault="00B14F9B" w:rsidP="000515BD">
            <w:pPr>
              <w:pStyle w:val="Body"/>
            </w:pPr>
            <w:r>
              <w:t>Major Class Description</w:t>
            </w:r>
          </w:p>
        </w:tc>
        <w:tc>
          <w:tcPr>
            <w:tcW w:w="4335" w:type="dxa"/>
          </w:tcPr>
          <w:p w:rsidR="00B14F9B" w:rsidRPr="00815C74" w:rsidRDefault="00B14F9B" w:rsidP="000515BD">
            <w:pPr>
              <w:pStyle w:val="Body"/>
            </w:pPr>
            <w:r>
              <w:t>Description of the MJC Code</w:t>
            </w:r>
          </w:p>
        </w:tc>
      </w:tr>
      <w:tr w:rsidR="00B14F9B" w:rsidRPr="00815C74" w:rsidTr="000515BD">
        <w:tc>
          <w:tcPr>
            <w:tcW w:w="3657" w:type="dxa"/>
          </w:tcPr>
          <w:p w:rsidR="00B14F9B" w:rsidRPr="00815C74" w:rsidRDefault="00B14F9B" w:rsidP="000515BD">
            <w:pPr>
              <w:pStyle w:val="Body"/>
            </w:pPr>
            <w:r>
              <w:t>Year to Date</w:t>
            </w:r>
          </w:p>
        </w:tc>
        <w:tc>
          <w:tcPr>
            <w:tcW w:w="4335" w:type="dxa"/>
          </w:tcPr>
          <w:p w:rsidR="00B14F9B" w:rsidRPr="00815C74" w:rsidRDefault="00B14F9B" w:rsidP="00E71D9E">
            <w:pPr>
              <w:pStyle w:val="Body"/>
            </w:pPr>
            <w:r>
              <w:t xml:space="preserve">Number of open claims </w:t>
            </w:r>
            <w:r w:rsidR="00E71D9E">
              <w:t>that are in an ‘open’ claim status as</w:t>
            </w:r>
            <w:r>
              <w:t xml:space="preserve"> of the current year </w:t>
            </w:r>
            <w:r w:rsidR="00E71D9E">
              <w:t>at</w:t>
            </w:r>
            <w:r>
              <w:t xml:space="preserve"> the latest valuation the report was run for</w:t>
            </w:r>
          </w:p>
        </w:tc>
      </w:tr>
      <w:tr w:rsidR="00B14F9B" w:rsidTr="000515BD">
        <w:tc>
          <w:tcPr>
            <w:tcW w:w="3657" w:type="dxa"/>
          </w:tcPr>
          <w:p w:rsidR="00B14F9B" w:rsidRPr="00815C74" w:rsidRDefault="00B14F9B" w:rsidP="000515BD">
            <w:pPr>
              <w:pStyle w:val="Body"/>
            </w:pPr>
            <w:r>
              <w:t>Prior Year to Date</w:t>
            </w:r>
          </w:p>
        </w:tc>
        <w:tc>
          <w:tcPr>
            <w:tcW w:w="4335" w:type="dxa"/>
          </w:tcPr>
          <w:p w:rsidR="00B14F9B" w:rsidRDefault="00B14F9B" w:rsidP="00E71D9E">
            <w:pPr>
              <w:pStyle w:val="Body"/>
            </w:pPr>
            <w:r>
              <w:t xml:space="preserve">Number of </w:t>
            </w:r>
            <w:r w:rsidR="00720E33">
              <w:t>open</w:t>
            </w:r>
            <w:r>
              <w:t xml:space="preserve"> claims </w:t>
            </w:r>
            <w:r w:rsidR="00E71D9E">
              <w:t>as</w:t>
            </w:r>
            <w:r w:rsidR="00C66793">
              <w:t xml:space="preserve"> </w:t>
            </w:r>
            <w:r>
              <w:t>of the previous year (if report is being sent in 2017, then this field is for 2016 year) to the latest valuation the report was run for. This field is the same logic for the Year to Date field, just for the previous year</w:t>
            </w:r>
          </w:p>
        </w:tc>
      </w:tr>
      <w:tr w:rsidR="00B14F9B" w:rsidTr="000515BD">
        <w:tc>
          <w:tcPr>
            <w:tcW w:w="3657" w:type="dxa"/>
          </w:tcPr>
          <w:p w:rsidR="00B14F9B" w:rsidRPr="00815C74" w:rsidRDefault="00B14F9B" w:rsidP="000515BD">
            <w:pPr>
              <w:pStyle w:val="Body"/>
            </w:pPr>
            <w:r>
              <w:t>Year to Date Change</w:t>
            </w:r>
          </w:p>
        </w:tc>
        <w:tc>
          <w:tcPr>
            <w:tcW w:w="4335" w:type="dxa"/>
          </w:tcPr>
          <w:p w:rsidR="00B14F9B" w:rsidRDefault="00B14F9B" w:rsidP="000515BD">
            <w:pPr>
              <w:pStyle w:val="Body"/>
            </w:pPr>
            <w:r>
              <w:t>(Year to Date – Prior Year to Date)</w:t>
            </w:r>
          </w:p>
        </w:tc>
      </w:tr>
      <w:tr w:rsidR="001C31C3" w:rsidTr="000515BD">
        <w:tc>
          <w:tcPr>
            <w:tcW w:w="3657" w:type="dxa"/>
          </w:tcPr>
          <w:p w:rsidR="001C31C3" w:rsidRDefault="001C31C3" w:rsidP="000515BD">
            <w:pPr>
              <w:pStyle w:val="Body"/>
            </w:pPr>
            <w:r>
              <w:t>Grand Total</w:t>
            </w:r>
          </w:p>
        </w:tc>
        <w:tc>
          <w:tcPr>
            <w:tcW w:w="4335" w:type="dxa"/>
          </w:tcPr>
          <w:p w:rsidR="001C31C3" w:rsidRDefault="001C31C3" w:rsidP="000515BD">
            <w:pPr>
              <w:pStyle w:val="Body"/>
            </w:pPr>
            <w:r>
              <w:t>Total Open Claims for the TPA (</w:t>
            </w:r>
            <w:r w:rsidRPr="001C31C3">
              <w:rPr>
                <w:b/>
              </w:rPr>
              <w:t>row item</w:t>
            </w:r>
            <w:r>
              <w:t>)</w:t>
            </w:r>
          </w:p>
        </w:tc>
      </w:tr>
    </w:tbl>
    <w:p w:rsidR="000E2055" w:rsidRDefault="000E2055" w:rsidP="00455C44">
      <w:pPr>
        <w:ind w:left="0" w:firstLine="0"/>
      </w:pPr>
    </w:p>
    <w:p w:rsidR="000E2055" w:rsidRDefault="000E2055" w:rsidP="00A62601"/>
    <w:p w:rsidR="00A62601" w:rsidRDefault="00A62601" w:rsidP="005B2E8D">
      <w:pPr>
        <w:pStyle w:val="ListParagraph"/>
        <w:numPr>
          <w:ilvl w:val="0"/>
          <w:numId w:val="8"/>
        </w:numPr>
        <w:rPr>
          <w:b/>
        </w:rPr>
      </w:pPr>
      <w:r w:rsidRPr="00A62601">
        <w:rPr>
          <w:b/>
        </w:rPr>
        <w:t>ClosedSymbols_Features_3</w:t>
      </w:r>
    </w:p>
    <w:p w:rsidR="00A62601" w:rsidRDefault="00A62601" w:rsidP="005B2E8D">
      <w:pPr>
        <w:pStyle w:val="ListParagraph"/>
        <w:numPr>
          <w:ilvl w:val="0"/>
          <w:numId w:val="8"/>
        </w:numPr>
      </w:pPr>
      <w:r w:rsidRPr="00A62601">
        <w:t xml:space="preserve">Logic </w:t>
      </w:r>
      <w:r w:rsidR="000E2055">
        <w:t>–</w:t>
      </w:r>
      <w:r w:rsidRPr="00A62601">
        <w:t xml:space="preserve"> </w:t>
      </w:r>
      <w:r w:rsidR="000E2055">
        <w:t>This report is to show all claims that have a closed date for the specific timeframe of the data field.</w:t>
      </w:r>
    </w:p>
    <w:tbl>
      <w:tblPr>
        <w:tblW w:w="0" w:type="auto"/>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57"/>
        <w:gridCol w:w="4335"/>
      </w:tblGrid>
      <w:tr w:rsidR="000E2055" w:rsidRPr="009624BC" w:rsidTr="000515BD">
        <w:tc>
          <w:tcPr>
            <w:tcW w:w="3657" w:type="dxa"/>
            <w:shd w:val="pct50" w:color="auto" w:fill="auto"/>
            <w:vAlign w:val="center"/>
          </w:tcPr>
          <w:p w:rsidR="000E2055" w:rsidRPr="009624BC" w:rsidRDefault="000E2055" w:rsidP="000515BD">
            <w:pPr>
              <w:pStyle w:val="Body"/>
              <w:jc w:val="center"/>
              <w:rPr>
                <w:b/>
                <w:color w:val="FFFFFF"/>
              </w:rPr>
            </w:pPr>
            <w:r w:rsidRPr="009624BC">
              <w:rPr>
                <w:b/>
                <w:color w:val="FFFFFF"/>
              </w:rPr>
              <w:t>Data_Field</w:t>
            </w:r>
          </w:p>
        </w:tc>
        <w:tc>
          <w:tcPr>
            <w:tcW w:w="4335" w:type="dxa"/>
            <w:shd w:val="pct50" w:color="auto" w:fill="auto"/>
            <w:vAlign w:val="center"/>
          </w:tcPr>
          <w:p w:rsidR="000E2055" w:rsidRPr="009624BC" w:rsidRDefault="000E2055" w:rsidP="000515BD">
            <w:pPr>
              <w:pStyle w:val="Body"/>
              <w:jc w:val="center"/>
              <w:rPr>
                <w:b/>
                <w:color w:val="FFFFFF"/>
              </w:rPr>
            </w:pPr>
            <w:r w:rsidRPr="009624BC">
              <w:rPr>
                <w:b/>
                <w:color w:val="FFFFFF"/>
              </w:rPr>
              <w:t>Description</w:t>
            </w:r>
          </w:p>
        </w:tc>
      </w:tr>
      <w:tr w:rsidR="000E2055" w:rsidRPr="00815C74" w:rsidTr="000515BD">
        <w:tc>
          <w:tcPr>
            <w:tcW w:w="3657" w:type="dxa"/>
          </w:tcPr>
          <w:p w:rsidR="000E2055" w:rsidRDefault="000E2055" w:rsidP="000515BD">
            <w:pPr>
              <w:pStyle w:val="Body"/>
            </w:pPr>
            <w:r>
              <w:t>TPA Name</w:t>
            </w:r>
          </w:p>
        </w:tc>
        <w:tc>
          <w:tcPr>
            <w:tcW w:w="4335" w:type="dxa"/>
          </w:tcPr>
          <w:p w:rsidR="000E2055" w:rsidRDefault="000E2055" w:rsidP="000515BD">
            <w:pPr>
              <w:pStyle w:val="Body"/>
            </w:pPr>
            <w:r>
              <w:t>Name of TPA</w:t>
            </w:r>
          </w:p>
        </w:tc>
      </w:tr>
      <w:tr w:rsidR="000E2055" w:rsidRPr="00815C74" w:rsidTr="000515BD">
        <w:tc>
          <w:tcPr>
            <w:tcW w:w="3657" w:type="dxa"/>
          </w:tcPr>
          <w:p w:rsidR="000E2055" w:rsidRPr="00815C74" w:rsidRDefault="000E2055" w:rsidP="000515BD">
            <w:pPr>
              <w:pStyle w:val="Body"/>
            </w:pPr>
            <w:r>
              <w:lastRenderedPageBreak/>
              <w:t>Line Of Business</w:t>
            </w:r>
          </w:p>
        </w:tc>
        <w:tc>
          <w:tcPr>
            <w:tcW w:w="4335" w:type="dxa"/>
          </w:tcPr>
          <w:p w:rsidR="000E2055" w:rsidRPr="00815C74" w:rsidRDefault="000E2055" w:rsidP="000515BD">
            <w:pPr>
              <w:pStyle w:val="Body"/>
            </w:pPr>
            <w:r>
              <w:t>Line of Business Code</w:t>
            </w:r>
          </w:p>
        </w:tc>
      </w:tr>
      <w:tr w:rsidR="000E2055" w:rsidRPr="00815C74" w:rsidTr="000515BD">
        <w:tc>
          <w:tcPr>
            <w:tcW w:w="3657" w:type="dxa"/>
          </w:tcPr>
          <w:p w:rsidR="000E2055" w:rsidRPr="00815C74" w:rsidRDefault="000E2055" w:rsidP="000515BD">
            <w:pPr>
              <w:pStyle w:val="Body"/>
            </w:pPr>
            <w:r>
              <w:t>Major Class Description</w:t>
            </w:r>
          </w:p>
        </w:tc>
        <w:tc>
          <w:tcPr>
            <w:tcW w:w="4335" w:type="dxa"/>
          </w:tcPr>
          <w:p w:rsidR="000E2055" w:rsidRPr="00815C74" w:rsidRDefault="000E2055" w:rsidP="000515BD">
            <w:pPr>
              <w:pStyle w:val="Body"/>
            </w:pPr>
            <w:r>
              <w:t>Description of the MJC Code</w:t>
            </w:r>
          </w:p>
        </w:tc>
      </w:tr>
      <w:tr w:rsidR="000E2055" w:rsidRPr="00815C74" w:rsidTr="000515BD">
        <w:tc>
          <w:tcPr>
            <w:tcW w:w="3657" w:type="dxa"/>
          </w:tcPr>
          <w:p w:rsidR="000E2055" w:rsidRPr="00C66793" w:rsidRDefault="000E2055" w:rsidP="00E71D9E">
            <w:pPr>
              <w:pStyle w:val="Body"/>
              <w:rPr>
                <w:highlight w:val="cyan"/>
              </w:rPr>
            </w:pPr>
            <w:r w:rsidRPr="00C66793">
              <w:rPr>
                <w:highlight w:val="cyan"/>
              </w:rPr>
              <w:t>CLOSED SYMBOLS INCLUDING CWP</w:t>
            </w:r>
          </w:p>
        </w:tc>
        <w:tc>
          <w:tcPr>
            <w:tcW w:w="4335" w:type="dxa"/>
          </w:tcPr>
          <w:p w:rsidR="000E2055" w:rsidRPr="00C66793" w:rsidRDefault="00E71D9E" w:rsidP="000515BD">
            <w:pPr>
              <w:pStyle w:val="Body"/>
              <w:rPr>
                <w:highlight w:val="cyan"/>
              </w:rPr>
            </w:pPr>
            <w:r w:rsidRPr="00C66793">
              <w:rPr>
                <w:highlight w:val="cyan"/>
              </w:rPr>
              <w:t>This should appear on the top row of the report before the actual data is presented, this isn’t an actual column of the report (please see mockup). This determines the section for which Closed Symbols including Closed Without Paids are being displayed</w:t>
            </w:r>
            <w:r w:rsidR="006C3C4B">
              <w:rPr>
                <w:highlight w:val="cyan"/>
              </w:rPr>
              <w:t>. The next 5 data fields should be run for this criteria.</w:t>
            </w:r>
          </w:p>
        </w:tc>
      </w:tr>
      <w:tr w:rsidR="000E2055" w:rsidRPr="00815C74" w:rsidTr="000515BD">
        <w:tc>
          <w:tcPr>
            <w:tcW w:w="3657" w:type="dxa"/>
          </w:tcPr>
          <w:p w:rsidR="000E2055" w:rsidRPr="00815C74" w:rsidRDefault="000E2055" w:rsidP="000515BD">
            <w:pPr>
              <w:pStyle w:val="Body"/>
            </w:pPr>
            <w:r>
              <w:t>Year to Date</w:t>
            </w:r>
          </w:p>
        </w:tc>
        <w:tc>
          <w:tcPr>
            <w:tcW w:w="4335" w:type="dxa"/>
          </w:tcPr>
          <w:p w:rsidR="000E2055" w:rsidRPr="00815C74" w:rsidRDefault="000E2055" w:rsidP="00C66793">
            <w:pPr>
              <w:pStyle w:val="Body"/>
            </w:pPr>
            <w:r>
              <w:t xml:space="preserve">Number of </w:t>
            </w:r>
            <w:r w:rsidR="00C66793">
              <w:t xml:space="preserve">closed </w:t>
            </w:r>
            <w:r>
              <w:t xml:space="preserve">claims </w:t>
            </w:r>
            <w:r w:rsidR="00C66793">
              <w:t xml:space="preserve">that have a last closed date </w:t>
            </w:r>
            <w:r>
              <w:t>from January 1</w:t>
            </w:r>
            <w:r w:rsidRPr="006628A7">
              <w:rPr>
                <w:vertAlign w:val="superscript"/>
              </w:rPr>
              <w:t>st</w:t>
            </w:r>
            <w:r>
              <w:t xml:space="preserve"> of the current year until the latest valuation the report was run for</w:t>
            </w:r>
          </w:p>
        </w:tc>
      </w:tr>
      <w:tr w:rsidR="000E2055" w:rsidTr="000515BD">
        <w:tc>
          <w:tcPr>
            <w:tcW w:w="3657" w:type="dxa"/>
          </w:tcPr>
          <w:p w:rsidR="000E2055" w:rsidRPr="00815C74" w:rsidRDefault="000E2055" w:rsidP="000515BD">
            <w:pPr>
              <w:pStyle w:val="Body"/>
            </w:pPr>
            <w:r>
              <w:t>Prior Year to Date</w:t>
            </w:r>
          </w:p>
        </w:tc>
        <w:tc>
          <w:tcPr>
            <w:tcW w:w="4335" w:type="dxa"/>
          </w:tcPr>
          <w:p w:rsidR="000E2055" w:rsidRDefault="000E2055" w:rsidP="00C66793">
            <w:pPr>
              <w:pStyle w:val="Body"/>
            </w:pPr>
            <w:r>
              <w:t xml:space="preserve">Number of </w:t>
            </w:r>
            <w:r w:rsidR="00C66793">
              <w:t xml:space="preserve">closed </w:t>
            </w:r>
            <w:r>
              <w:t xml:space="preserve">claims </w:t>
            </w:r>
            <w:r w:rsidR="00C66793">
              <w:t xml:space="preserve">that have a last closed date </w:t>
            </w:r>
            <w:r>
              <w:t>from January 1</w:t>
            </w:r>
            <w:r w:rsidRPr="006628A7">
              <w:rPr>
                <w:vertAlign w:val="superscript"/>
              </w:rPr>
              <w:t>st</w:t>
            </w:r>
            <w:r>
              <w:t xml:space="preserve"> of the previous year (if report is being sent in 2017, then this field is for 2016 year) to the latest valuation the report was run for. This field is the same logic for the Year to Date field, just for the previous year</w:t>
            </w:r>
          </w:p>
        </w:tc>
      </w:tr>
      <w:tr w:rsidR="000E2055" w:rsidTr="000515BD">
        <w:tc>
          <w:tcPr>
            <w:tcW w:w="3657" w:type="dxa"/>
          </w:tcPr>
          <w:p w:rsidR="000E2055" w:rsidRPr="00815C74" w:rsidRDefault="000E2055" w:rsidP="000515BD">
            <w:pPr>
              <w:pStyle w:val="Body"/>
            </w:pPr>
            <w:r>
              <w:t>Year to Date Change</w:t>
            </w:r>
          </w:p>
        </w:tc>
        <w:tc>
          <w:tcPr>
            <w:tcW w:w="4335" w:type="dxa"/>
          </w:tcPr>
          <w:p w:rsidR="000E2055" w:rsidRDefault="000E2055" w:rsidP="000515BD">
            <w:pPr>
              <w:pStyle w:val="Body"/>
            </w:pPr>
            <w:r>
              <w:t>(Year to Date – Prior Year to Date)</w:t>
            </w:r>
          </w:p>
        </w:tc>
      </w:tr>
      <w:tr w:rsidR="000E2055" w:rsidTr="000515BD">
        <w:tc>
          <w:tcPr>
            <w:tcW w:w="3657" w:type="dxa"/>
          </w:tcPr>
          <w:p w:rsidR="000E2055" w:rsidRDefault="000E2055" w:rsidP="000515BD">
            <w:pPr>
              <w:pStyle w:val="Body"/>
            </w:pPr>
            <w:r>
              <w:t>Current Month</w:t>
            </w:r>
          </w:p>
        </w:tc>
        <w:tc>
          <w:tcPr>
            <w:tcW w:w="4335" w:type="dxa"/>
          </w:tcPr>
          <w:p w:rsidR="000E2055" w:rsidRDefault="000E2055" w:rsidP="00C66793">
            <w:pPr>
              <w:pStyle w:val="Body"/>
            </w:pPr>
            <w:r>
              <w:t xml:space="preserve">Number of </w:t>
            </w:r>
            <w:r w:rsidR="00C66793">
              <w:t>closed</w:t>
            </w:r>
            <w:r>
              <w:t xml:space="preserve"> claims </w:t>
            </w:r>
            <w:r w:rsidR="00C66793">
              <w:t xml:space="preserve">with a closed date </w:t>
            </w:r>
            <w:r>
              <w:t>for the valuation month the report is being run for</w:t>
            </w:r>
          </w:p>
        </w:tc>
      </w:tr>
      <w:tr w:rsidR="000E2055" w:rsidRPr="00815C74" w:rsidTr="000515BD">
        <w:tc>
          <w:tcPr>
            <w:tcW w:w="3657" w:type="dxa"/>
          </w:tcPr>
          <w:p w:rsidR="000E2055" w:rsidRPr="00815C74" w:rsidRDefault="000E2055" w:rsidP="000515BD">
            <w:pPr>
              <w:pStyle w:val="Body"/>
            </w:pPr>
            <w:r>
              <w:t>Prior Year Current Month</w:t>
            </w:r>
          </w:p>
        </w:tc>
        <w:tc>
          <w:tcPr>
            <w:tcW w:w="4335" w:type="dxa"/>
          </w:tcPr>
          <w:p w:rsidR="000E2055" w:rsidRPr="00815C74" w:rsidRDefault="000E2055" w:rsidP="00C66793">
            <w:pPr>
              <w:pStyle w:val="Body"/>
            </w:pPr>
            <w:r>
              <w:t xml:space="preserve">Similar to the Prior Year to Date, this field shows the n umber of </w:t>
            </w:r>
            <w:r w:rsidR="00C66793">
              <w:t>closed</w:t>
            </w:r>
            <w:r>
              <w:t xml:space="preserve"> claims </w:t>
            </w:r>
            <w:r w:rsidR="00C66793">
              <w:t xml:space="preserve">with a last closed date </w:t>
            </w:r>
            <w:r>
              <w:t>for the same valuation month of the current month but the prior year (report being run in February of 2017, this field would be run for February of 2016)</w:t>
            </w:r>
          </w:p>
        </w:tc>
      </w:tr>
      <w:tr w:rsidR="006C3C4B" w:rsidRPr="00815C74" w:rsidTr="000515BD">
        <w:tc>
          <w:tcPr>
            <w:tcW w:w="3657" w:type="dxa"/>
          </w:tcPr>
          <w:p w:rsidR="006C3C4B" w:rsidRDefault="006C3C4B" w:rsidP="006C3C4B">
            <w:pPr>
              <w:pStyle w:val="Body"/>
            </w:pPr>
            <w:r w:rsidRPr="006F3CF2">
              <w:rPr>
                <w:highlight w:val="cyan"/>
              </w:rPr>
              <w:t>IML CLOSED SYMBOLS</w:t>
            </w:r>
          </w:p>
        </w:tc>
        <w:tc>
          <w:tcPr>
            <w:tcW w:w="4335" w:type="dxa"/>
          </w:tcPr>
          <w:p w:rsidR="006C3C4B" w:rsidRDefault="006C3C4B" w:rsidP="004E5117">
            <w:pPr>
              <w:pStyle w:val="Body"/>
            </w:pPr>
            <w:r w:rsidRPr="00C66793">
              <w:rPr>
                <w:highlight w:val="cyan"/>
              </w:rPr>
              <w:t xml:space="preserve">This should appear on the top row of the report before the actual data is presented, this isn’t an actual column of the report (please see mockup). This determines the section for which </w:t>
            </w:r>
            <w:r w:rsidR="004E5117">
              <w:rPr>
                <w:highlight w:val="cyan"/>
              </w:rPr>
              <w:t>closed claims that have an indemnity, medical, or expense payment</w:t>
            </w:r>
            <w:r w:rsidRPr="00C66793">
              <w:rPr>
                <w:highlight w:val="cyan"/>
              </w:rPr>
              <w:t>.</w:t>
            </w:r>
            <w:r w:rsidRPr="004E5117">
              <w:rPr>
                <w:highlight w:val="cyan"/>
              </w:rPr>
              <w:t xml:space="preserve"> The next 5 data fields should be run for this criteria.</w:t>
            </w:r>
          </w:p>
        </w:tc>
      </w:tr>
      <w:tr w:rsidR="00D95427" w:rsidRPr="00815C74" w:rsidTr="000515BD">
        <w:tc>
          <w:tcPr>
            <w:tcW w:w="3657" w:type="dxa"/>
          </w:tcPr>
          <w:p w:rsidR="00D95427" w:rsidRPr="00815C74" w:rsidRDefault="00D95427" w:rsidP="000515BD">
            <w:pPr>
              <w:pStyle w:val="Body"/>
            </w:pPr>
            <w:r>
              <w:t>Year to Date</w:t>
            </w:r>
          </w:p>
        </w:tc>
        <w:tc>
          <w:tcPr>
            <w:tcW w:w="4335" w:type="dxa"/>
          </w:tcPr>
          <w:p w:rsidR="00D95427" w:rsidRPr="00815C74" w:rsidRDefault="00D95427" w:rsidP="000515BD">
            <w:pPr>
              <w:pStyle w:val="Body"/>
            </w:pPr>
            <w:r>
              <w:t>Number of closed claims that have a last closed date from January 1</w:t>
            </w:r>
            <w:r w:rsidRPr="006628A7">
              <w:rPr>
                <w:vertAlign w:val="superscript"/>
              </w:rPr>
              <w:t>st</w:t>
            </w:r>
            <w:r>
              <w:t xml:space="preserve"> of the current year until the latest valuation the report was run for</w:t>
            </w:r>
          </w:p>
        </w:tc>
      </w:tr>
      <w:tr w:rsidR="00D95427" w:rsidRPr="00815C74" w:rsidTr="000515BD">
        <w:tc>
          <w:tcPr>
            <w:tcW w:w="3657" w:type="dxa"/>
          </w:tcPr>
          <w:p w:rsidR="00D95427" w:rsidRPr="00815C74" w:rsidRDefault="00D95427" w:rsidP="000515BD">
            <w:pPr>
              <w:pStyle w:val="Body"/>
            </w:pPr>
            <w:r>
              <w:t>Prior Year to Date</w:t>
            </w:r>
          </w:p>
        </w:tc>
        <w:tc>
          <w:tcPr>
            <w:tcW w:w="4335" w:type="dxa"/>
          </w:tcPr>
          <w:p w:rsidR="00D95427" w:rsidRDefault="00D95427" w:rsidP="000515BD">
            <w:pPr>
              <w:pStyle w:val="Body"/>
            </w:pPr>
            <w:r>
              <w:t xml:space="preserve">Number of closed claims that have a last </w:t>
            </w:r>
            <w:r>
              <w:lastRenderedPageBreak/>
              <w:t>closed date from January 1</w:t>
            </w:r>
            <w:r w:rsidRPr="006628A7">
              <w:rPr>
                <w:vertAlign w:val="superscript"/>
              </w:rPr>
              <w:t>st</w:t>
            </w:r>
            <w:r>
              <w:t xml:space="preserve"> of the previous year (if report is being sent in 2017, then this field is for 2016 year) to the latest valuation the report was run for. This field is the same logic for the Year to Date field, just for the previous year</w:t>
            </w:r>
          </w:p>
        </w:tc>
      </w:tr>
      <w:tr w:rsidR="00D95427" w:rsidRPr="00815C74" w:rsidTr="000515BD">
        <w:tc>
          <w:tcPr>
            <w:tcW w:w="3657" w:type="dxa"/>
          </w:tcPr>
          <w:p w:rsidR="00D95427" w:rsidRPr="00815C74" w:rsidRDefault="00D95427" w:rsidP="000515BD">
            <w:pPr>
              <w:pStyle w:val="Body"/>
            </w:pPr>
            <w:r>
              <w:lastRenderedPageBreak/>
              <w:t>Year to Date Change</w:t>
            </w:r>
          </w:p>
        </w:tc>
        <w:tc>
          <w:tcPr>
            <w:tcW w:w="4335" w:type="dxa"/>
          </w:tcPr>
          <w:p w:rsidR="00D95427" w:rsidRDefault="00D95427" w:rsidP="000515BD">
            <w:pPr>
              <w:pStyle w:val="Body"/>
            </w:pPr>
            <w:r>
              <w:t>(Year to Date – Prior Year to Date)</w:t>
            </w:r>
          </w:p>
        </w:tc>
      </w:tr>
      <w:tr w:rsidR="00D95427" w:rsidRPr="00815C74" w:rsidTr="000515BD">
        <w:tc>
          <w:tcPr>
            <w:tcW w:w="3657" w:type="dxa"/>
          </w:tcPr>
          <w:p w:rsidR="00D95427" w:rsidRDefault="00D95427" w:rsidP="000515BD">
            <w:pPr>
              <w:pStyle w:val="Body"/>
            </w:pPr>
            <w:r>
              <w:t>Current Month</w:t>
            </w:r>
          </w:p>
        </w:tc>
        <w:tc>
          <w:tcPr>
            <w:tcW w:w="4335" w:type="dxa"/>
          </w:tcPr>
          <w:p w:rsidR="00D95427" w:rsidRDefault="00D95427" w:rsidP="000515BD">
            <w:pPr>
              <w:pStyle w:val="Body"/>
            </w:pPr>
            <w:r>
              <w:t>Number of closed claims with a closed date for the valuation month the report is being run for</w:t>
            </w:r>
          </w:p>
        </w:tc>
      </w:tr>
      <w:tr w:rsidR="00D95427" w:rsidRPr="00815C74" w:rsidTr="000515BD">
        <w:tc>
          <w:tcPr>
            <w:tcW w:w="3657" w:type="dxa"/>
          </w:tcPr>
          <w:p w:rsidR="00D95427" w:rsidRPr="00815C74" w:rsidRDefault="00D95427" w:rsidP="000515BD">
            <w:pPr>
              <w:pStyle w:val="Body"/>
            </w:pPr>
            <w:r>
              <w:t>Prior Year Current Month</w:t>
            </w:r>
          </w:p>
        </w:tc>
        <w:tc>
          <w:tcPr>
            <w:tcW w:w="4335" w:type="dxa"/>
          </w:tcPr>
          <w:p w:rsidR="00D95427" w:rsidRPr="00815C74" w:rsidRDefault="00D95427" w:rsidP="000515BD">
            <w:pPr>
              <w:pStyle w:val="Body"/>
            </w:pPr>
            <w:r>
              <w:t>Similar to the Prior Year to Date, this field shows the n umber of closed claims with a last closed date for the same valuation month of the current month but the prior year (report being run in February of 2017, this field would be run for February of 2016)</w:t>
            </w:r>
          </w:p>
        </w:tc>
      </w:tr>
      <w:tr w:rsidR="004670CF" w:rsidRPr="00815C74" w:rsidTr="000515BD">
        <w:tc>
          <w:tcPr>
            <w:tcW w:w="3657" w:type="dxa"/>
          </w:tcPr>
          <w:p w:rsidR="006F3CF2" w:rsidRDefault="006F3CF2" w:rsidP="000515BD">
            <w:pPr>
              <w:pStyle w:val="Body"/>
            </w:pPr>
            <w:r w:rsidRPr="00AC2D77">
              <w:rPr>
                <w:highlight w:val="cyan"/>
              </w:rPr>
              <w:t>CWP SYMBOL COUNT</w:t>
            </w:r>
          </w:p>
        </w:tc>
        <w:tc>
          <w:tcPr>
            <w:tcW w:w="4335" w:type="dxa"/>
          </w:tcPr>
          <w:p w:rsidR="004670CF" w:rsidRDefault="00AC2D77" w:rsidP="000669AB">
            <w:pPr>
              <w:pStyle w:val="Body"/>
            </w:pPr>
            <w:r w:rsidRPr="00C66793">
              <w:rPr>
                <w:highlight w:val="cyan"/>
              </w:rPr>
              <w:t>This should appear on the top row of the report before the actual data is presented, this isn’t an actual column of the report (please see mockup).</w:t>
            </w:r>
            <w:r w:rsidRPr="004E5117">
              <w:rPr>
                <w:highlight w:val="cyan"/>
              </w:rPr>
              <w:t xml:space="preserve"> The next 5 data fields should be run for this criteria</w:t>
            </w:r>
            <w:r w:rsidR="000669AB">
              <w:rPr>
                <w:highlight w:val="cyan"/>
              </w:rPr>
              <w:t xml:space="preserve"> of which closed without paids are ONLY being counted</w:t>
            </w:r>
            <w:r w:rsidRPr="004E5117">
              <w:rPr>
                <w:highlight w:val="cyan"/>
              </w:rPr>
              <w:t>.</w:t>
            </w:r>
          </w:p>
        </w:tc>
      </w:tr>
      <w:tr w:rsidR="00AC2D77" w:rsidRPr="00815C74" w:rsidTr="000515BD">
        <w:tc>
          <w:tcPr>
            <w:tcW w:w="3657" w:type="dxa"/>
          </w:tcPr>
          <w:p w:rsidR="00AC2D77" w:rsidRPr="00815C74" w:rsidRDefault="00AC2D77" w:rsidP="000515BD">
            <w:pPr>
              <w:pStyle w:val="Body"/>
            </w:pPr>
            <w:r>
              <w:t>Year to Date</w:t>
            </w:r>
          </w:p>
        </w:tc>
        <w:tc>
          <w:tcPr>
            <w:tcW w:w="4335" w:type="dxa"/>
          </w:tcPr>
          <w:p w:rsidR="00AC2D77" w:rsidRPr="00815C74" w:rsidRDefault="00AC2D77" w:rsidP="000515BD">
            <w:pPr>
              <w:pStyle w:val="Body"/>
            </w:pPr>
            <w:r>
              <w:t>Number of closed claims that have a last closed date from January 1</w:t>
            </w:r>
            <w:r w:rsidRPr="006628A7">
              <w:rPr>
                <w:vertAlign w:val="superscript"/>
              </w:rPr>
              <w:t>st</w:t>
            </w:r>
            <w:r>
              <w:t xml:space="preserve"> of the current year until the latest valuation the report was run for</w:t>
            </w:r>
          </w:p>
        </w:tc>
      </w:tr>
      <w:tr w:rsidR="00AC2D77" w:rsidRPr="00815C74" w:rsidTr="000515BD">
        <w:tc>
          <w:tcPr>
            <w:tcW w:w="3657" w:type="dxa"/>
          </w:tcPr>
          <w:p w:rsidR="00AC2D77" w:rsidRPr="00815C74" w:rsidRDefault="00AC2D77" w:rsidP="000515BD">
            <w:pPr>
              <w:pStyle w:val="Body"/>
            </w:pPr>
            <w:r>
              <w:t>Prior Year to Date</w:t>
            </w:r>
          </w:p>
        </w:tc>
        <w:tc>
          <w:tcPr>
            <w:tcW w:w="4335" w:type="dxa"/>
          </w:tcPr>
          <w:p w:rsidR="00AC2D77" w:rsidRDefault="00AC2D77" w:rsidP="000515BD">
            <w:pPr>
              <w:pStyle w:val="Body"/>
            </w:pPr>
            <w:r>
              <w:t>Number of closed claims that have a last closed date from January 1</w:t>
            </w:r>
            <w:r w:rsidRPr="006628A7">
              <w:rPr>
                <w:vertAlign w:val="superscript"/>
              </w:rPr>
              <w:t>st</w:t>
            </w:r>
            <w:r>
              <w:t xml:space="preserve"> of the previous year (if report is being sent in 2017, then this field is for 2016 year) to the latest valuation the report was run for. This field is the same logic for the Year to Date field, just for the previous year</w:t>
            </w:r>
          </w:p>
        </w:tc>
      </w:tr>
      <w:tr w:rsidR="00AC2D77" w:rsidRPr="00815C74" w:rsidTr="000515BD">
        <w:tc>
          <w:tcPr>
            <w:tcW w:w="3657" w:type="dxa"/>
          </w:tcPr>
          <w:p w:rsidR="00AC2D77" w:rsidRPr="00815C74" w:rsidRDefault="00AC2D77" w:rsidP="000515BD">
            <w:pPr>
              <w:pStyle w:val="Body"/>
            </w:pPr>
            <w:r>
              <w:t>Year to Date Change</w:t>
            </w:r>
          </w:p>
        </w:tc>
        <w:tc>
          <w:tcPr>
            <w:tcW w:w="4335" w:type="dxa"/>
          </w:tcPr>
          <w:p w:rsidR="00AC2D77" w:rsidRDefault="00AC2D77" w:rsidP="000515BD">
            <w:pPr>
              <w:pStyle w:val="Body"/>
            </w:pPr>
            <w:r>
              <w:t>(Year to Date – Prior Year to Date)</w:t>
            </w:r>
          </w:p>
        </w:tc>
      </w:tr>
      <w:tr w:rsidR="00AC2D77" w:rsidRPr="00815C74" w:rsidTr="000515BD">
        <w:tc>
          <w:tcPr>
            <w:tcW w:w="3657" w:type="dxa"/>
          </w:tcPr>
          <w:p w:rsidR="00AC2D77" w:rsidRDefault="00AC2D77" w:rsidP="000515BD">
            <w:pPr>
              <w:pStyle w:val="Body"/>
            </w:pPr>
            <w:r>
              <w:t>Current Month</w:t>
            </w:r>
          </w:p>
        </w:tc>
        <w:tc>
          <w:tcPr>
            <w:tcW w:w="4335" w:type="dxa"/>
          </w:tcPr>
          <w:p w:rsidR="00AC2D77" w:rsidRDefault="00AC2D77" w:rsidP="000515BD">
            <w:pPr>
              <w:pStyle w:val="Body"/>
            </w:pPr>
            <w:r>
              <w:t>Number of closed claims with a closed date for the valuation month the report is being run for</w:t>
            </w:r>
          </w:p>
        </w:tc>
      </w:tr>
      <w:tr w:rsidR="00AC2D77" w:rsidRPr="00815C74" w:rsidTr="000515BD">
        <w:tc>
          <w:tcPr>
            <w:tcW w:w="3657" w:type="dxa"/>
          </w:tcPr>
          <w:p w:rsidR="00AC2D77" w:rsidRPr="00815C74" w:rsidRDefault="00AC2D77" w:rsidP="000515BD">
            <w:pPr>
              <w:pStyle w:val="Body"/>
            </w:pPr>
            <w:r>
              <w:t>Prior Year Current Month</w:t>
            </w:r>
          </w:p>
        </w:tc>
        <w:tc>
          <w:tcPr>
            <w:tcW w:w="4335" w:type="dxa"/>
          </w:tcPr>
          <w:p w:rsidR="00AC2D77" w:rsidRPr="00815C74" w:rsidRDefault="00AC2D77" w:rsidP="000515BD">
            <w:pPr>
              <w:pStyle w:val="Body"/>
            </w:pPr>
            <w:r>
              <w:t>Similar to the Prior Year to Date, this field shows the n umber of closed claims with a last closed date for the same valuation month of the current month but the prior year (report being run in February of 2017, this field would be run for February of 2016)</w:t>
            </w:r>
          </w:p>
        </w:tc>
      </w:tr>
      <w:tr w:rsidR="001C31C3" w:rsidRPr="00815C74" w:rsidTr="000515BD">
        <w:tc>
          <w:tcPr>
            <w:tcW w:w="3657" w:type="dxa"/>
          </w:tcPr>
          <w:p w:rsidR="001C31C3" w:rsidRDefault="001C31C3" w:rsidP="000515BD">
            <w:pPr>
              <w:pStyle w:val="Body"/>
            </w:pPr>
            <w:r>
              <w:lastRenderedPageBreak/>
              <w:t>Grand Total</w:t>
            </w:r>
          </w:p>
        </w:tc>
        <w:tc>
          <w:tcPr>
            <w:tcW w:w="4335" w:type="dxa"/>
          </w:tcPr>
          <w:p w:rsidR="001C31C3" w:rsidRPr="001C31C3" w:rsidRDefault="001C31C3" w:rsidP="000515BD">
            <w:pPr>
              <w:pStyle w:val="Body"/>
              <w:rPr>
                <w:b/>
              </w:rPr>
            </w:pPr>
            <w:r w:rsidRPr="001C31C3">
              <w:t>Total closed claims for TPA</w:t>
            </w:r>
            <w:r>
              <w:rPr>
                <w:b/>
              </w:rPr>
              <w:t xml:space="preserve"> (</w:t>
            </w:r>
            <w:r w:rsidRPr="001C31C3">
              <w:rPr>
                <w:b/>
              </w:rPr>
              <w:t>Row item for above data fields where applicable</w:t>
            </w:r>
            <w:r>
              <w:rPr>
                <w:b/>
              </w:rPr>
              <w:t>)</w:t>
            </w:r>
          </w:p>
        </w:tc>
      </w:tr>
    </w:tbl>
    <w:p w:rsidR="000E2055" w:rsidRDefault="000E2055" w:rsidP="006C3C4B"/>
    <w:p w:rsidR="006C3C4B" w:rsidRDefault="006C3C4B" w:rsidP="006C3C4B"/>
    <w:p w:rsidR="006C3C4B" w:rsidRPr="00AC43CE" w:rsidRDefault="00AC43CE" w:rsidP="005B2E8D">
      <w:pPr>
        <w:pStyle w:val="ListParagraph"/>
        <w:numPr>
          <w:ilvl w:val="0"/>
          <w:numId w:val="9"/>
        </w:numPr>
        <w:rPr>
          <w:b/>
        </w:rPr>
      </w:pPr>
      <w:r w:rsidRPr="00AC43CE">
        <w:rPr>
          <w:b/>
        </w:rPr>
        <w:t>Closing Ratio_4</w:t>
      </w:r>
    </w:p>
    <w:p w:rsidR="00AC43CE" w:rsidRDefault="00AC43CE" w:rsidP="005B2E8D">
      <w:pPr>
        <w:pStyle w:val="ListParagraph"/>
        <w:numPr>
          <w:ilvl w:val="0"/>
          <w:numId w:val="9"/>
        </w:numPr>
      </w:pPr>
      <w:r>
        <w:t xml:space="preserve">Logic </w:t>
      </w:r>
      <w:r w:rsidR="00312568">
        <w:t>–</w:t>
      </w:r>
      <w:r>
        <w:t xml:space="preserve"> </w:t>
      </w:r>
      <w:r w:rsidR="00312568">
        <w:t xml:space="preserve">This report is to show the percentages for the closing ratio for claims in TPAIR. The closing ratio formula is as follows: </w:t>
      </w:r>
      <w:r w:rsidR="00312568" w:rsidRPr="00CD042D">
        <w:rPr>
          <w:highlight w:val="yellow"/>
        </w:rPr>
        <w:t>(Closed Symbol Count/(new symbol count + reopened symbol count))</w:t>
      </w:r>
    </w:p>
    <w:tbl>
      <w:tblPr>
        <w:tblW w:w="0" w:type="auto"/>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57"/>
        <w:gridCol w:w="4335"/>
      </w:tblGrid>
      <w:tr w:rsidR="00312568" w:rsidRPr="009624BC" w:rsidTr="000515BD">
        <w:tc>
          <w:tcPr>
            <w:tcW w:w="3657" w:type="dxa"/>
            <w:shd w:val="pct50" w:color="auto" w:fill="auto"/>
            <w:vAlign w:val="center"/>
          </w:tcPr>
          <w:p w:rsidR="00312568" w:rsidRPr="009624BC" w:rsidRDefault="00312568" w:rsidP="000515BD">
            <w:pPr>
              <w:pStyle w:val="Body"/>
              <w:jc w:val="center"/>
              <w:rPr>
                <w:b/>
                <w:color w:val="FFFFFF"/>
              </w:rPr>
            </w:pPr>
            <w:r w:rsidRPr="009624BC">
              <w:rPr>
                <w:b/>
                <w:color w:val="FFFFFF"/>
              </w:rPr>
              <w:t>Data_Field</w:t>
            </w:r>
          </w:p>
        </w:tc>
        <w:tc>
          <w:tcPr>
            <w:tcW w:w="4335" w:type="dxa"/>
            <w:shd w:val="pct50" w:color="auto" w:fill="auto"/>
            <w:vAlign w:val="center"/>
          </w:tcPr>
          <w:p w:rsidR="00312568" w:rsidRPr="009624BC" w:rsidRDefault="00312568" w:rsidP="000515BD">
            <w:pPr>
              <w:pStyle w:val="Body"/>
              <w:jc w:val="center"/>
              <w:rPr>
                <w:b/>
                <w:color w:val="FFFFFF"/>
              </w:rPr>
            </w:pPr>
            <w:r w:rsidRPr="009624BC">
              <w:rPr>
                <w:b/>
                <w:color w:val="FFFFFF"/>
              </w:rPr>
              <w:t>Description</w:t>
            </w:r>
          </w:p>
        </w:tc>
      </w:tr>
      <w:tr w:rsidR="00312568" w:rsidTr="000515BD">
        <w:tc>
          <w:tcPr>
            <w:tcW w:w="3657" w:type="dxa"/>
          </w:tcPr>
          <w:p w:rsidR="00312568" w:rsidRDefault="00312568" w:rsidP="000515BD">
            <w:pPr>
              <w:pStyle w:val="Body"/>
            </w:pPr>
            <w:r>
              <w:t>TPA Name</w:t>
            </w:r>
          </w:p>
        </w:tc>
        <w:tc>
          <w:tcPr>
            <w:tcW w:w="4335" w:type="dxa"/>
          </w:tcPr>
          <w:p w:rsidR="00312568" w:rsidRDefault="00312568" w:rsidP="000515BD">
            <w:pPr>
              <w:pStyle w:val="Body"/>
            </w:pPr>
            <w:r>
              <w:t>Name of TPA</w:t>
            </w:r>
          </w:p>
        </w:tc>
      </w:tr>
      <w:tr w:rsidR="00312568" w:rsidRPr="00815C74" w:rsidTr="000515BD">
        <w:tc>
          <w:tcPr>
            <w:tcW w:w="3657" w:type="dxa"/>
          </w:tcPr>
          <w:p w:rsidR="00312568" w:rsidRPr="00815C74" w:rsidRDefault="00312568" w:rsidP="000515BD">
            <w:pPr>
              <w:pStyle w:val="Body"/>
            </w:pPr>
            <w:r>
              <w:t>Line Of Business</w:t>
            </w:r>
          </w:p>
        </w:tc>
        <w:tc>
          <w:tcPr>
            <w:tcW w:w="4335" w:type="dxa"/>
          </w:tcPr>
          <w:p w:rsidR="00312568" w:rsidRPr="00815C74" w:rsidRDefault="00312568" w:rsidP="000515BD">
            <w:pPr>
              <w:pStyle w:val="Body"/>
            </w:pPr>
            <w:r>
              <w:t>Line of Business Code</w:t>
            </w:r>
          </w:p>
        </w:tc>
      </w:tr>
      <w:tr w:rsidR="00312568" w:rsidRPr="00815C74" w:rsidTr="000515BD">
        <w:tc>
          <w:tcPr>
            <w:tcW w:w="3657" w:type="dxa"/>
          </w:tcPr>
          <w:p w:rsidR="00312568" w:rsidRPr="00815C74" w:rsidRDefault="00312568" w:rsidP="000515BD">
            <w:pPr>
              <w:pStyle w:val="Body"/>
            </w:pPr>
            <w:r>
              <w:t>Major Class Description</w:t>
            </w:r>
          </w:p>
        </w:tc>
        <w:tc>
          <w:tcPr>
            <w:tcW w:w="4335" w:type="dxa"/>
          </w:tcPr>
          <w:p w:rsidR="00312568" w:rsidRPr="00815C74" w:rsidRDefault="00312568" w:rsidP="000515BD">
            <w:pPr>
              <w:pStyle w:val="Body"/>
            </w:pPr>
            <w:r>
              <w:t>Description of the MJC Code</w:t>
            </w:r>
          </w:p>
        </w:tc>
      </w:tr>
      <w:tr w:rsidR="00312568" w:rsidRPr="00C66793" w:rsidTr="000515BD">
        <w:tc>
          <w:tcPr>
            <w:tcW w:w="3657" w:type="dxa"/>
          </w:tcPr>
          <w:p w:rsidR="00312568" w:rsidRPr="00C66793" w:rsidRDefault="00CD042D" w:rsidP="00CD042D">
            <w:pPr>
              <w:pStyle w:val="Body"/>
              <w:rPr>
                <w:highlight w:val="cyan"/>
              </w:rPr>
            </w:pPr>
            <w:r>
              <w:rPr>
                <w:highlight w:val="cyan"/>
              </w:rPr>
              <w:t>CLOSING</w:t>
            </w:r>
            <w:r w:rsidR="00312568" w:rsidRPr="00C66793">
              <w:rPr>
                <w:highlight w:val="cyan"/>
              </w:rPr>
              <w:t xml:space="preserve"> </w:t>
            </w:r>
            <w:r>
              <w:rPr>
                <w:highlight w:val="cyan"/>
              </w:rPr>
              <w:t>RATIO (INCLUDING CWP)</w:t>
            </w:r>
          </w:p>
        </w:tc>
        <w:tc>
          <w:tcPr>
            <w:tcW w:w="4335" w:type="dxa"/>
          </w:tcPr>
          <w:p w:rsidR="00312568" w:rsidRPr="00C66793" w:rsidRDefault="00312568" w:rsidP="00CD042D">
            <w:pPr>
              <w:pStyle w:val="Body"/>
              <w:rPr>
                <w:highlight w:val="cyan"/>
              </w:rPr>
            </w:pPr>
            <w:r w:rsidRPr="00C66793">
              <w:rPr>
                <w:highlight w:val="cyan"/>
              </w:rPr>
              <w:t xml:space="preserve">This should appear on the top row of the report before the actual data is presented, this isn’t an actual column of the report (please see mockup). This </w:t>
            </w:r>
            <w:r w:rsidR="00CD042D">
              <w:rPr>
                <w:highlight w:val="cyan"/>
              </w:rPr>
              <w:t>will act as a header for the below 5 data fields</w:t>
            </w:r>
            <w:r w:rsidR="000669AB">
              <w:rPr>
                <w:highlight w:val="cyan"/>
              </w:rPr>
              <w:t xml:space="preserve"> in which the closed without paid should be included in all formulas</w:t>
            </w:r>
            <w:r w:rsidR="00CD042D">
              <w:rPr>
                <w:highlight w:val="cyan"/>
              </w:rPr>
              <w:t>.</w:t>
            </w:r>
          </w:p>
        </w:tc>
      </w:tr>
      <w:tr w:rsidR="00312568" w:rsidRPr="00815C74" w:rsidTr="000515BD">
        <w:tc>
          <w:tcPr>
            <w:tcW w:w="3657" w:type="dxa"/>
          </w:tcPr>
          <w:p w:rsidR="00312568" w:rsidRPr="00815C74" w:rsidRDefault="00312568" w:rsidP="000515BD">
            <w:pPr>
              <w:pStyle w:val="Body"/>
            </w:pPr>
            <w:r>
              <w:t>Year to Date</w:t>
            </w:r>
            <w:r w:rsidR="000669AB">
              <w:t xml:space="preserve"> (Includes CWP)</w:t>
            </w:r>
          </w:p>
        </w:tc>
        <w:tc>
          <w:tcPr>
            <w:tcW w:w="4335" w:type="dxa"/>
          </w:tcPr>
          <w:p w:rsidR="00312568" w:rsidRPr="00815C74" w:rsidRDefault="00CD042D" w:rsidP="00CD042D">
            <w:pPr>
              <w:pStyle w:val="Body"/>
            </w:pPr>
            <w:r>
              <w:t>The above yellow highlighted formula should be adjusted to take into account only claims that have been closed with a last close date from January to current valuation div</w:t>
            </w:r>
            <w:r w:rsidR="00236E64">
              <w:t>i</w:t>
            </w:r>
            <w:r>
              <w:t>ded by the sum of claims that have a loss reported date from January of current year to current valuation + the amount of claims that have been reopened and still remain open from January on as of the current valuation</w:t>
            </w:r>
          </w:p>
        </w:tc>
      </w:tr>
      <w:tr w:rsidR="00312568" w:rsidTr="000515BD">
        <w:tc>
          <w:tcPr>
            <w:tcW w:w="3657" w:type="dxa"/>
          </w:tcPr>
          <w:p w:rsidR="00312568" w:rsidRPr="00815C74" w:rsidRDefault="00312568" w:rsidP="000515BD">
            <w:pPr>
              <w:pStyle w:val="Body"/>
            </w:pPr>
            <w:r>
              <w:t>Prior Year to Date</w:t>
            </w:r>
            <w:r w:rsidR="000669AB">
              <w:t xml:space="preserve"> (Includes CWP)</w:t>
            </w:r>
          </w:p>
        </w:tc>
        <w:tc>
          <w:tcPr>
            <w:tcW w:w="4335" w:type="dxa"/>
          </w:tcPr>
          <w:p w:rsidR="00312568" w:rsidRDefault="00CD042D" w:rsidP="000515BD">
            <w:pPr>
              <w:pStyle w:val="Body"/>
            </w:pPr>
            <w:r>
              <w:t>This data field is to use the same logic as above, just for the previous year timeframe</w:t>
            </w:r>
          </w:p>
        </w:tc>
      </w:tr>
      <w:tr w:rsidR="00312568" w:rsidTr="000515BD">
        <w:tc>
          <w:tcPr>
            <w:tcW w:w="3657" w:type="dxa"/>
          </w:tcPr>
          <w:p w:rsidR="00312568" w:rsidRPr="00815C74" w:rsidRDefault="00312568" w:rsidP="000515BD">
            <w:pPr>
              <w:pStyle w:val="Body"/>
            </w:pPr>
            <w:r>
              <w:t>Year to Date Change</w:t>
            </w:r>
            <w:r w:rsidR="000669AB">
              <w:t xml:space="preserve"> (Includes CWP)</w:t>
            </w:r>
          </w:p>
        </w:tc>
        <w:tc>
          <w:tcPr>
            <w:tcW w:w="4335" w:type="dxa"/>
          </w:tcPr>
          <w:p w:rsidR="00312568" w:rsidRDefault="00312568" w:rsidP="000515BD">
            <w:pPr>
              <w:pStyle w:val="Body"/>
            </w:pPr>
            <w:r>
              <w:t>(Year to Date – Prior Year to Date)</w:t>
            </w:r>
          </w:p>
        </w:tc>
      </w:tr>
      <w:tr w:rsidR="00312568" w:rsidTr="000515BD">
        <w:tc>
          <w:tcPr>
            <w:tcW w:w="3657" w:type="dxa"/>
          </w:tcPr>
          <w:p w:rsidR="00312568" w:rsidRDefault="00312568" w:rsidP="000515BD">
            <w:pPr>
              <w:pStyle w:val="Body"/>
            </w:pPr>
            <w:r>
              <w:t>Current Month</w:t>
            </w:r>
            <w:r w:rsidR="000669AB">
              <w:t xml:space="preserve"> (Includes CWP)</w:t>
            </w:r>
          </w:p>
        </w:tc>
        <w:tc>
          <w:tcPr>
            <w:tcW w:w="4335" w:type="dxa"/>
          </w:tcPr>
          <w:p w:rsidR="00312568" w:rsidRDefault="00236E64" w:rsidP="000515BD">
            <w:pPr>
              <w:pStyle w:val="Body"/>
            </w:pPr>
            <w:r>
              <w:t>Adjust the yellow highlighted formula to account for only claims that have been closed in the specific current month valuation and divide that by the total number of reopened claims in this month plus the new claims for the month</w:t>
            </w:r>
          </w:p>
        </w:tc>
      </w:tr>
      <w:tr w:rsidR="00236E64" w:rsidTr="000515BD">
        <w:tc>
          <w:tcPr>
            <w:tcW w:w="3657" w:type="dxa"/>
          </w:tcPr>
          <w:p w:rsidR="00236E64" w:rsidRDefault="00236E64" w:rsidP="000515BD">
            <w:pPr>
              <w:pStyle w:val="Body"/>
            </w:pPr>
            <w:r>
              <w:t>Prior Year Current Month</w:t>
            </w:r>
            <w:r w:rsidR="000669AB">
              <w:t xml:space="preserve"> (Includes CWP)</w:t>
            </w:r>
          </w:p>
        </w:tc>
        <w:tc>
          <w:tcPr>
            <w:tcW w:w="4335" w:type="dxa"/>
          </w:tcPr>
          <w:p w:rsidR="00236E64" w:rsidRDefault="00236E64" w:rsidP="000515BD">
            <w:pPr>
              <w:pStyle w:val="Body"/>
            </w:pPr>
            <w:r>
              <w:t>This data fields is to use the same logic as above, just for the previous year timeframe</w:t>
            </w:r>
          </w:p>
        </w:tc>
      </w:tr>
      <w:tr w:rsidR="000669AB" w:rsidTr="000515BD">
        <w:tc>
          <w:tcPr>
            <w:tcW w:w="3657" w:type="dxa"/>
          </w:tcPr>
          <w:p w:rsidR="000669AB" w:rsidRPr="00C66793" w:rsidRDefault="000669AB" w:rsidP="000669AB">
            <w:pPr>
              <w:pStyle w:val="Body"/>
              <w:rPr>
                <w:highlight w:val="cyan"/>
              </w:rPr>
            </w:pPr>
            <w:r>
              <w:rPr>
                <w:highlight w:val="cyan"/>
              </w:rPr>
              <w:t>CLOSING</w:t>
            </w:r>
            <w:r w:rsidRPr="00C66793">
              <w:rPr>
                <w:highlight w:val="cyan"/>
              </w:rPr>
              <w:t xml:space="preserve"> </w:t>
            </w:r>
            <w:r>
              <w:rPr>
                <w:highlight w:val="cyan"/>
              </w:rPr>
              <w:t xml:space="preserve">RATIO (EXCLUDES </w:t>
            </w:r>
            <w:r>
              <w:rPr>
                <w:highlight w:val="cyan"/>
              </w:rPr>
              <w:lastRenderedPageBreak/>
              <w:t>CWP)</w:t>
            </w:r>
          </w:p>
        </w:tc>
        <w:tc>
          <w:tcPr>
            <w:tcW w:w="4335" w:type="dxa"/>
          </w:tcPr>
          <w:p w:rsidR="000669AB" w:rsidRPr="00C66793" w:rsidRDefault="000669AB" w:rsidP="000515BD">
            <w:pPr>
              <w:pStyle w:val="Body"/>
              <w:rPr>
                <w:highlight w:val="cyan"/>
              </w:rPr>
            </w:pPr>
            <w:r w:rsidRPr="00C66793">
              <w:rPr>
                <w:highlight w:val="cyan"/>
              </w:rPr>
              <w:lastRenderedPageBreak/>
              <w:t xml:space="preserve">This should appear on the top row of the </w:t>
            </w:r>
            <w:r w:rsidRPr="00C66793">
              <w:rPr>
                <w:highlight w:val="cyan"/>
              </w:rPr>
              <w:lastRenderedPageBreak/>
              <w:t xml:space="preserve">report before the actual data is presented, this isn’t an actual column of the report (please see mockup). This </w:t>
            </w:r>
            <w:r>
              <w:rPr>
                <w:highlight w:val="cyan"/>
              </w:rPr>
              <w:t>will act as a header for the below 5 data fields in which closed without paids should NOT be excluded in all formulas.</w:t>
            </w:r>
          </w:p>
        </w:tc>
      </w:tr>
      <w:tr w:rsidR="000669AB" w:rsidTr="000515BD">
        <w:tc>
          <w:tcPr>
            <w:tcW w:w="3657" w:type="dxa"/>
          </w:tcPr>
          <w:p w:rsidR="000669AB" w:rsidRPr="00815C74" w:rsidRDefault="000669AB" w:rsidP="000515BD">
            <w:pPr>
              <w:pStyle w:val="Body"/>
            </w:pPr>
            <w:r>
              <w:lastRenderedPageBreak/>
              <w:t>Year to Date (Excludes CWP)</w:t>
            </w:r>
          </w:p>
        </w:tc>
        <w:tc>
          <w:tcPr>
            <w:tcW w:w="4335" w:type="dxa"/>
          </w:tcPr>
          <w:p w:rsidR="000669AB" w:rsidRPr="00815C74" w:rsidRDefault="000669AB" w:rsidP="000515BD">
            <w:pPr>
              <w:pStyle w:val="Body"/>
            </w:pPr>
            <w:r>
              <w:t>The above yellow highlighted formula should be adjusted to take into account only claims that have been closed with a last close date from January to current valuation divided by the sum of claims that have a loss reported date from January of current year to current valuation + the amount of claims that have been reopened and still remain open from January on as of the current valuation</w:t>
            </w:r>
          </w:p>
        </w:tc>
      </w:tr>
      <w:tr w:rsidR="000669AB" w:rsidTr="000515BD">
        <w:tc>
          <w:tcPr>
            <w:tcW w:w="3657" w:type="dxa"/>
          </w:tcPr>
          <w:p w:rsidR="000669AB" w:rsidRPr="00815C74" w:rsidRDefault="000669AB" w:rsidP="000515BD">
            <w:pPr>
              <w:pStyle w:val="Body"/>
            </w:pPr>
            <w:r>
              <w:t>Prior Year to Date (Excludes CWP)</w:t>
            </w:r>
          </w:p>
        </w:tc>
        <w:tc>
          <w:tcPr>
            <w:tcW w:w="4335" w:type="dxa"/>
          </w:tcPr>
          <w:p w:rsidR="000669AB" w:rsidRDefault="000669AB" w:rsidP="000515BD">
            <w:pPr>
              <w:pStyle w:val="Body"/>
            </w:pPr>
            <w:r>
              <w:t>This data field is to use the same logic as above, just for the previous year timeframe</w:t>
            </w:r>
          </w:p>
        </w:tc>
      </w:tr>
      <w:tr w:rsidR="000669AB" w:rsidTr="000515BD">
        <w:tc>
          <w:tcPr>
            <w:tcW w:w="3657" w:type="dxa"/>
          </w:tcPr>
          <w:p w:rsidR="000669AB" w:rsidRPr="00815C74" w:rsidRDefault="000669AB" w:rsidP="000515BD">
            <w:pPr>
              <w:pStyle w:val="Body"/>
            </w:pPr>
            <w:r>
              <w:t>Year to Date Change (Excludes CWP)</w:t>
            </w:r>
          </w:p>
        </w:tc>
        <w:tc>
          <w:tcPr>
            <w:tcW w:w="4335" w:type="dxa"/>
          </w:tcPr>
          <w:p w:rsidR="000669AB" w:rsidRDefault="000669AB" w:rsidP="000515BD">
            <w:pPr>
              <w:pStyle w:val="Body"/>
            </w:pPr>
            <w:r>
              <w:t>(Year to Date – Prior Year to Date)</w:t>
            </w:r>
          </w:p>
        </w:tc>
      </w:tr>
      <w:tr w:rsidR="000669AB" w:rsidTr="000515BD">
        <w:tc>
          <w:tcPr>
            <w:tcW w:w="3657" w:type="dxa"/>
          </w:tcPr>
          <w:p w:rsidR="000669AB" w:rsidRDefault="000669AB" w:rsidP="000515BD">
            <w:pPr>
              <w:pStyle w:val="Body"/>
            </w:pPr>
            <w:r>
              <w:t>Current Month (Excludes CWP)</w:t>
            </w:r>
          </w:p>
        </w:tc>
        <w:tc>
          <w:tcPr>
            <w:tcW w:w="4335" w:type="dxa"/>
          </w:tcPr>
          <w:p w:rsidR="000669AB" w:rsidRDefault="000669AB" w:rsidP="000515BD">
            <w:pPr>
              <w:pStyle w:val="Body"/>
            </w:pPr>
            <w:r>
              <w:t>Adjust the yellow highlighted formula to account for only claims that have been closed in the specific current month valuation and divide that by the total number of reopened claims in this month plus the new claims for the month</w:t>
            </w:r>
          </w:p>
        </w:tc>
      </w:tr>
      <w:tr w:rsidR="000669AB" w:rsidTr="000515BD">
        <w:tc>
          <w:tcPr>
            <w:tcW w:w="3657" w:type="dxa"/>
          </w:tcPr>
          <w:p w:rsidR="000669AB" w:rsidRDefault="000669AB" w:rsidP="000515BD">
            <w:pPr>
              <w:pStyle w:val="Body"/>
            </w:pPr>
            <w:r>
              <w:t>Prior Year Current Month (Excludes CWP)</w:t>
            </w:r>
          </w:p>
        </w:tc>
        <w:tc>
          <w:tcPr>
            <w:tcW w:w="4335" w:type="dxa"/>
          </w:tcPr>
          <w:p w:rsidR="000669AB" w:rsidRDefault="000669AB" w:rsidP="000515BD">
            <w:pPr>
              <w:pStyle w:val="Body"/>
            </w:pPr>
            <w:r>
              <w:t>This data fields is to use the same logic as above, just for the previous year timeframe</w:t>
            </w:r>
          </w:p>
        </w:tc>
      </w:tr>
      <w:tr w:rsidR="000515BD" w:rsidTr="000515BD">
        <w:tc>
          <w:tcPr>
            <w:tcW w:w="3657" w:type="dxa"/>
          </w:tcPr>
          <w:p w:rsidR="000515BD" w:rsidRPr="00C66793" w:rsidRDefault="000515BD" w:rsidP="000515BD">
            <w:pPr>
              <w:pStyle w:val="Body"/>
              <w:rPr>
                <w:highlight w:val="cyan"/>
              </w:rPr>
            </w:pPr>
            <w:r>
              <w:rPr>
                <w:highlight w:val="cyan"/>
              </w:rPr>
              <w:t>CLOSING</w:t>
            </w:r>
            <w:r w:rsidRPr="00C66793">
              <w:rPr>
                <w:highlight w:val="cyan"/>
              </w:rPr>
              <w:t xml:space="preserve"> </w:t>
            </w:r>
            <w:r>
              <w:rPr>
                <w:highlight w:val="cyan"/>
              </w:rPr>
              <w:t>RATIO (ONLY CWP)</w:t>
            </w:r>
          </w:p>
        </w:tc>
        <w:tc>
          <w:tcPr>
            <w:tcW w:w="4335" w:type="dxa"/>
          </w:tcPr>
          <w:p w:rsidR="000515BD" w:rsidRPr="00C66793" w:rsidRDefault="000515BD" w:rsidP="000515BD">
            <w:pPr>
              <w:pStyle w:val="Body"/>
              <w:rPr>
                <w:highlight w:val="cyan"/>
              </w:rPr>
            </w:pPr>
            <w:r w:rsidRPr="00C66793">
              <w:rPr>
                <w:highlight w:val="cyan"/>
              </w:rPr>
              <w:t xml:space="preserve">This should appear on the top row of the report before the actual data is presented, this isn’t an actual column of the report (please see mockup). This </w:t>
            </w:r>
            <w:r>
              <w:rPr>
                <w:highlight w:val="cyan"/>
              </w:rPr>
              <w:t>will act as a header for the below 5 data fields in which ONLY closed without paids are included in all formulas.</w:t>
            </w:r>
          </w:p>
        </w:tc>
      </w:tr>
      <w:tr w:rsidR="000515BD" w:rsidTr="000515BD">
        <w:tc>
          <w:tcPr>
            <w:tcW w:w="3657" w:type="dxa"/>
          </w:tcPr>
          <w:p w:rsidR="000515BD" w:rsidRPr="00815C74" w:rsidRDefault="000515BD" w:rsidP="000515BD">
            <w:pPr>
              <w:pStyle w:val="Body"/>
            </w:pPr>
            <w:r>
              <w:t>Year to Date (Only CWP)</w:t>
            </w:r>
          </w:p>
        </w:tc>
        <w:tc>
          <w:tcPr>
            <w:tcW w:w="4335" w:type="dxa"/>
          </w:tcPr>
          <w:p w:rsidR="000515BD" w:rsidRPr="00815C74" w:rsidRDefault="000515BD" w:rsidP="000515BD">
            <w:pPr>
              <w:pStyle w:val="Body"/>
            </w:pPr>
            <w:r>
              <w:t>The above yellow highlighted formula should be adjusted to take into account only claims that have been closed with a last close date from January to current valuation divided by the sum of claims that have a loss reported date from January of current year to current valuation + the amount of claims that have been reopened and still remain open from January on as of the current valuation</w:t>
            </w:r>
          </w:p>
        </w:tc>
      </w:tr>
      <w:tr w:rsidR="000515BD" w:rsidTr="000515BD">
        <w:tc>
          <w:tcPr>
            <w:tcW w:w="3657" w:type="dxa"/>
          </w:tcPr>
          <w:p w:rsidR="000515BD" w:rsidRPr="00815C74" w:rsidRDefault="000515BD" w:rsidP="000515BD">
            <w:pPr>
              <w:pStyle w:val="Body"/>
            </w:pPr>
            <w:r>
              <w:t>Prior Year to Date (Only CWP)</w:t>
            </w:r>
          </w:p>
        </w:tc>
        <w:tc>
          <w:tcPr>
            <w:tcW w:w="4335" w:type="dxa"/>
          </w:tcPr>
          <w:p w:rsidR="000515BD" w:rsidRDefault="000515BD" w:rsidP="000515BD">
            <w:pPr>
              <w:pStyle w:val="Body"/>
            </w:pPr>
            <w:r>
              <w:t>This data field is to use the same logic as above, just for the previous year timeframe</w:t>
            </w:r>
          </w:p>
        </w:tc>
      </w:tr>
      <w:tr w:rsidR="000515BD" w:rsidTr="000515BD">
        <w:tc>
          <w:tcPr>
            <w:tcW w:w="3657" w:type="dxa"/>
          </w:tcPr>
          <w:p w:rsidR="000515BD" w:rsidRPr="00815C74" w:rsidRDefault="000515BD" w:rsidP="000515BD">
            <w:pPr>
              <w:pStyle w:val="Body"/>
            </w:pPr>
            <w:r>
              <w:t>Year to Date Change (Only CWP)</w:t>
            </w:r>
          </w:p>
        </w:tc>
        <w:tc>
          <w:tcPr>
            <w:tcW w:w="4335" w:type="dxa"/>
          </w:tcPr>
          <w:p w:rsidR="000515BD" w:rsidRDefault="000515BD" w:rsidP="000515BD">
            <w:pPr>
              <w:pStyle w:val="Body"/>
            </w:pPr>
            <w:r>
              <w:t>(Year to Date – Prior Year to Date)</w:t>
            </w:r>
          </w:p>
        </w:tc>
      </w:tr>
      <w:tr w:rsidR="000515BD" w:rsidTr="000515BD">
        <w:tc>
          <w:tcPr>
            <w:tcW w:w="3657" w:type="dxa"/>
          </w:tcPr>
          <w:p w:rsidR="000515BD" w:rsidRDefault="000515BD" w:rsidP="000515BD">
            <w:pPr>
              <w:pStyle w:val="Body"/>
            </w:pPr>
            <w:r>
              <w:lastRenderedPageBreak/>
              <w:t>Current Month (Only CWP)</w:t>
            </w:r>
          </w:p>
        </w:tc>
        <w:tc>
          <w:tcPr>
            <w:tcW w:w="4335" w:type="dxa"/>
          </w:tcPr>
          <w:p w:rsidR="000515BD" w:rsidRDefault="000515BD" w:rsidP="000515BD">
            <w:pPr>
              <w:pStyle w:val="Body"/>
            </w:pPr>
            <w:r>
              <w:t>Adjust the yellow highlighted formula to account for only claims that have been closed in the specific current month valuation and divide that by the total number of reopened claims in this month plus the new claims for the month</w:t>
            </w:r>
          </w:p>
        </w:tc>
      </w:tr>
      <w:tr w:rsidR="000515BD" w:rsidTr="000515BD">
        <w:tc>
          <w:tcPr>
            <w:tcW w:w="3657" w:type="dxa"/>
          </w:tcPr>
          <w:p w:rsidR="000515BD" w:rsidRDefault="000515BD" w:rsidP="000515BD">
            <w:pPr>
              <w:pStyle w:val="Body"/>
            </w:pPr>
            <w:r>
              <w:t>Prior Year Current Month (Only CWP)</w:t>
            </w:r>
          </w:p>
        </w:tc>
        <w:tc>
          <w:tcPr>
            <w:tcW w:w="4335" w:type="dxa"/>
          </w:tcPr>
          <w:p w:rsidR="000515BD" w:rsidRDefault="000515BD" w:rsidP="000515BD">
            <w:pPr>
              <w:pStyle w:val="Body"/>
            </w:pPr>
            <w:r>
              <w:t>This data fields is to use the same logic as above, just for the previous year timeframe</w:t>
            </w:r>
          </w:p>
        </w:tc>
      </w:tr>
      <w:tr w:rsidR="00AA37F9" w:rsidTr="000515BD">
        <w:tc>
          <w:tcPr>
            <w:tcW w:w="3657" w:type="dxa"/>
          </w:tcPr>
          <w:p w:rsidR="00AA37F9" w:rsidRDefault="00AA37F9" w:rsidP="000515BD">
            <w:pPr>
              <w:pStyle w:val="Body"/>
            </w:pPr>
            <w:r>
              <w:t>Grand Total</w:t>
            </w:r>
          </w:p>
        </w:tc>
        <w:tc>
          <w:tcPr>
            <w:tcW w:w="4335" w:type="dxa"/>
          </w:tcPr>
          <w:p w:rsidR="00AA37F9" w:rsidRDefault="00F1133C" w:rsidP="0087539D">
            <w:pPr>
              <w:pStyle w:val="Body"/>
            </w:pPr>
            <w:r>
              <w:t xml:space="preserve">Rather than a summary of adding up each of the above fields like in other Grand Total’s this field needs to be calculated </w:t>
            </w:r>
            <w:r w:rsidR="0087539D">
              <w:t>at the</w:t>
            </w:r>
            <w:r>
              <w:t xml:space="preserve"> TPA/LOB/MJC</w:t>
            </w:r>
            <w:r w:rsidR="0087539D">
              <w:t xml:space="preserve"> level as one calculation per the logic detailed above.</w:t>
            </w:r>
          </w:p>
        </w:tc>
      </w:tr>
    </w:tbl>
    <w:p w:rsidR="00312568" w:rsidRDefault="00312568" w:rsidP="000515BD"/>
    <w:p w:rsidR="000515BD" w:rsidRDefault="000515BD" w:rsidP="000515BD"/>
    <w:p w:rsidR="000515BD" w:rsidRPr="000515BD" w:rsidRDefault="000515BD" w:rsidP="005B2E8D">
      <w:pPr>
        <w:pStyle w:val="ListParagraph"/>
        <w:numPr>
          <w:ilvl w:val="0"/>
          <w:numId w:val="10"/>
        </w:numPr>
        <w:rPr>
          <w:b/>
        </w:rPr>
      </w:pPr>
      <w:r w:rsidRPr="000515BD">
        <w:rPr>
          <w:b/>
        </w:rPr>
        <w:t>Closed Duration_5</w:t>
      </w:r>
    </w:p>
    <w:p w:rsidR="000515BD" w:rsidRDefault="000515BD" w:rsidP="005B2E8D">
      <w:pPr>
        <w:pStyle w:val="ListParagraph"/>
        <w:numPr>
          <w:ilvl w:val="0"/>
          <w:numId w:val="10"/>
        </w:numPr>
      </w:pPr>
      <w:r>
        <w:t xml:space="preserve">Logic – This report is to show the average duration for a claim. The formula is as follows: </w:t>
      </w:r>
      <w:r w:rsidR="00FD75AF" w:rsidRPr="00FD75AF">
        <w:rPr>
          <w:highlight w:val="green"/>
        </w:rPr>
        <w:t>(</w:t>
      </w:r>
      <w:r w:rsidRPr="00FD75AF">
        <w:rPr>
          <w:highlight w:val="green"/>
        </w:rPr>
        <w:t>(</w:t>
      </w:r>
      <w:r w:rsidR="00FD75AF" w:rsidRPr="00FD75AF">
        <w:rPr>
          <w:highlight w:val="green"/>
        </w:rPr>
        <w:t>last closed date – create date)</w:t>
      </w:r>
      <w:r w:rsidRPr="00FD75AF">
        <w:rPr>
          <w:highlight w:val="green"/>
        </w:rPr>
        <w:t>/ symbol count)</w:t>
      </w:r>
    </w:p>
    <w:tbl>
      <w:tblPr>
        <w:tblW w:w="0" w:type="auto"/>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57"/>
        <w:gridCol w:w="4335"/>
      </w:tblGrid>
      <w:tr w:rsidR="00FD75AF" w:rsidRPr="009624BC" w:rsidTr="00E14860">
        <w:tc>
          <w:tcPr>
            <w:tcW w:w="3657" w:type="dxa"/>
            <w:shd w:val="pct50" w:color="auto" w:fill="auto"/>
            <w:vAlign w:val="center"/>
          </w:tcPr>
          <w:p w:rsidR="00FD75AF" w:rsidRPr="009624BC" w:rsidRDefault="00FD75AF" w:rsidP="00E14860">
            <w:pPr>
              <w:pStyle w:val="Body"/>
              <w:jc w:val="center"/>
              <w:rPr>
                <w:b/>
                <w:color w:val="FFFFFF"/>
              </w:rPr>
            </w:pPr>
            <w:r w:rsidRPr="009624BC">
              <w:rPr>
                <w:b/>
                <w:color w:val="FFFFFF"/>
              </w:rPr>
              <w:t>Data_Field</w:t>
            </w:r>
          </w:p>
        </w:tc>
        <w:tc>
          <w:tcPr>
            <w:tcW w:w="4335" w:type="dxa"/>
            <w:shd w:val="pct50" w:color="auto" w:fill="auto"/>
            <w:vAlign w:val="center"/>
          </w:tcPr>
          <w:p w:rsidR="00FD75AF" w:rsidRPr="009624BC" w:rsidRDefault="00FD75AF" w:rsidP="00E14860">
            <w:pPr>
              <w:pStyle w:val="Body"/>
              <w:jc w:val="center"/>
              <w:rPr>
                <w:b/>
                <w:color w:val="FFFFFF"/>
              </w:rPr>
            </w:pPr>
            <w:r w:rsidRPr="009624BC">
              <w:rPr>
                <w:b/>
                <w:color w:val="FFFFFF"/>
              </w:rPr>
              <w:t>Description</w:t>
            </w:r>
          </w:p>
        </w:tc>
      </w:tr>
      <w:tr w:rsidR="00FD75AF" w:rsidTr="00E14860">
        <w:tc>
          <w:tcPr>
            <w:tcW w:w="3657" w:type="dxa"/>
          </w:tcPr>
          <w:p w:rsidR="00FD75AF" w:rsidRDefault="00FD75AF" w:rsidP="00E14860">
            <w:pPr>
              <w:pStyle w:val="Body"/>
            </w:pPr>
            <w:r>
              <w:t>TPA Name</w:t>
            </w:r>
          </w:p>
        </w:tc>
        <w:tc>
          <w:tcPr>
            <w:tcW w:w="4335" w:type="dxa"/>
          </w:tcPr>
          <w:p w:rsidR="00FD75AF" w:rsidRDefault="00FD75AF" w:rsidP="00E14860">
            <w:pPr>
              <w:pStyle w:val="Body"/>
            </w:pPr>
            <w:r>
              <w:t>Name of TPA</w:t>
            </w:r>
          </w:p>
        </w:tc>
      </w:tr>
      <w:tr w:rsidR="00FD75AF" w:rsidRPr="00815C74" w:rsidTr="00E14860">
        <w:tc>
          <w:tcPr>
            <w:tcW w:w="3657" w:type="dxa"/>
          </w:tcPr>
          <w:p w:rsidR="00FD75AF" w:rsidRPr="00815C74" w:rsidRDefault="00FD75AF" w:rsidP="00E14860">
            <w:pPr>
              <w:pStyle w:val="Body"/>
            </w:pPr>
            <w:r>
              <w:t>Line Of Business</w:t>
            </w:r>
          </w:p>
        </w:tc>
        <w:tc>
          <w:tcPr>
            <w:tcW w:w="4335" w:type="dxa"/>
          </w:tcPr>
          <w:p w:rsidR="00FD75AF" w:rsidRPr="00815C74" w:rsidRDefault="00FD75AF" w:rsidP="00E14860">
            <w:pPr>
              <w:pStyle w:val="Body"/>
            </w:pPr>
            <w:r>
              <w:t>Line of Business Code</w:t>
            </w:r>
          </w:p>
        </w:tc>
      </w:tr>
      <w:tr w:rsidR="00FD75AF" w:rsidRPr="00815C74" w:rsidTr="00E14860">
        <w:tc>
          <w:tcPr>
            <w:tcW w:w="3657" w:type="dxa"/>
          </w:tcPr>
          <w:p w:rsidR="00FD75AF" w:rsidRPr="00815C74" w:rsidRDefault="00FD75AF" w:rsidP="00E14860">
            <w:pPr>
              <w:pStyle w:val="Body"/>
            </w:pPr>
            <w:r>
              <w:t>Major Class Description</w:t>
            </w:r>
          </w:p>
        </w:tc>
        <w:tc>
          <w:tcPr>
            <w:tcW w:w="4335" w:type="dxa"/>
          </w:tcPr>
          <w:p w:rsidR="00FD75AF" w:rsidRPr="00815C74" w:rsidRDefault="00FD75AF" w:rsidP="00E14860">
            <w:pPr>
              <w:pStyle w:val="Body"/>
            </w:pPr>
            <w:r>
              <w:t>Description of the MJC Code</w:t>
            </w:r>
          </w:p>
        </w:tc>
      </w:tr>
      <w:tr w:rsidR="00FD75AF" w:rsidRPr="00C66793" w:rsidTr="00E14860">
        <w:tc>
          <w:tcPr>
            <w:tcW w:w="3657" w:type="dxa"/>
          </w:tcPr>
          <w:p w:rsidR="00FD75AF" w:rsidRPr="00C66793" w:rsidRDefault="00FD75AF" w:rsidP="00E14860">
            <w:pPr>
              <w:pStyle w:val="Body"/>
              <w:rPr>
                <w:highlight w:val="cyan"/>
              </w:rPr>
            </w:pPr>
            <w:r>
              <w:rPr>
                <w:highlight w:val="cyan"/>
              </w:rPr>
              <w:t>Closed Duration</w:t>
            </w:r>
          </w:p>
        </w:tc>
        <w:tc>
          <w:tcPr>
            <w:tcW w:w="4335" w:type="dxa"/>
          </w:tcPr>
          <w:p w:rsidR="00FD75AF" w:rsidRPr="00C66793" w:rsidRDefault="00FD75AF" w:rsidP="00FD75AF">
            <w:pPr>
              <w:pStyle w:val="Body"/>
              <w:rPr>
                <w:highlight w:val="cyan"/>
              </w:rPr>
            </w:pPr>
            <w:r w:rsidRPr="00C66793">
              <w:rPr>
                <w:highlight w:val="cyan"/>
              </w:rPr>
              <w:t xml:space="preserve">This should appear on the top row of the report before the actual data is presented, this isn’t an actual column of the report (please see mockup). This </w:t>
            </w:r>
            <w:r>
              <w:rPr>
                <w:highlight w:val="cyan"/>
              </w:rPr>
              <w:t>will act as a header for the below 5 data fields.</w:t>
            </w:r>
          </w:p>
        </w:tc>
      </w:tr>
      <w:tr w:rsidR="00FD75AF" w:rsidRPr="00815C74" w:rsidTr="00E14860">
        <w:tc>
          <w:tcPr>
            <w:tcW w:w="3657" w:type="dxa"/>
          </w:tcPr>
          <w:p w:rsidR="00FD75AF" w:rsidRPr="00815C74" w:rsidRDefault="00FD75AF" w:rsidP="00AA1A66">
            <w:pPr>
              <w:pStyle w:val="Body"/>
            </w:pPr>
            <w:r>
              <w:t xml:space="preserve">Year to Date </w:t>
            </w:r>
          </w:p>
        </w:tc>
        <w:tc>
          <w:tcPr>
            <w:tcW w:w="4335" w:type="dxa"/>
          </w:tcPr>
          <w:p w:rsidR="00FD75AF" w:rsidRPr="00815C74" w:rsidRDefault="00FD75AF" w:rsidP="004103FD">
            <w:pPr>
              <w:pStyle w:val="Body"/>
            </w:pPr>
            <w:r>
              <w:t xml:space="preserve">The above </w:t>
            </w:r>
            <w:r w:rsidR="00AA1A66">
              <w:t>green</w:t>
            </w:r>
            <w:r>
              <w:t xml:space="preserve"> highlighted formula should be adjusted to take into account only claims that have been closed with a last close date from January to current valuation</w:t>
            </w:r>
          </w:p>
        </w:tc>
      </w:tr>
      <w:tr w:rsidR="00FD75AF" w:rsidTr="00E14860">
        <w:tc>
          <w:tcPr>
            <w:tcW w:w="3657" w:type="dxa"/>
          </w:tcPr>
          <w:p w:rsidR="00FD75AF" w:rsidRPr="00815C74" w:rsidRDefault="00FD75AF" w:rsidP="00AA1A66">
            <w:pPr>
              <w:pStyle w:val="Body"/>
            </w:pPr>
            <w:r>
              <w:t xml:space="preserve">Prior Year to Date </w:t>
            </w:r>
          </w:p>
        </w:tc>
        <w:tc>
          <w:tcPr>
            <w:tcW w:w="4335" w:type="dxa"/>
          </w:tcPr>
          <w:p w:rsidR="00FD75AF" w:rsidRDefault="00FD75AF" w:rsidP="00E14860">
            <w:pPr>
              <w:pStyle w:val="Body"/>
            </w:pPr>
            <w:r>
              <w:t>This data field is to use the same logic as above, just for the previous year timeframe</w:t>
            </w:r>
          </w:p>
        </w:tc>
      </w:tr>
      <w:tr w:rsidR="00FD75AF" w:rsidTr="00E14860">
        <w:tc>
          <w:tcPr>
            <w:tcW w:w="3657" w:type="dxa"/>
          </w:tcPr>
          <w:p w:rsidR="00FD75AF" w:rsidRPr="00815C74" w:rsidRDefault="00FD75AF" w:rsidP="00AA1A66">
            <w:pPr>
              <w:pStyle w:val="Body"/>
            </w:pPr>
            <w:r>
              <w:t>Year to Date Change</w:t>
            </w:r>
          </w:p>
        </w:tc>
        <w:tc>
          <w:tcPr>
            <w:tcW w:w="4335" w:type="dxa"/>
          </w:tcPr>
          <w:p w:rsidR="00FD75AF" w:rsidRDefault="00FD75AF" w:rsidP="00E14860">
            <w:pPr>
              <w:pStyle w:val="Body"/>
            </w:pPr>
            <w:r>
              <w:t>(Year to Date – Prior Year to Date)</w:t>
            </w:r>
          </w:p>
        </w:tc>
      </w:tr>
      <w:tr w:rsidR="00FD75AF" w:rsidTr="00E14860">
        <w:tc>
          <w:tcPr>
            <w:tcW w:w="3657" w:type="dxa"/>
          </w:tcPr>
          <w:p w:rsidR="00FD75AF" w:rsidRDefault="00FD75AF" w:rsidP="00AA1A66">
            <w:pPr>
              <w:pStyle w:val="Body"/>
            </w:pPr>
            <w:r>
              <w:t>Current Month</w:t>
            </w:r>
          </w:p>
        </w:tc>
        <w:tc>
          <w:tcPr>
            <w:tcW w:w="4335" w:type="dxa"/>
          </w:tcPr>
          <w:p w:rsidR="00FD75AF" w:rsidRDefault="00FD75AF" w:rsidP="004103FD">
            <w:pPr>
              <w:pStyle w:val="Body"/>
            </w:pPr>
            <w:r>
              <w:t xml:space="preserve">Adjust the </w:t>
            </w:r>
            <w:r w:rsidR="00AA1A66">
              <w:t>green</w:t>
            </w:r>
            <w:r>
              <w:t xml:space="preserve"> highlighted formula to account for only claims that have been closed in the specific current month valuation </w:t>
            </w:r>
          </w:p>
        </w:tc>
      </w:tr>
      <w:tr w:rsidR="00FD75AF" w:rsidTr="00E14860">
        <w:tc>
          <w:tcPr>
            <w:tcW w:w="3657" w:type="dxa"/>
          </w:tcPr>
          <w:p w:rsidR="00FD75AF" w:rsidRDefault="00FD75AF" w:rsidP="00AA1A66">
            <w:pPr>
              <w:pStyle w:val="Body"/>
            </w:pPr>
            <w:r>
              <w:t>Prior Year Current Month</w:t>
            </w:r>
          </w:p>
        </w:tc>
        <w:tc>
          <w:tcPr>
            <w:tcW w:w="4335" w:type="dxa"/>
          </w:tcPr>
          <w:p w:rsidR="00FD75AF" w:rsidRDefault="00FD75AF" w:rsidP="00E14860">
            <w:pPr>
              <w:pStyle w:val="Body"/>
            </w:pPr>
            <w:r>
              <w:t>This data fields is to use the same logic as above, just for the previous year timeframe</w:t>
            </w:r>
          </w:p>
        </w:tc>
      </w:tr>
      <w:tr w:rsidR="00250881" w:rsidTr="00E14860">
        <w:tc>
          <w:tcPr>
            <w:tcW w:w="3657" w:type="dxa"/>
          </w:tcPr>
          <w:p w:rsidR="00250881" w:rsidRPr="00C66793" w:rsidRDefault="00250881" w:rsidP="00E14860">
            <w:pPr>
              <w:pStyle w:val="Body"/>
              <w:rPr>
                <w:highlight w:val="cyan"/>
              </w:rPr>
            </w:pPr>
            <w:r>
              <w:rPr>
                <w:highlight w:val="cyan"/>
              </w:rPr>
              <w:lastRenderedPageBreak/>
              <w:t>IML Closed Duration</w:t>
            </w:r>
          </w:p>
        </w:tc>
        <w:tc>
          <w:tcPr>
            <w:tcW w:w="4335" w:type="dxa"/>
          </w:tcPr>
          <w:p w:rsidR="00250881" w:rsidRPr="00C66793" w:rsidRDefault="00250881" w:rsidP="00E14860">
            <w:pPr>
              <w:pStyle w:val="Body"/>
              <w:rPr>
                <w:highlight w:val="cyan"/>
              </w:rPr>
            </w:pPr>
            <w:r w:rsidRPr="00C66793">
              <w:rPr>
                <w:highlight w:val="cyan"/>
              </w:rPr>
              <w:t xml:space="preserve">This should appear on the top row of the report before the actual data is presented, this isn’t an actual column of the report (please see mockup). This </w:t>
            </w:r>
            <w:r>
              <w:rPr>
                <w:highlight w:val="cyan"/>
              </w:rPr>
              <w:t>will act as a header for the below 5 data fields and only include those claims that have an  indemnity, medical, or expense payment.</w:t>
            </w:r>
          </w:p>
        </w:tc>
      </w:tr>
      <w:tr w:rsidR="00250881" w:rsidTr="00E14860">
        <w:tc>
          <w:tcPr>
            <w:tcW w:w="3657" w:type="dxa"/>
          </w:tcPr>
          <w:p w:rsidR="00250881" w:rsidRPr="00815C74" w:rsidRDefault="00250881" w:rsidP="00E14860">
            <w:pPr>
              <w:pStyle w:val="Body"/>
            </w:pPr>
            <w:r>
              <w:t xml:space="preserve">Year to Date </w:t>
            </w:r>
          </w:p>
        </w:tc>
        <w:tc>
          <w:tcPr>
            <w:tcW w:w="4335" w:type="dxa"/>
          </w:tcPr>
          <w:p w:rsidR="00250881" w:rsidRPr="00815C74" w:rsidRDefault="00250881" w:rsidP="00E14860">
            <w:pPr>
              <w:pStyle w:val="Body"/>
            </w:pPr>
            <w:r>
              <w:t>The above green highlighted formula should be adjusted to take into account only claims that have been closed with a last close date from January to current valuation</w:t>
            </w:r>
          </w:p>
        </w:tc>
      </w:tr>
      <w:tr w:rsidR="00250881" w:rsidTr="00E14860">
        <w:tc>
          <w:tcPr>
            <w:tcW w:w="3657" w:type="dxa"/>
          </w:tcPr>
          <w:p w:rsidR="00250881" w:rsidRPr="00815C74" w:rsidRDefault="00250881" w:rsidP="00E14860">
            <w:pPr>
              <w:pStyle w:val="Body"/>
            </w:pPr>
            <w:r>
              <w:t xml:space="preserve">Prior Year to Date </w:t>
            </w:r>
          </w:p>
        </w:tc>
        <w:tc>
          <w:tcPr>
            <w:tcW w:w="4335" w:type="dxa"/>
          </w:tcPr>
          <w:p w:rsidR="00250881" w:rsidRDefault="00250881" w:rsidP="00E14860">
            <w:pPr>
              <w:pStyle w:val="Body"/>
            </w:pPr>
            <w:r>
              <w:t>This data field is to use the same logic as above, just for the previous year timeframe</w:t>
            </w:r>
          </w:p>
        </w:tc>
      </w:tr>
      <w:tr w:rsidR="00250881" w:rsidTr="00E14860">
        <w:tc>
          <w:tcPr>
            <w:tcW w:w="3657" w:type="dxa"/>
          </w:tcPr>
          <w:p w:rsidR="00250881" w:rsidRPr="00815C74" w:rsidRDefault="00250881" w:rsidP="00E14860">
            <w:pPr>
              <w:pStyle w:val="Body"/>
            </w:pPr>
            <w:r>
              <w:t>Year to Date Change</w:t>
            </w:r>
          </w:p>
        </w:tc>
        <w:tc>
          <w:tcPr>
            <w:tcW w:w="4335" w:type="dxa"/>
          </w:tcPr>
          <w:p w:rsidR="00250881" w:rsidRDefault="00250881" w:rsidP="00E14860">
            <w:pPr>
              <w:pStyle w:val="Body"/>
            </w:pPr>
            <w:r>
              <w:t>(Year to Date – Prior Year to Date)</w:t>
            </w:r>
          </w:p>
        </w:tc>
      </w:tr>
      <w:tr w:rsidR="00250881" w:rsidTr="00E14860">
        <w:tc>
          <w:tcPr>
            <w:tcW w:w="3657" w:type="dxa"/>
          </w:tcPr>
          <w:p w:rsidR="00250881" w:rsidRDefault="00250881" w:rsidP="00E14860">
            <w:pPr>
              <w:pStyle w:val="Body"/>
            </w:pPr>
            <w:r>
              <w:t>Current Month</w:t>
            </w:r>
          </w:p>
        </w:tc>
        <w:tc>
          <w:tcPr>
            <w:tcW w:w="4335" w:type="dxa"/>
          </w:tcPr>
          <w:p w:rsidR="00250881" w:rsidRDefault="00250881" w:rsidP="00E14860">
            <w:pPr>
              <w:pStyle w:val="Body"/>
            </w:pPr>
            <w:r>
              <w:t xml:space="preserve">Adjust the green highlighted formula to account for only claims that have been closed in the specific current month valuation </w:t>
            </w:r>
          </w:p>
        </w:tc>
      </w:tr>
      <w:tr w:rsidR="00250881" w:rsidTr="00E14860">
        <w:tc>
          <w:tcPr>
            <w:tcW w:w="3657" w:type="dxa"/>
          </w:tcPr>
          <w:p w:rsidR="00250881" w:rsidRDefault="00250881" w:rsidP="00E14860">
            <w:pPr>
              <w:pStyle w:val="Body"/>
            </w:pPr>
            <w:r>
              <w:t>Prior Year Current Month</w:t>
            </w:r>
          </w:p>
        </w:tc>
        <w:tc>
          <w:tcPr>
            <w:tcW w:w="4335" w:type="dxa"/>
          </w:tcPr>
          <w:p w:rsidR="00250881" w:rsidRDefault="00250881" w:rsidP="00E14860">
            <w:pPr>
              <w:pStyle w:val="Body"/>
            </w:pPr>
            <w:r>
              <w:t>This data fields is to use the same logic as above, just for the previous year timeframe</w:t>
            </w:r>
          </w:p>
        </w:tc>
      </w:tr>
      <w:tr w:rsidR="00250881" w:rsidTr="00E14860">
        <w:tc>
          <w:tcPr>
            <w:tcW w:w="3657" w:type="dxa"/>
          </w:tcPr>
          <w:p w:rsidR="00250881" w:rsidRPr="00C66793" w:rsidRDefault="00250881" w:rsidP="00E14860">
            <w:pPr>
              <w:pStyle w:val="Body"/>
              <w:rPr>
                <w:highlight w:val="cyan"/>
              </w:rPr>
            </w:pPr>
            <w:r>
              <w:rPr>
                <w:highlight w:val="cyan"/>
              </w:rPr>
              <w:t>CWP Closed Duration</w:t>
            </w:r>
          </w:p>
        </w:tc>
        <w:tc>
          <w:tcPr>
            <w:tcW w:w="4335" w:type="dxa"/>
          </w:tcPr>
          <w:p w:rsidR="00250881" w:rsidRPr="00C66793" w:rsidRDefault="00250881" w:rsidP="00250881">
            <w:pPr>
              <w:pStyle w:val="Body"/>
              <w:rPr>
                <w:highlight w:val="cyan"/>
              </w:rPr>
            </w:pPr>
            <w:r w:rsidRPr="00C66793">
              <w:rPr>
                <w:highlight w:val="cyan"/>
              </w:rPr>
              <w:t xml:space="preserve">This should appear on the top row of the report before the actual data is presented, this isn’t an actual column of the report (please see mockup). This </w:t>
            </w:r>
            <w:r>
              <w:rPr>
                <w:highlight w:val="cyan"/>
              </w:rPr>
              <w:t>will act as a header for the below 5 data fields and only include those claims that are closed without payments.</w:t>
            </w:r>
          </w:p>
        </w:tc>
      </w:tr>
      <w:tr w:rsidR="00250881" w:rsidTr="00E14860">
        <w:tc>
          <w:tcPr>
            <w:tcW w:w="3657" w:type="dxa"/>
          </w:tcPr>
          <w:p w:rsidR="00250881" w:rsidRPr="00815C74" w:rsidRDefault="00250881" w:rsidP="00E14860">
            <w:pPr>
              <w:pStyle w:val="Body"/>
            </w:pPr>
            <w:r>
              <w:t xml:space="preserve">Year to Date </w:t>
            </w:r>
          </w:p>
        </w:tc>
        <w:tc>
          <w:tcPr>
            <w:tcW w:w="4335" w:type="dxa"/>
          </w:tcPr>
          <w:p w:rsidR="00250881" w:rsidRPr="00815C74" w:rsidRDefault="00250881" w:rsidP="00E14860">
            <w:pPr>
              <w:pStyle w:val="Body"/>
            </w:pPr>
            <w:r>
              <w:t>The above green highlighted formula should be adjusted to take into account only claims that have been closed with a last close date from January to current valuation</w:t>
            </w:r>
          </w:p>
        </w:tc>
      </w:tr>
      <w:tr w:rsidR="00250881" w:rsidTr="00E14860">
        <w:tc>
          <w:tcPr>
            <w:tcW w:w="3657" w:type="dxa"/>
          </w:tcPr>
          <w:p w:rsidR="00250881" w:rsidRPr="00815C74" w:rsidRDefault="00250881" w:rsidP="00E14860">
            <w:pPr>
              <w:pStyle w:val="Body"/>
            </w:pPr>
            <w:r>
              <w:t xml:space="preserve">Prior Year to Date </w:t>
            </w:r>
          </w:p>
        </w:tc>
        <w:tc>
          <w:tcPr>
            <w:tcW w:w="4335" w:type="dxa"/>
          </w:tcPr>
          <w:p w:rsidR="00250881" w:rsidRDefault="00250881" w:rsidP="00E14860">
            <w:pPr>
              <w:pStyle w:val="Body"/>
            </w:pPr>
            <w:r>
              <w:t>This data field is to use the same logic as above, just for the previous year timeframe</w:t>
            </w:r>
          </w:p>
        </w:tc>
      </w:tr>
      <w:tr w:rsidR="00250881" w:rsidTr="00E14860">
        <w:tc>
          <w:tcPr>
            <w:tcW w:w="3657" w:type="dxa"/>
          </w:tcPr>
          <w:p w:rsidR="00250881" w:rsidRPr="00815C74" w:rsidRDefault="00250881" w:rsidP="00E14860">
            <w:pPr>
              <w:pStyle w:val="Body"/>
            </w:pPr>
            <w:r>
              <w:t>Year to Date Change</w:t>
            </w:r>
          </w:p>
        </w:tc>
        <w:tc>
          <w:tcPr>
            <w:tcW w:w="4335" w:type="dxa"/>
          </w:tcPr>
          <w:p w:rsidR="00250881" w:rsidRDefault="00250881" w:rsidP="00E14860">
            <w:pPr>
              <w:pStyle w:val="Body"/>
            </w:pPr>
            <w:r>
              <w:t>(Year to Date – Prior Year to Date)</w:t>
            </w:r>
          </w:p>
        </w:tc>
      </w:tr>
      <w:tr w:rsidR="00250881" w:rsidTr="00E14860">
        <w:tc>
          <w:tcPr>
            <w:tcW w:w="3657" w:type="dxa"/>
          </w:tcPr>
          <w:p w:rsidR="00250881" w:rsidRDefault="00250881" w:rsidP="00E14860">
            <w:pPr>
              <w:pStyle w:val="Body"/>
            </w:pPr>
            <w:r>
              <w:t>Current Month</w:t>
            </w:r>
          </w:p>
        </w:tc>
        <w:tc>
          <w:tcPr>
            <w:tcW w:w="4335" w:type="dxa"/>
          </w:tcPr>
          <w:p w:rsidR="00250881" w:rsidRDefault="00250881" w:rsidP="00E14860">
            <w:pPr>
              <w:pStyle w:val="Body"/>
            </w:pPr>
            <w:r>
              <w:t xml:space="preserve">Adjust the green highlighted formula to account for only claims that have been closed in the specific current month valuation </w:t>
            </w:r>
          </w:p>
        </w:tc>
      </w:tr>
      <w:tr w:rsidR="00250881" w:rsidTr="00E14860">
        <w:tc>
          <w:tcPr>
            <w:tcW w:w="3657" w:type="dxa"/>
          </w:tcPr>
          <w:p w:rsidR="00250881" w:rsidRDefault="00250881" w:rsidP="00E14860">
            <w:pPr>
              <w:pStyle w:val="Body"/>
            </w:pPr>
            <w:r>
              <w:t>Prior Year Current Month</w:t>
            </w:r>
          </w:p>
        </w:tc>
        <w:tc>
          <w:tcPr>
            <w:tcW w:w="4335" w:type="dxa"/>
          </w:tcPr>
          <w:p w:rsidR="00250881" w:rsidRDefault="00250881" w:rsidP="00E14860">
            <w:pPr>
              <w:pStyle w:val="Body"/>
            </w:pPr>
            <w:r>
              <w:t>This data fields is to use the same logic as above, just for the previous year timeframe</w:t>
            </w:r>
          </w:p>
        </w:tc>
      </w:tr>
      <w:tr w:rsidR="0087539D" w:rsidTr="00E14860">
        <w:tc>
          <w:tcPr>
            <w:tcW w:w="3657" w:type="dxa"/>
          </w:tcPr>
          <w:p w:rsidR="0087539D" w:rsidRDefault="0087539D" w:rsidP="00A02775">
            <w:pPr>
              <w:pStyle w:val="Body"/>
            </w:pPr>
            <w:r>
              <w:t>Grand Total</w:t>
            </w:r>
          </w:p>
        </w:tc>
        <w:tc>
          <w:tcPr>
            <w:tcW w:w="4335" w:type="dxa"/>
          </w:tcPr>
          <w:p w:rsidR="0087539D" w:rsidRDefault="0087539D" w:rsidP="00A02775">
            <w:pPr>
              <w:pStyle w:val="Body"/>
            </w:pPr>
            <w:r>
              <w:t xml:space="preserve">Rather than a summary of adding up each of the above fields like in other Grand Total’s this field needs to be calculated at the TPA/LOB/MJC level as one calculation per </w:t>
            </w:r>
            <w:r>
              <w:lastRenderedPageBreak/>
              <w:t>the logic detailed above.</w:t>
            </w:r>
          </w:p>
        </w:tc>
      </w:tr>
    </w:tbl>
    <w:p w:rsidR="00FD75AF" w:rsidRDefault="00FD75AF" w:rsidP="0064450E"/>
    <w:p w:rsidR="0064450E" w:rsidRDefault="0064450E" w:rsidP="0064450E"/>
    <w:p w:rsidR="0064450E" w:rsidRDefault="0064450E" w:rsidP="0064450E"/>
    <w:p w:rsidR="0064450E" w:rsidRPr="007579A6" w:rsidRDefault="0064450E" w:rsidP="005B2E8D">
      <w:pPr>
        <w:pStyle w:val="ListParagraph"/>
        <w:numPr>
          <w:ilvl w:val="0"/>
          <w:numId w:val="11"/>
        </w:numPr>
        <w:rPr>
          <w:b/>
        </w:rPr>
      </w:pPr>
      <w:r w:rsidRPr="007579A6">
        <w:rPr>
          <w:b/>
        </w:rPr>
        <w:t>Paids_6</w:t>
      </w:r>
    </w:p>
    <w:p w:rsidR="0064450E" w:rsidRDefault="0064450E" w:rsidP="005B2E8D">
      <w:pPr>
        <w:pStyle w:val="ListParagraph"/>
        <w:numPr>
          <w:ilvl w:val="0"/>
          <w:numId w:val="11"/>
        </w:numPr>
      </w:pPr>
      <w:r>
        <w:t>Logic – This report is to show all the paid dollars</w:t>
      </w:r>
    </w:p>
    <w:tbl>
      <w:tblPr>
        <w:tblW w:w="0" w:type="auto"/>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57"/>
        <w:gridCol w:w="4335"/>
      </w:tblGrid>
      <w:tr w:rsidR="0064450E" w:rsidRPr="009624BC" w:rsidTr="00E14860">
        <w:tc>
          <w:tcPr>
            <w:tcW w:w="3657" w:type="dxa"/>
            <w:shd w:val="pct50" w:color="auto" w:fill="auto"/>
            <w:vAlign w:val="center"/>
          </w:tcPr>
          <w:p w:rsidR="0064450E" w:rsidRPr="009624BC" w:rsidRDefault="0064450E" w:rsidP="00E14860">
            <w:pPr>
              <w:pStyle w:val="Body"/>
              <w:jc w:val="center"/>
              <w:rPr>
                <w:b/>
                <w:color w:val="FFFFFF"/>
              </w:rPr>
            </w:pPr>
            <w:r w:rsidRPr="009624BC">
              <w:rPr>
                <w:b/>
                <w:color w:val="FFFFFF"/>
              </w:rPr>
              <w:t>Data_Field</w:t>
            </w:r>
          </w:p>
        </w:tc>
        <w:tc>
          <w:tcPr>
            <w:tcW w:w="4335" w:type="dxa"/>
            <w:shd w:val="pct50" w:color="auto" w:fill="auto"/>
            <w:vAlign w:val="center"/>
          </w:tcPr>
          <w:p w:rsidR="0064450E" w:rsidRPr="009624BC" w:rsidRDefault="0064450E" w:rsidP="00E14860">
            <w:pPr>
              <w:pStyle w:val="Body"/>
              <w:jc w:val="center"/>
              <w:rPr>
                <w:b/>
                <w:color w:val="FFFFFF"/>
              </w:rPr>
            </w:pPr>
            <w:r w:rsidRPr="009624BC">
              <w:rPr>
                <w:b/>
                <w:color w:val="FFFFFF"/>
              </w:rPr>
              <w:t>Description</w:t>
            </w:r>
          </w:p>
        </w:tc>
      </w:tr>
      <w:tr w:rsidR="0064450E" w:rsidTr="00E14860">
        <w:tc>
          <w:tcPr>
            <w:tcW w:w="3657" w:type="dxa"/>
          </w:tcPr>
          <w:p w:rsidR="0064450E" w:rsidRDefault="0064450E" w:rsidP="00E14860">
            <w:pPr>
              <w:pStyle w:val="Body"/>
            </w:pPr>
            <w:r>
              <w:t>TPA Name</w:t>
            </w:r>
          </w:p>
        </w:tc>
        <w:tc>
          <w:tcPr>
            <w:tcW w:w="4335" w:type="dxa"/>
          </w:tcPr>
          <w:p w:rsidR="0064450E" w:rsidRDefault="0064450E" w:rsidP="00E14860">
            <w:pPr>
              <w:pStyle w:val="Body"/>
            </w:pPr>
            <w:r>
              <w:t>Name of TPA</w:t>
            </w:r>
          </w:p>
        </w:tc>
      </w:tr>
      <w:tr w:rsidR="0064450E" w:rsidRPr="00815C74" w:rsidTr="00E14860">
        <w:tc>
          <w:tcPr>
            <w:tcW w:w="3657" w:type="dxa"/>
          </w:tcPr>
          <w:p w:rsidR="0064450E" w:rsidRPr="00815C74" w:rsidRDefault="0064450E" w:rsidP="00E14860">
            <w:pPr>
              <w:pStyle w:val="Body"/>
            </w:pPr>
            <w:r>
              <w:t>Line Of Business</w:t>
            </w:r>
          </w:p>
        </w:tc>
        <w:tc>
          <w:tcPr>
            <w:tcW w:w="4335" w:type="dxa"/>
          </w:tcPr>
          <w:p w:rsidR="0064450E" w:rsidRPr="00815C74" w:rsidRDefault="0064450E" w:rsidP="00E14860">
            <w:pPr>
              <w:pStyle w:val="Body"/>
            </w:pPr>
            <w:r>
              <w:t>Line of Business Code</w:t>
            </w:r>
          </w:p>
        </w:tc>
      </w:tr>
      <w:tr w:rsidR="0064450E" w:rsidRPr="00815C74" w:rsidTr="00E14860">
        <w:tc>
          <w:tcPr>
            <w:tcW w:w="3657" w:type="dxa"/>
          </w:tcPr>
          <w:p w:rsidR="0064450E" w:rsidRPr="00815C74" w:rsidRDefault="0064450E" w:rsidP="00E14860">
            <w:pPr>
              <w:pStyle w:val="Body"/>
            </w:pPr>
            <w:r>
              <w:t>Major Class Description</w:t>
            </w:r>
          </w:p>
        </w:tc>
        <w:tc>
          <w:tcPr>
            <w:tcW w:w="4335" w:type="dxa"/>
          </w:tcPr>
          <w:p w:rsidR="0064450E" w:rsidRPr="00815C74" w:rsidRDefault="0064450E" w:rsidP="00E14860">
            <w:pPr>
              <w:pStyle w:val="Body"/>
            </w:pPr>
            <w:r>
              <w:t>Description of the MJC Code</w:t>
            </w:r>
          </w:p>
        </w:tc>
      </w:tr>
      <w:tr w:rsidR="0064450E" w:rsidRPr="00C66793" w:rsidTr="00E14860">
        <w:tc>
          <w:tcPr>
            <w:tcW w:w="3657" w:type="dxa"/>
          </w:tcPr>
          <w:p w:rsidR="0064450E" w:rsidRPr="00C66793" w:rsidRDefault="0064450E" w:rsidP="00E14860">
            <w:pPr>
              <w:pStyle w:val="Body"/>
              <w:rPr>
                <w:highlight w:val="cyan"/>
              </w:rPr>
            </w:pPr>
            <w:r>
              <w:rPr>
                <w:highlight w:val="cyan"/>
              </w:rPr>
              <w:t>Ind Paid</w:t>
            </w:r>
          </w:p>
        </w:tc>
        <w:tc>
          <w:tcPr>
            <w:tcW w:w="4335" w:type="dxa"/>
          </w:tcPr>
          <w:p w:rsidR="0064450E" w:rsidRPr="00C66793" w:rsidRDefault="0064450E" w:rsidP="00E14860">
            <w:pPr>
              <w:pStyle w:val="Body"/>
              <w:rPr>
                <w:highlight w:val="cyan"/>
              </w:rPr>
            </w:pPr>
            <w:r w:rsidRPr="00C66793">
              <w:rPr>
                <w:highlight w:val="cyan"/>
              </w:rPr>
              <w:t xml:space="preserve">This should appear on the top row of the report before the actual data is presented, this isn’t an actual column of the report (please see mockup). This </w:t>
            </w:r>
            <w:r>
              <w:rPr>
                <w:highlight w:val="cyan"/>
              </w:rPr>
              <w:t>will act as a header for the below 5 data fields for Indemnity payments.</w:t>
            </w:r>
          </w:p>
        </w:tc>
      </w:tr>
      <w:tr w:rsidR="0064450E" w:rsidRPr="00815C74" w:rsidTr="00E14860">
        <w:tc>
          <w:tcPr>
            <w:tcW w:w="3657" w:type="dxa"/>
          </w:tcPr>
          <w:p w:rsidR="0064450E" w:rsidRPr="00815C74" w:rsidRDefault="0064450E" w:rsidP="00E14860">
            <w:pPr>
              <w:pStyle w:val="Body"/>
            </w:pPr>
            <w:r>
              <w:t xml:space="preserve">Year to Date </w:t>
            </w:r>
          </w:p>
        </w:tc>
        <w:tc>
          <w:tcPr>
            <w:tcW w:w="4335" w:type="dxa"/>
          </w:tcPr>
          <w:p w:rsidR="0064450E" w:rsidRPr="00815C74" w:rsidRDefault="0064450E" w:rsidP="00E14860">
            <w:pPr>
              <w:pStyle w:val="Body"/>
            </w:pPr>
            <w:r>
              <w:t>Sum of ALL Indemnity payments from January of current year to current month valuation</w:t>
            </w:r>
          </w:p>
        </w:tc>
      </w:tr>
      <w:tr w:rsidR="0064450E" w:rsidTr="00E14860">
        <w:tc>
          <w:tcPr>
            <w:tcW w:w="3657" w:type="dxa"/>
          </w:tcPr>
          <w:p w:rsidR="0064450E" w:rsidRPr="00815C74" w:rsidRDefault="0064450E" w:rsidP="00E14860">
            <w:pPr>
              <w:pStyle w:val="Body"/>
            </w:pPr>
            <w:r>
              <w:t xml:space="preserve">Prior Year to Date </w:t>
            </w:r>
          </w:p>
        </w:tc>
        <w:tc>
          <w:tcPr>
            <w:tcW w:w="4335" w:type="dxa"/>
          </w:tcPr>
          <w:p w:rsidR="0064450E" w:rsidRDefault="0064450E" w:rsidP="00E14860">
            <w:pPr>
              <w:pStyle w:val="Body"/>
            </w:pPr>
            <w:r>
              <w:t>Same logic as above data field, just for previous year data</w:t>
            </w:r>
          </w:p>
        </w:tc>
      </w:tr>
      <w:tr w:rsidR="0064450E" w:rsidTr="00E14860">
        <w:tc>
          <w:tcPr>
            <w:tcW w:w="3657" w:type="dxa"/>
          </w:tcPr>
          <w:p w:rsidR="0064450E" w:rsidRPr="00815C74" w:rsidRDefault="0064450E" w:rsidP="00E14860">
            <w:pPr>
              <w:pStyle w:val="Body"/>
            </w:pPr>
            <w:r>
              <w:t>Year to Date Change</w:t>
            </w:r>
          </w:p>
        </w:tc>
        <w:tc>
          <w:tcPr>
            <w:tcW w:w="4335" w:type="dxa"/>
          </w:tcPr>
          <w:p w:rsidR="0064450E" w:rsidRDefault="0064450E" w:rsidP="00E14860">
            <w:pPr>
              <w:pStyle w:val="Body"/>
            </w:pPr>
            <w:r>
              <w:t>(Year to Date – Prior Year to Date)</w:t>
            </w:r>
          </w:p>
        </w:tc>
      </w:tr>
      <w:tr w:rsidR="0064450E" w:rsidTr="00E14860">
        <w:tc>
          <w:tcPr>
            <w:tcW w:w="3657" w:type="dxa"/>
          </w:tcPr>
          <w:p w:rsidR="0064450E" w:rsidRDefault="0064450E" w:rsidP="00E14860">
            <w:pPr>
              <w:pStyle w:val="Body"/>
            </w:pPr>
            <w:r>
              <w:t>Current Month</w:t>
            </w:r>
          </w:p>
        </w:tc>
        <w:tc>
          <w:tcPr>
            <w:tcW w:w="4335" w:type="dxa"/>
          </w:tcPr>
          <w:p w:rsidR="0064450E" w:rsidRDefault="0064450E" w:rsidP="00E14860">
            <w:pPr>
              <w:pStyle w:val="Body"/>
            </w:pPr>
            <w:r>
              <w:t>Sum of ALL Indemnity Payments in the Current Month valuation</w:t>
            </w:r>
          </w:p>
        </w:tc>
      </w:tr>
      <w:tr w:rsidR="0064450E" w:rsidTr="00E14860">
        <w:tc>
          <w:tcPr>
            <w:tcW w:w="3657" w:type="dxa"/>
          </w:tcPr>
          <w:p w:rsidR="0064450E" w:rsidRDefault="0064450E" w:rsidP="00E14860">
            <w:pPr>
              <w:pStyle w:val="Body"/>
            </w:pPr>
            <w:r>
              <w:t>Prior Year Current Month</w:t>
            </w:r>
          </w:p>
        </w:tc>
        <w:tc>
          <w:tcPr>
            <w:tcW w:w="4335" w:type="dxa"/>
          </w:tcPr>
          <w:p w:rsidR="0064450E" w:rsidRDefault="0064450E" w:rsidP="00E14860">
            <w:pPr>
              <w:pStyle w:val="Body"/>
            </w:pPr>
            <w:r>
              <w:t>This data fields is to use the same logic as above, just for the previous year timeframe</w:t>
            </w:r>
          </w:p>
        </w:tc>
      </w:tr>
      <w:tr w:rsidR="007579A6" w:rsidRPr="00C66793" w:rsidTr="00E14860">
        <w:tc>
          <w:tcPr>
            <w:tcW w:w="3657" w:type="dxa"/>
          </w:tcPr>
          <w:p w:rsidR="007579A6" w:rsidRPr="00C66793" w:rsidRDefault="007579A6" w:rsidP="00E14860">
            <w:pPr>
              <w:pStyle w:val="Body"/>
              <w:rPr>
                <w:highlight w:val="cyan"/>
              </w:rPr>
            </w:pPr>
            <w:r>
              <w:rPr>
                <w:highlight w:val="cyan"/>
              </w:rPr>
              <w:t>Medical Paid</w:t>
            </w:r>
          </w:p>
        </w:tc>
        <w:tc>
          <w:tcPr>
            <w:tcW w:w="4335" w:type="dxa"/>
          </w:tcPr>
          <w:p w:rsidR="007579A6" w:rsidRPr="00C66793" w:rsidRDefault="007579A6" w:rsidP="007579A6">
            <w:pPr>
              <w:pStyle w:val="Body"/>
              <w:rPr>
                <w:highlight w:val="cyan"/>
              </w:rPr>
            </w:pPr>
            <w:r w:rsidRPr="00C66793">
              <w:rPr>
                <w:highlight w:val="cyan"/>
              </w:rPr>
              <w:t xml:space="preserve">This should appear on the top row of the report before the actual data is presented, this isn’t an actual column of the report (please see mockup). This </w:t>
            </w:r>
            <w:r>
              <w:rPr>
                <w:highlight w:val="cyan"/>
              </w:rPr>
              <w:t>will act as a header for the below 5 data fields for Medical payments.</w:t>
            </w:r>
          </w:p>
        </w:tc>
      </w:tr>
      <w:tr w:rsidR="007579A6" w:rsidRPr="00C66793" w:rsidTr="00E14860">
        <w:tc>
          <w:tcPr>
            <w:tcW w:w="3657" w:type="dxa"/>
          </w:tcPr>
          <w:p w:rsidR="007579A6" w:rsidRPr="00815C74" w:rsidRDefault="007579A6" w:rsidP="00E14860">
            <w:pPr>
              <w:pStyle w:val="Body"/>
            </w:pPr>
            <w:r>
              <w:t xml:space="preserve">Year to Date </w:t>
            </w:r>
          </w:p>
        </w:tc>
        <w:tc>
          <w:tcPr>
            <w:tcW w:w="4335" w:type="dxa"/>
          </w:tcPr>
          <w:p w:rsidR="007579A6" w:rsidRPr="00815C74" w:rsidRDefault="007579A6" w:rsidP="007579A6">
            <w:pPr>
              <w:pStyle w:val="Body"/>
            </w:pPr>
            <w:r>
              <w:t>Sum of ALL Medical payments from January of current year to current month valuation</w:t>
            </w:r>
          </w:p>
        </w:tc>
      </w:tr>
      <w:tr w:rsidR="007579A6" w:rsidRPr="00C66793" w:rsidTr="00E14860">
        <w:tc>
          <w:tcPr>
            <w:tcW w:w="3657" w:type="dxa"/>
          </w:tcPr>
          <w:p w:rsidR="007579A6" w:rsidRPr="00815C74" w:rsidRDefault="007579A6" w:rsidP="00E14860">
            <w:pPr>
              <w:pStyle w:val="Body"/>
            </w:pPr>
            <w:r>
              <w:t xml:space="preserve">Prior Year to Date </w:t>
            </w:r>
          </w:p>
        </w:tc>
        <w:tc>
          <w:tcPr>
            <w:tcW w:w="4335" w:type="dxa"/>
          </w:tcPr>
          <w:p w:rsidR="007579A6" w:rsidRDefault="007579A6" w:rsidP="00E14860">
            <w:pPr>
              <w:pStyle w:val="Body"/>
            </w:pPr>
            <w:r>
              <w:t>Same logic as above data field, just for previous year data</w:t>
            </w:r>
          </w:p>
        </w:tc>
      </w:tr>
      <w:tr w:rsidR="007579A6" w:rsidRPr="00C66793" w:rsidTr="00E14860">
        <w:tc>
          <w:tcPr>
            <w:tcW w:w="3657" w:type="dxa"/>
          </w:tcPr>
          <w:p w:rsidR="007579A6" w:rsidRPr="00815C74" w:rsidRDefault="007579A6" w:rsidP="00E14860">
            <w:pPr>
              <w:pStyle w:val="Body"/>
            </w:pPr>
            <w:r>
              <w:t>Year to Date Change</w:t>
            </w:r>
          </w:p>
        </w:tc>
        <w:tc>
          <w:tcPr>
            <w:tcW w:w="4335" w:type="dxa"/>
          </w:tcPr>
          <w:p w:rsidR="007579A6" w:rsidRDefault="007579A6" w:rsidP="00E14860">
            <w:pPr>
              <w:pStyle w:val="Body"/>
            </w:pPr>
            <w:r>
              <w:t>(Year to Date – Prior Year to Date)</w:t>
            </w:r>
          </w:p>
        </w:tc>
      </w:tr>
      <w:tr w:rsidR="007579A6" w:rsidRPr="00C66793" w:rsidTr="00E14860">
        <w:tc>
          <w:tcPr>
            <w:tcW w:w="3657" w:type="dxa"/>
          </w:tcPr>
          <w:p w:rsidR="007579A6" w:rsidRDefault="007579A6" w:rsidP="00E14860">
            <w:pPr>
              <w:pStyle w:val="Body"/>
            </w:pPr>
            <w:r>
              <w:t>Current Month</w:t>
            </w:r>
          </w:p>
        </w:tc>
        <w:tc>
          <w:tcPr>
            <w:tcW w:w="4335" w:type="dxa"/>
          </w:tcPr>
          <w:p w:rsidR="007579A6" w:rsidRDefault="007579A6" w:rsidP="007579A6">
            <w:pPr>
              <w:pStyle w:val="Body"/>
            </w:pPr>
            <w:r>
              <w:t>Sum of ALL Medical Payments in the Current Month valuation</w:t>
            </w:r>
          </w:p>
        </w:tc>
      </w:tr>
      <w:tr w:rsidR="007579A6" w:rsidRPr="00C66793" w:rsidTr="00E14860">
        <w:tc>
          <w:tcPr>
            <w:tcW w:w="3657" w:type="dxa"/>
          </w:tcPr>
          <w:p w:rsidR="007579A6" w:rsidRDefault="007579A6" w:rsidP="00E14860">
            <w:pPr>
              <w:pStyle w:val="Body"/>
            </w:pPr>
            <w:r>
              <w:t>Prior Year Current Month</w:t>
            </w:r>
          </w:p>
        </w:tc>
        <w:tc>
          <w:tcPr>
            <w:tcW w:w="4335" w:type="dxa"/>
          </w:tcPr>
          <w:p w:rsidR="007579A6" w:rsidRDefault="007579A6" w:rsidP="00E14860">
            <w:pPr>
              <w:pStyle w:val="Body"/>
            </w:pPr>
            <w:r>
              <w:t xml:space="preserve">This data fields is to use the same logic as </w:t>
            </w:r>
            <w:r>
              <w:lastRenderedPageBreak/>
              <w:t>above, just for the previous year timeframe</w:t>
            </w:r>
          </w:p>
        </w:tc>
      </w:tr>
      <w:tr w:rsidR="007579A6" w:rsidRPr="00C66793" w:rsidTr="00E14860">
        <w:tc>
          <w:tcPr>
            <w:tcW w:w="3657" w:type="dxa"/>
          </w:tcPr>
          <w:p w:rsidR="007579A6" w:rsidRPr="00C66793" w:rsidRDefault="007579A6" w:rsidP="0064450E">
            <w:pPr>
              <w:pStyle w:val="Body"/>
              <w:rPr>
                <w:highlight w:val="cyan"/>
              </w:rPr>
            </w:pPr>
            <w:r>
              <w:rPr>
                <w:highlight w:val="cyan"/>
              </w:rPr>
              <w:lastRenderedPageBreak/>
              <w:t>Expense Paid</w:t>
            </w:r>
          </w:p>
        </w:tc>
        <w:tc>
          <w:tcPr>
            <w:tcW w:w="4335" w:type="dxa"/>
          </w:tcPr>
          <w:p w:rsidR="007579A6" w:rsidRPr="00C66793" w:rsidRDefault="007579A6" w:rsidP="0064450E">
            <w:pPr>
              <w:pStyle w:val="Body"/>
              <w:rPr>
                <w:highlight w:val="cyan"/>
              </w:rPr>
            </w:pPr>
            <w:r w:rsidRPr="00C66793">
              <w:rPr>
                <w:highlight w:val="cyan"/>
              </w:rPr>
              <w:t xml:space="preserve">This should appear on the top row of the report before the actual data is presented, this isn’t an actual column of the report (please see mockup). This </w:t>
            </w:r>
            <w:r>
              <w:rPr>
                <w:highlight w:val="cyan"/>
              </w:rPr>
              <w:t>will act as a header for the below 5 data fields for Expense Payments</w:t>
            </w:r>
          </w:p>
        </w:tc>
      </w:tr>
      <w:tr w:rsidR="007579A6" w:rsidRPr="00815C74" w:rsidTr="00E14860">
        <w:tc>
          <w:tcPr>
            <w:tcW w:w="3657" w:type="dxa"/>
          </w:tcPr>
          <w:p w:rsidR="007579A6" w:rsidRPr="00815C74" w:rsidRDefault="007579A6" w:rsidP="00E14860">
            <w:pPr>
              <w:pStyle w:val="Body"/>
            </w:pPr>
            <w:r>
              <w:t xml:space="preserve">Year to Date </w:t>
            </w:r>
          </w:p>
        </w:tc>
        <w:tc>
          <w:tcPr>
            <w:tcW w:w="4335" w:type="dxa"/>
          </w:tcPr>
          <w:p w:rsidR="007579A6" w:rsidRPr="00815C74" w:rsidRDefault="007579A6" w:rsidP="0064450E">
            <w:pPr>
              <w:pStyle w:val="Body"/>
            </w:pPr>
            <w:r>
              <w:t>Sum of ALL Expense payments from January of current year to current month valuation</w:t>
            </w:r>
          </w:p>
        </w:tc>
      </w:tr>
      <w:tr w:rsidR="007579A6" w:rsidTr="00E14860">
        <w:tc>
          <w:tcPr>
            <w:tcW w:w="3657" w:type="dxa"/>
          </w:tcPr>
          <w:p w:rsidR="007579A6" w:rsidRPr="00815C74" w:rsidRDefault="007579A6" w:rsidP="00E14860">
            <w:pPr>
              <w:pStyle w:val="Body"/>
            </w:pPr>
            <w:r>
              <w:t xml:space="preserve">Prior Year to Date </w:t>
            </w:r>
          </w:p>
        </w:tc>
        <w:tc>
          <w:tcPr>
            <w:tcW w:w="4335" w:type="dxa"/>
          </w:tcPr>
          <w:p w:rsidR="007579A6" w:rsidRDefault="007579A6" w:rsidP="00E14860">
            <w:pPr>
              <w:pStyle w:val="Body"/>
            </w:pPr>
            <w:r>
              <w:t>Same logic as above data field, just for previous year data</w:t>
            </w:r>
          </w:p>
        </w:tc>
      </w:tr>
      <w:tr w:rsidR="007579A6" w:rsidTr="00E14860">
        <w:tc>
          <w:tcPr>
            <w:tcW w:w="3657" w:type="dxa"/>
          </w:tcPr>
          <w:p w:rsidR="007579A6" w:rsidRPr="00815C74" w:rsidRDefault="007579A6" w:rsidP="00E14860">
            <w:pPr>
              <w:pStyle w:val="Body"/>
            </w:pPr>
            <w:r>
              <w:t>Year to Date Change</w:t>
            </w:r>
          </w:p>
        </w:tc>
        <w:tc>
          <w:tcPr>
            <w:tcW w:w="4335" w:type="dxa"/>
          </w:tcPr>
          <w:p w:rsidR="007579A6" w:rsidRDefault="007579A6" w:rsidP="00E14860">
            <w:pPr>
              <w:pStyle w:val="Body"/>
            </w:pPr>
            <w:r>
              <w:t>(Year to Date – Prior Year to Date)</w:t>
            </w:r>
          </w:p>
        </w:tc>
      </w:tr>
      <w:tr w:rsidR="007579A6" w:rsidTr="00E14860">
        <w:tc>
          <w:tcPr>
            <w:tcW w:w="3657" w:type="dxa"/>
          </w:tcPr>
          <w:p w:rsidR="007579A6" w:rsidRDefault="007579A6" w:rsidP="00E14860">
            <w:pPr>
              <w:pStyle w:val="Body"/>
            </w:pPr>
            <w:r>
              <w:t>Current Month</w:t>
            </w:r>
          </w:p>
        </w:tc>
        <w:tc>
          <w:tcPr>
            <w:tcW w:w="4335" w:type="dxa"/>
          </w:tcPr>
          <w:p w:rsidR="007579A6" w:rsidRDefault="007579A6" w:rsidP="0064450E">
            <w:pPr>
              <w:pStyle w:val="Body"/>
            </w:pPr>
            <w:r>
              <w:t>Sum of ALL Expense Payments in the Current Month valuation</w:t>
            </w:r>
          </w:p>
        </w:tc>
      </w:tr>
      <w:tr w:rsidR="007579A6" w:rsidTr="00E14860">
        <w:tc>
          <w:tcPr>
            <w:tcW w:w="3657" w:type="dxa"/>
          </w:tcPr>
          <w:p w:rsidR="007579A6" w:rsidRDefault="007579A6" w:rsidP="00E14860">
            <w:pPr>
              <w:pStyle w:val="Body"/>
            </w:pPr>
            <w:r>
              <w:t>Prior Year Current Month</w:t>
            </w:r>
          </w:p>
        </w:tc>
        <w:tc>
          <w:tcPr>
            <w:tcW w:w="4335" w:type="dxa"/>
          </w:tcPr>
          <w:p w:rsidR="007579A6" w:rsidRDefault="007579A6" w:rsidP="00E14860">
            <w:pPr>
              <w:pStyle w:val="Body"/>
            </w:pPr>
            <w:r>
              <w:t>This data fields is to use the same logic as above, just for the previous year timeframe</w:t>
            </w:r>
          </w:p>
        </w:tc>
      </w:tr>
      <w:tr w:rsidR="007579A6" w:rsidRPr="00C66793" w:rsidTr="00E14860">
        <w:tc>
          <w:tcPr>
            <w:tcW w:w="3657" w:type="dxa"/>
          </w:tcPr>
          <w:p w:rsidR="007579A6" w:rsidRPr="00C66793" w:rsidRDefault="007579A6" w:rsidP="00E14860">
            <w:pPr>
              <w:pStyle w:val="Body"/>
              <w:rPr>
                <w:highlight w:val="cyan"/>
              </w:rPr>
            </w:pPr>
            <w:r>
              <w:rPr>
                <w:highlight w:val="cyan"/>
              </w:rPr>
              <w:t>IML Paid</w:t>
            </w:r>
          </w:p>
        </w:tc>
        <w:tc>
          <w:tcPr>
            <w:tcW w:w="4335" w:type="dxa"/>
          </w:tcPr>
          <w:p w:rsidR="007579A6" w:rsidRPr="00C66793" w:rsidRDefault="007579A6" w:rsidP="0064450E">
            <w:pPr>
              <w:pStyle w:val="Body"/>
              <w:rPr>
                <w:highlight w:val="cyan"/>
              </w:rPr>
            </w:pPr>
            <w:r w:rsidRPr="00C66793">
              <w:rPr>
                <w:highlight w:val="cyan"/>
              </w:rPr>
              <w:t xml:space="preserve">This should appear on the top row of the report before the actual data is presented, this isn’t an actual column of the report (please see mockup). This </w:t>
            </w:r>
            <w:r>
              <w:rPr>
                <w:highlight w:val="cyan"/>
              </w:rPr>
              <w:t>will act as a header for the below 5 data fields for all indemnity, medical, and expense payments</w:t>
            </w:r>
          </w:p>
        </w:tc>
      </w:tr>
      <w:tr w:rsidR="007579A6" w:rsidRPr="00815C74" w:rsidTr="00E14860">
        <w:tc>
          <w:tcPr>
            <w:tcW w:w="3657" w:type="dxa"/>
          </w:tcPr>
          <w:p w:rsidR="007579A6" w:rsidRPr="00815C74" w:rsidRDefault="007579A6" w:rsidP="00E14860">
            <w:pPr>
              <w:pStyle w:val="Body"/>
            </w:pPr>
            <w:r>
              <w:t xml:space="preserve">Year to Date </w:t>
            </w:r>
          </w:p>
        </w:tc>
        <w:tc>
          <w:tcPr>
            <w:tcW w:w="4335" w:type="dxa"/>
          </w:tcPr>
          <w:p w:rsidR="007579A6" w:rsidRPr="00815C74" w:rsidRDefault="007579A6" w:rsidP="0064450E">
            <w:pPr>
              <w:pStyle w:val="Body"/>
            </w:pPr>
            <w:r>
              <w:t>Sum of ALL Indemnity, Medical, and expense payments from January of current year to current month valuation</w:t>
            </w:r>
          </w:p>
        </w:tc>
      </w:tr>
      <w:tr w:rsidR="007579A6" w:rsidTr="00E14860">
        <w:tc>
          <w:tcPr>
            <w:tcW w:w="3657" w:type="dxa"/>
          </w:tcPr>
          <w:p w:rsidR="007579A6" w:rsidRPr="00815C74" w:rsidRDefault="007579A6" w:rsidP="00E14860">
            <w:pPr>
              <w:pStyle w:val="Body"/>
            </w:pPr>
            <w:r>
              <w:t xml:space="preserve">Prior Year to Date </w:t>
            </w:r>
          </w:p>
        </w:tc>
        <w:tc>
          <w:tcPr>
            <w:tcW w:w="4335" w:type="dxa"/>
          </w:tcPr>
          <w:p w:rsidR="007579A6" w:rsidRDefault="007579A6" w:rsidP="00E14860">
            <w:pPr>
              <w:pStyle w:val="Body"/>
            </w:pPr>
            <w:r>
              <w:t>Same logic as above data field, just for previous year data</w:t>
            </w:r>
          </w:p>
        </w:tc>
      </w:tr>
      <w:tr w:rsidR="007579A6" w:rsidTr="00E14860">
        <w:tc>
          <w:tcPr>
            <w:tcW w:w="3657" w:type="dxa"/>
          </w:tcPr>
          <w:p w:rsidR="007579A6" w:rsidRPr="00815C74" w:rsidRDefault="007579A6" w:rsidP="00E14860">
            <w:pPr>
              <w:pStyle w:val="Body"/>
            </w:pPr>
            <w:r>
              <w:t>Year to Date Change</w:t>
            </w:r>
          </w:p>
        </w:tc>
        <w:tc>
          <w:tcPr>
            <w:tcW w:w="4335" w:type="dxa"/>
          </w:tcPr>
          <w:p w:rsidR="007579A6" w:rsidRDefault="007579A6" w:rsidP="00E14860">
            <w:pPr>
              <w:pStyle w:val="Body"/>
            </w:pPr>
            <w:r>
              <w:t>(Year to Date – Prior Year to Date)</w:t>
            </w:r>
          </w:p>
        </w:tc>
      </w:tr>
      <w:tr w:rsidR="007579A6" w:rsidTr="00E14860">
        <w:tc>
          <w:tcPr>
            <w:tcW w:w="3657" w:type="dxa"/>
          </w:tcPr>
          <w:p w:rsidR="007579A6" w:rsidRDefault="007579A6" w:rsidP="00E14860">
            <w:pPr>
              <w:pStyle w:val="Body"/>
            </w:pPr>
            <w:r>
              <w:t>Current Month</w:t>
            </w:r>
          </w:p>
        </w:tc>
        <w:tc>
          <w:tcPr>
            <w:tcW w:w="4335" w:type="dxa"/>
          </w:tcPr>
          <w:p w:rsidR="007579A6" w:rsidRDefault="007579A6" w:rsidP="00E14860">
            <w:pPr>
              <w:pStyle w:val="Body"/>
            </w:pPr>
            <w:r>
              <w:t>Sum of ALL indemnity, medical, and Expense Payments in the Current Month valuation</w:t>
            </w:r>
          </w:p>
        </w:tc>
      </w:tr>
      <w:tr w:rsidR="007579A6" w:rsidTr="00E14860">
        <w:tc>
          <w:tcPr>
            <w:tcW w:w="3657" w:type="dxa"/>
          </w:tcPr>
          <w:p w:rsidR="007579A6" w:rsidRDefault="007579A6" w:rsidP="00E14860">
            <w:pPr>
              <w:pStyle w:val="Body"/>
            </w:pPr>
            <w:r>
              <w:t>Prior Year Current Month</w:t>
            </w:r>
          </w:p>
        </w:tc>
        <w:tc>
          <w:tcPr>
            <w:tcW w:w="4335" w:type="dxa"/>
          </w:tcPr>
          <w:p w:rsidR="007579A6" w:rsidRDefault="007579A6" w:rsidP="00E14860">
            <w:pPr>
              <w:pStyle w:val="Body"/>
            </w:pPr>
            <w:r>
              <w:t>This data fields is to use the same logic as above, just for the previous year timeframe</w:t>
            </w:r>
          </w:p>
        </w:tc>
      </w:tr>
      <w:tr w:rsidR="0087539D" w:rsidTr="00E14860">
        <w:tc>
          <w:tcPr>
            <w:tcW w:w="3657" w:type="dxa"/>
          </w:tcPr>
          <w:p w:rsidR="0087539D" w:rsidRDefault="0087539D" w:rsidP="00A02775">
            <w:pPr>
              <w:pStyle w:val="Body"/>
            </w:pPr>
            <w:r>
              <w:t>Grand Total</w:t>
            </w:r>
          </w:p>
        </w:tc>
        <w:tc>
          <w:tcPr>
            <w:tcW w:w="4335" w:type="dxa"/>
          </w:tcPr>
          <w:p w:rsidR="0087539D" w:rsidRDefault="0087539D" w:rsidP="00A02775">
            <w:pPr>
              <w:pStyle w:val="Body"/>
            </w:pPr>
            <w:r>
              <w:t xml:space="preserve">Total of the above columns added up </w:t>
            </w:r>
          </w:p>
        </w:tc>
      </w:tr>
    </w:tbl>
    <w:p w:rsidR="0064450E" w:rsidRDefault="0064450E" w:rsidP="007579A6"/>
    <w:p w:rsidR="007579A6" w:rsidRPr="007579A6" w:rsidRDefault="007579A6" w:rsidP="005B2E8D">
      <w:pPr>
        <w:pStyle w:val="ListParagraph"/>
        <w:numPr>
          <w:ilvl w:val="0"/>
          <w:numId w:val="12"/>
        </w:numPr>
        <w:rPr>
          <w:b/>
        </w:rPr>
      </w:pPr>
      <w:r w:rsidRPr="007579A6">
        <w:rPr>
          <w:b/>
        </w:rPr>
        <w:t>Closed Cases Paid_7</w:t>
      </w:r>
    </w:p>
    <w:p w:rsidR="007579A6" w:rsidRDefault="007579A6" w:rsidP="005B2E8D">
      <w:pPr>
        <w:pStyle w:val="ListParagraph"/>
        <w:numPr>
          <w:ilvl w:val="0"/>
          <w:numId w:val="12"/>
        </w:numPr>
      </w:pPr>
      <w:r>
        <w:t>Logic – This report will show the financials broken out by the different buckets as in the previous report (Indemnity, Medical, Expense, IML) but for the closed claims population</w:t>
      </w:r>
    </w:p>
    <w:tbl>
      <w:tblPr>
        <w:tblW w:w="0" w:type="auto"/>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57"/>
        <w:gridCol w:w="4335"/>
      </w:tblGrid>
      <w:tr w:rsidR="00826571" w:rsidRPr="009624BC" w:rsidTr="00E14860">
        <w:tc>
          <w:tcPr>
            <w:tcW w:w="3657" w:type="dxa"/>
            <w:shd w:val="pct50" w:color="auto" w:fill="auto"/>
            <w:vAlign w:val="center"/>
          </w:tcPr>
          <w:p w:rsidR="00826571" w:rsidRPr="009624BC" w:rsidRDefault="00826571" w:rsidP="00E14860">
            <w:pPr>
              <w:pStyle w:val="Body"/>
              <w:jc w:val="center"/>
              <w:rPr>
                <w:b/>
                <w:color w:val="FFFFFF"/>
              </w:rPr>
            </w:pPr>
            <w:r w:rsidRPr="009624BC">
              <w:rPr>
                <w:b/>
                <w:color w:val="FFFFFF"/>
              </w:rPr>
              <w:t>Data_Field</w:t>
            </w:r>
          </w:p>
        </w:tc>
        <w:tc>
          <w:tcPr>
            <w:tcW w:w="4335" w:type="dxa"/>
            <w:shd w:val="pct50" w:color="auto" w:fill="auto"/>
            <w:vAlign w:val="center"/>
          </w:tcPr>
          <w:p w:rsidR="00826571" w:rsidRPr="009624BC" w:rsidRDefault="00826571" w:rsidP="00E14860">
            <w:pPr>
              <w:pStyle w:val="Body"/>
              <w:jc w:val="center"/>
              <w:rPr>
                <w:b/>
                <w:color w:val="FFFFFF"/>
              </w:rPr>
            </w:pPr>
            <w:r w:rsidRPr="009624BC">
              <w:rPr>
                <w:b/>
                <w:color w:val="FFFFFF"/>
              </w:rPr>
              <w:t>Description</w:t>
            </w:r>
          </w:p>
        </w:tc>
      </w:tr>
      <w:tr w:rsidR="00826571" w:rsidTr="00E14860">
        <w:tc>
          <w:tcPr>
            <w:tcW w:w="3657" w:type="dxa"/>
          </w:tcPr>
          <w:p w:rsidR="00826571" w:rsidRDefault="00826571" w:rsidP="00E14860">
            <w:pPr>
              <w:pStyle w:val="Body"/>
            </w:pPr>
            <w:r>
              <w:t>TPA Name</w:t>
            </w:r>
          </w:p>
        </w:tc>
        <w:tc>
          <w:tcPr>
            <w:tcW w:w="4335" w:type="dxa"/>
          </w:tcPr>
          <w:p w:rsidR="00826571" w:rsidRDefault="00826571" w:rsidP="00E14860">
            <w:pPr>
              <w:pStyle w:val="Body"/>
            </w:pPr>
            <w:r>
              <w:t>Name of TPA</w:t>
            </w:r>
          </w:p>
        </w:tc>
      </w:tr>
      <w:tr w:rsidR="00826571" w:rsidRPr="00815C74" w:rsidTr="00E14860">
        <w:tc>
          <w:tcPr>
            <w:tcW w:w="3657" w:type="dxa"/>
          </w:tcPr>
          <w:p w:rsidR="00826571" w:rsidRPr="00815C74" w:rsidRDefault="00826571" w:rsidP="00E14860">
            <w:pPr>
              <w:pStyle w:val="Body"/>
            </w:pPr>
            <w:r>
              <w:lastRenderedPageBreak/>
              <w:t>Line Of Business</w:t>
            </w:r>
          </w:p>
        </w:tc>
        <w:tc>
          <w:tcPr>
            <w:tcW w:w="4335" w:type="dxa"/>
          </w:tcPr>
          <w:p w:rsidR="00826571" w:rsidRPr="00815C74" w:rsidRDefault="00826571" w:rsidP="00E14860">
            <w:pPr>
              <w:pStyle w:val="Body"/>
            </w:pPr>
            <w:r>
              <w:t>Line of Business Code</w:t>
            </w:r>
          </w:p>
        </w:tc>
      </w:tr>
      <w:tr w:rsidR="00826571" w:rsidRPr="00815C74" w:rsidTr="00E14860">
        <w:tc>
          <w:tcPr>
            <w:tcW w:w="3657" w:type="dxa"/>
          </w:tcPr>
          <w:p w:rsidR="00826571" w:rsidRPr="00815C74" w:rsidRDefault="00826571" w:rsidP="00E14860">
            <w:pPr>
              <w:pStyle w:val="Body"/>
            </w:pPr>
            <w:r>
              <w:t>Major Class Description</w:t>
            </w:r>
          </w:p>
        </w:tc>
        <w:tc>
          <w:tcPr>
            <w:tcW w:w="4335" w:type="dxa"/>
          </w:tcPr>
          <w:p w:rsidR="00826571" w:rsidRPr="00815C74" w:rsidRDefault="00826571" w:rsidP="00E14860">
            <w:pPr>
              <w:pStyle w:val="Body"/>
            </w:pPr>
            <w:r>
              <w:t>Description of the MJC Code</w:t>
            </w:r>
          </w:p>
        </w:tc>
      </w:tr>
      <w:tr w:rsidR="00826571" w:rsidRPr="00C66793" w:rsidTr="00E14860">
        <w:tc>
          <w:tcPr>
            <w:tcW w:w="3657" w:type="dxa"/>
          </w:tcPr>
          <w:p w:rsidR="00826571" w:rsidRPr="00C66793" w:rsidRDefault="00826571" w:rsidP="00E14860">
            <w:pPr>
              <w:pStyle w:val="Body"/>
              <w:rPr>
                <w:highlight w:val="cyan"/>
              </w:rPr>
            </w:pPr>
            <w:r>
              <w:rPr>
                <w:highlight w:val="cyan"/>
              </w:rPr>
              <w:t>Ind Closed Paid</w:t>
            </w:r>
          </w:p>
        </w:tc>
        <w:tc>
          <w:tcPr>
            <w:tcW w:w="4335" w:type="dxa"/>
          </w:tcPr>
          <w:p w:rsidR="00826571" w:rsidRPr="00C66793" w:rsidRDefault="00826571" w:rsidP="00E14860">
            <w:pPr>
              <w:pStyle w:val="Body"/>
              <w:rPr>
                <w:highlight w:val="cyan"/>
              </w:rPr>
            </w:pPr>
            <w:r w:rsidRPr="00C66793">
              <w:rPr>
                <w:highlight w:val="cyan"/>
              </w:rPr>
              <w:t xml:space="preserve">This should appear on the top row of the report before the actual data is presented, this isn’t an actual column of the report (please see mockup). This </w:t>
            </w:r>
            <w:r>
              <w:rPr>
                <w:highlight w:val="cyan"/>
              </w:rPr>
              <w:t>will act as a header for the below 5 data fields for Indemnity payments.</w:t>
            </w:r>
          </w:p>
        </w:tc>
      </w:tr>
      <w:tr w:rsidR="00826571" w:rsidRPr="00815C74" w:rsidTr="00E14860">
        <w:tc>
          <w:tcPr>
            <w:tcW w:w="3657" w:type="dxa"/>
          </w:tcPr>
          <w:p w:rsidR="00826571" w:rsidRPr="00815C74" w:rsidRDefault="00826571" w:rsidP="00E14860">
            <w:pPr>
              <w:pStyle w:val="Body"/>
            </w:pPr>
            <w:r>
              <w:t xml:space="preserve">Year to Date </w:t>
            </w:r>
          </w:p>
        </w:tc>
        <w:tc>
          <w:tcPr>
            <w:tcW w:w="4335" w:type="dxa"/>
          </w:tcPr>
          <w:p w:rsidR="00826571" w:rsidRPr="00815C74" w:rsidRDefault="00826571" w:rsidP="00E14860">
            <w:pPr>
              <w:pStyle w:val="Body"/>
            </w:pPr>
            <w:r>
              <w:t>Sum of ALL Indemnity payments from closed claims that have a last closed date in January of current year to current month valuation</w:t>
            </w:r>
          </w:p>
        </w:tc>
      </w:tr>
      <w:tr w:rsidR="00826571" w:rsidTr="00E14860">
        <w:tc>
          <w:tcPr>
            <w:tcW w:w="3657" w:type="dxa"/>
          </w:tcPr>
          <w:p w:rsidR="00826571" w:rsidRPr="00815C74" w:rsidRDefault="00826571" w:rsidP="00E14860">
            <w:pPr>
              <w:pStyle w:val="Body"/>
            </w:pPr>
            <w:r>
              <w:t xml:space="preserve">Prior Year to Date </w:t>
            </w:r>
          </w:p>
        </w:tc>
        <w:tc>
          <w:tcPr>
            <w:tcW w:w="4335" w:type="dxa"/>
          </w:tcPr>
          <w:p w:rsidR="00826571" w:rsidRDefault="00826571" w:rsidP="00E14860">
            <w:pPr>
              <w:pStyle w:val="Body"/>
            </w:pPr>
            <w:r>
              <w:t>Same logic as above data field, just for previous year data</w:t>
            </w:r>
          </w:p>
        </w:tc>
      </w:tr>
      <w:tr w:rsidR="00826571" w:rsidTr="00E14860">
        <w:tc>
          <w:tcPr>
            <w:tcW w:w="3657" w:type="dxa"/>
          </w:tcPr>
          <w:p w:rsidR="00826571" w:rsidRPr="00815C74" w:rsidRDefault="00826571" w:rsidP="00E14860">
            <w:pPr>
              <w:pStyle w:val="Body"/>
            </w:pPr>
            <w:r>
              <w:t>Year to Date Change</w:t>
            </w:r>
          </w:p>
        </w:tc>
        <w:tc>
          <w:tcPr>
            <w:tcW w:w="4335" w:type="dxa"/>
          </w:tcPr>
          <w:p w:rsidR="00826571" w:rsidRDefault="00826571" w:rsidP="00E14860">
            <w:pPr>
              <w:pStyle w:val="Body"/>
            </w:pPr>
            <w:r>
              <w:t>(Year to Date – Prior Year to Date)</w:t>
            </w:r>
          </w:p>
        </w:tc>
      </w:tr>
      <w:tr w:rsidR="00826571" w:rsidTr="00E14860">
        <w:tc>
          <w:tcPr>
            <w:tcW w:w="3657" w:type="dxa"/>
          </w:tcPr>
          <w:p w:rsidR="00826571" w:rsidRDefault="00826571" w:rsidP="00E14860">
            <w:pPr>
              <w:pStyle w:val="Body"/>
            </w:pPr>
            <w:r>
              <w:t>Current Month</w:t>
            </w:r>
          </w:p>
        </w:tc>
        <w:tc>
          <w:tcPr>
            <w:tcW w:w="4335" w:type="dxa"/>
          </w:tcPr>
          <w:p w:rsidR="00826571" w:rsidRDefault="00826571" w:rsidP="00E14860">
            <w:pPr>
              <w:pStyle w:val="Body"/>
            </w:pPr>
            <w:r>
              <w:t>Sum of ALL Indemnity Payments for closed claims that have a last close date in the Current Month valuation</w:t>
            </w:r>
          </w:p>
        </w:tc>
      </w:tr>
      <w:tr w:rsidR="00826571" w:rsidTr="00E14860">
        <w:tc>
          <w:tcPr>
            <w:tcW w:w="3657" w:type="dxa"/>
          </w:tcPr>
          <w:p w:rsidR="00826571" w:rsidRDefault="00826571" w:rsidP="00E14860">
            <w:pPr>
              <w:pStyle w:val="Body"/>
            </w:pPr>
            <w:r>
              <w:t>Prior Year Current Month</w:t>
            </w:r>
          </w:p>
        </w:tc>
        <w:tc>
          <w:tcPr>
            <w:tcW w:w="4335" w:type="dxa"/>
          </w:tcPr>
          <w:p w:rsidR="00826571" w:rsidRDefault="00826571" w:rsidP="00E14860">
            <w:pPr>
              <w:pStyle w:val="Body"/>
            </w:pPr>
            <w:r>
              <w:t>This data fields is to use the same logic as above, just for the previous year timeframe</w:t>
            </w:r>
          </w:p>
        </w:tc>
      </w:tr>
      <w:tr w:rsidR="00826571" w:rsidRPr="00C66793" w:rsidTr="00E14860">
        <w:tc>
          <w:tcPr>
            <w:tcW w:w="3657" w:type="dxa"/>
          </w:tcPr>
          <w:p w:rsidR="00826571" w:rsidRPr="00C66793" w:rsidRDefault="00826571" w:rsidP="00E14860">
            <w:pPr>
              <w:pStyle w:val="Body"/>
              <w:rPr>
                <w:highlight w:val="cyan"/>
              </w:rPr>
            </w:pPr>
            <w:r>
              <w:rPr>
                <w:highlight w:val="cyan"/>
              </w:rPr>
              <w:t>Medical Closed Paid</w:t>
            </w:r>
          </w:p>
        </w:tc>
        <w:tc>
          <w:tcPr>
            <w:tcW w:w="4335" w:type="dxa"/>
          </w:tcPr>
          <w:p w:rsidR="00826571" w:rsidRPr="00C66793" w:rsidRDefault="00826571" w:rsidP="00E14860">
            <w:pPr>
              <w:pStyle w:val="Body"/>
              <w:rPr>
                <w:highlight w:val="cyan"/>
              </w:rPr>
            </w:pPr>
            <w:r w:rsidRPr="00C66793">
              <w:rPr>
                <w:highlight w:val="cyan"/>
              </w:rPr>
              <w:t xml:space="preserve">This should appear on the top row of the report before the actual data is presented, this isn’t an actual column of the report (please see mockup). This </w:t>
            </w:r>
            <w:r>
              <w:rPr>
                <w:highlight w:val="cyan"/>
              </w:rPr>
              <w:t>will act as a header for the below 5 data fields for Medical payments.</w:t>
            </w:r>
          </w:p>
        </w:tc>
      </w:tr>
      <w:tr w:rsidR="00826571" w:rsidRPr="00815C74" w:rsidTr="00E14860">
        <w:tc>
          <w:tcPr>
            <w:tcW w:w="3657" w:type="dxa"/>
          </w:tcPr>
          <w:p w:rsidR="00826571" w:rsidRPr="00815C74" w:rsidRDefault="00826571" w:rsidP="00E14860">
            <w:pPr>
              <w:pStyle w:val="Body"/>
            </w:pPr>
            <w:r>
              <w:t xml:space="preserve">Year to Date </w:t>
            </w:r>
          </w:p>
        </w:tc>
        <w:tc>
          <w:tcPr>
            <w:tcW w:w="4335" w:type="dxa"/>
          </w:tcPr>
          <w:p w:rsidR="00826571" w:rsidRPr="00815C74" w:rsidRDefault="00826571" w:rsidP="00E14860">
            <w:pPr>
              <w:pStyle w:val="Body"/>
            </w:pPr>
            <w:r>
              <w:t xml:space="preserve">Sum of ALL Medical payments </w:t>
            </w:r>
            <w:r w:rsidR="001279F4">
              <w:t xml:space="preserve">on closed claims with a last close date </w:t>
            </w:r>
            <w:r>
              <w:t>from January of current year to current month valuation</w:t>
            </w:r>
          </w:p>
        </w:tc>
      </w:tr>
      <w:tr w:rsidR="00826571" w:rsidTr="00E14860">
        <w:tc>
          <w:tcPr>
            <w:tcW w:w="3657" w:type="dxa"/>
          </w:tcPr>
          <w:p w:rsidR="00826571" w:rsidRPr="00815C74" w:rsidRDefault="00826571" w:rsidP="00E14860">
            <w:pPr>
              <w:pStyle w:val="Body"/>
            </w:pPr>
            <w:r>
              <w:t xml:space="preserve">Prior Year to Date </w:t>
            </w:r>
          </w:p>
        </w:tc>
        <w:tc>
          <w:tcPr>
            <w:tcW w:w="4335" w:type="dxa"/>
          </w:tcPr>
          <w:p w:rsidR="00826571" w:rsidRDefault="00826571" w:rsidP="00E14860">
            <w:pPr>
              <w:pStyle w:val="Body"/>
            </w:pPr>
            <w:r>
              <w:t>Same logic as above data field, just for previous year data</w:t>
            </w:r>
          </w:p>
        </w:tc>
      </w:tr>
      <w:tr w:rsidR="00826571" w:rsidTr="00E14860">
        <w:tc>
          <w:tcPr>
            <w:tcW w:w="3657" w:type="dxa"/>
          </w:tcPr>
          <w:p w:rsidR="00826571" w:rsidRPr="00815C74" w:rsidRDefault="00826571" w:rsidP="00E14860">
            <w:pPr>
              <w:pStyle w:val="Body"/>
            </w:pPr>
            <w:r>
              <w:t>Year to Date Change</w:t>
            </w:r>
          </w:p>
        </w:tc>
        <w:tc>
          <w:tcPr>
            <w:tcW w:w="4335" w:type="dxa"/>
          </w:tcPr>
          <w:p w:rsidR="00826571" w:rsidRDefault="00826571" w:rsidP="00E14860">
            <w:pPr>
              <w:pStyle w:val="Body"/>
            </w:pPr>
            <w:r>
              <w:t>(Year to Date – Prior Year to Date)</w:t>
            </w:r>
          </w:p>
        </w:tc>
      </w:tr>
      <w:tr w:rsidR="00826571" w:rsidTr="00E14860">
        <w:tc>
          <w:tcPr>
            <w:tcW w:w="3657" w:type="dxa"/>
          </w:tcPr>
          <w:p w:rsidR="00826571" w:rsidRDefault="00826571" w:rsidP="00E14860">
            <w:pPr>
              <w:pStyle w:val="Body"/>
            </w:pPr>
            <w:r>
              <w:t>Current Month</w:t>
            </w:r>
          </w:p>
        </w:tc>
        <w:tc>
          <w:tcPr>
            <w:tcW w:w="4335" w:type="dxa"/>
          </w:tcPr>
          <w:p w:rsidR="00826571" w:rsidRDefault="00826571" w:rsidP="00E14860">
            <w:pPr>
              <w:pStyle w:val="Body"/>
            </w:pPr>
            <w:r>
              <w:t xml:space="preserve">Sum of ALL Medical Payments </w:t>
            </w:r>
            <w:r w:rsidR="001279F4">
              <w:t xml:space="preserve">on closed claims with a last close date </w:t>
            </w:r>
            <w:r>
              <w:t>in the Current Month valuation</w:t>
            </w:r>
          </w:p>
        </w:tc>
      </w:tr>
      <w:tr w:rsidR="00826571" w:rsidTr="00E14860">
        <w:tc>
          <w:tcPr>
            <w:tcW w:w="3657" w:type="dxa"/>
          </w:tcPr>
          <w:p w:rsidR="00826571" w:rsidRDefault="00826571" w:rsidP="00E14860">
            <w:pPr>
              <w:pStyle w:val="Body"/>
            </w:pPr>
            <w:r>
              <w:t>Prior Year Current Month</w:t>
            </w:r>
          </w:p>
        </w:tc>
        <w:tc>
          <w:tcPr>
            <w:tcW w:w="4335" w:type="dxa"/>
          </w:tcPr>
          <w:p w:rsidR="00826571" w:rsidRDefault="00826571" w:rsidP="00E14860">
            <w:pPr>
              <w:pStyle w:val="Body"/>
            </w:pPr>
            <w:r>
              <w:t>This data fields is to use the same logic as above, just for the previous year timeframe</w:t>
            </w:r>
          </w:p>
        </w:tc>
      </w:tr>
      <w:tr w:rsidR="00826571" w:rsidRPr="00C66793" w:rsidTr="00E14860">
        <w:tc>
          <w:tcPr>
            <w:tcW w:w="3657" w:type="dxa"/>
          </w:tcPr>
          <w:p w:rsidR="00826571" w:rsidRPr="00C66793" w:rsidRDefault="00826571" w:rsidP="00E14860">
            <w:pPr>
              <w:pStyle w:val="Body"/>
              <w:rPr>
                <w:highlight w:val="cyan"/>
              </w:rPr>
            </w:pPr>
            <w:r>
              <w:rPr>
                <w:highlight w:val="cyan"/>
              </w:rPr>
              <w:t xml:space="preserve">Expense </w:t>
            </w:r>
            <w:r w:rsidR="001279F4">
              <w:rPr>
                <w:highlight w:val="cyan"/>
              </w:rPr>
              <w:t xml:space="preserve">Closed </w:t>
            </w:r>
            <w:r>
              <w:rPr>
                <w:highlight w:val="cyan"/>
              </w:rPr>
              <w:t>Paid</w:t>
            </w:r>
          </w:p>
        </w:tc>
        <w:tc>
          <w:tcPr>
            <w:tcW w:w="4335" w:type="dxa"/>
          </w:tcPr>
          <w:p w:rsidR="00826571" w:rsidRPr="00C66793" w:rsidRDefault="00826571" w:rsidP="00E14860">
            <w:pPr>
              <w:pStyle w:val="Body"/>
              <w:rPr>
                <w:highlight w:val="cyan"/>
              </w:rPr>
            </w:pPr>
            <w:r w:rsidRPr="00C66793">
              <w:rPr>
                <w:highlight w:val="cyan"/>
              </w:rPr>
              <w:t xml:space="preserve">This should appear on the top row of the report before the actual data is presented, this isn’t an actual column of the report (please see mockup). This </w:t>
            </w:r>
            <w:r>
              <w:rPr>
                <w:highlight w:val="cyan"/>
              </w:rPr>
              <w:t>will act as a header for the below 5 data fields for Expense Payments</w:t>
            </w:r>
          </w:p>
        </w:tc>
      </w:tr>
      <w:tr w:rsidR="00826571" w:rsidRPr="00815C74" w:rsidTr="00E14860">
        <w:tc>
          <w:tcPr>
            <w:tcW w:w="3657" w:type="dxa"/>
          </w:tcPr>
          <w:p w:rsidR="00826571" w:rsidRPr="00815C74" w:rsidRDefault="00826571" w:rsidP="00E14860">
            <w:pPr>
              <w:pStyle w:val="Body"/>
            </w:pPr>
            <w:r>
              <w:lastRenderedPageBreak/>
              <w:t xml:space="preserve">Year to Date </w:t>
            </w:r>
          </w:p>
        </w:tc>
        <w:tc>
          <w:tcPr>
            <w:tcW w:w="4335" w:type="dxa"/>
          </w:tcPr>
          <w:p w:rsidR="00826571" w:rsidRPr="00815C74" w:rsidRDefault="00826571" w:rsidP="00E14860">
            <w:pPr>
              <w:pStyle w:val="Body"/>
            </w:pPr>
            <w:r>
              <w:t xml:space="preserve">Sum of ALL Expense payments </w:t>
            </w:r>
            <w:r w:rsidR="001279F4">
              <w:t xml:space="preserve">on closed claims with a last close date </w:t>
            </w:r>
            <w:r>
              <w:t>from January of current year to current month valuation</w:t>
            </w:r>
          </w:p>
        </w:tc>
      </w:tr>
      <w:tr w:rsidR="00826571" w:rsidTr="00E14860">
        <w:tc>
          <w:tcPr>
            <w:tcW w:w="3657" w:type="dxa"/>
          </w:tcPr>
          <w:p w:rsidR="00826571" w:rsidRPr="00815C74" w:rsidRDefault="00826571" w:rsidP="00E14860">
            <w:pPr>
              <w:pStyle w:val="Body"/>
            </w:pPr>
            <w:r>
              <w:t xml:space="preserve">Prior Year to Date </w:t>
            </w:r>
          </w:p>
        </w:tc>
        <w:tc>
          <w:tcPr>
            <w:tcW w:w="4335" w:type="dxa"/>
          </w:tcPr>
          <w:p w:rsidR="00826571" w:rsidRDefault="00826571" w:rsidP="00E14860">
            <w:pPr>
              <w:pStyle w:val="Body"/>
            </w:pPr>
            <w:r>
              <w:t>Same logic as above data field, just for previous year data</w:t>
            </w:r>
          </w:p>
        </w:tc>
      </w:tr>
      <w:tr w:rsidR="00826571" w:rsidTr="00E14860">
        <w:tc>
          <w:tcPr>
            <w:tcW w:w="3657" w:type="dxa"/>
          </w:tcPr>
          <w:p w:rsidR="00826571" w:rsidRPr="00815C74" w:rsidRDefault="00826571" w:rsidP="00E14860">
            <w:pPr>
              <w:pStyle w:val="Body"/>
            </w:pPr>
            <w:r>
              <w:t>Year to Date Change</w:t>
            </w:r>
          </w:p>
        </w:tc>
        <w:tc>
          <w:tcPr>
            <w:tcW w:w="4335" w:type="dxa"/>
          </w:tcPr>
          <w:p w:rsidR="00826571" w:rsidRDefault="00826571" w:rsidP="00E14860">
            <w:pPr>
              <w:pStyle w:val="Body"/>
            </w:pPr>
            <w:r>
              <w:t>(Year to Date – Prior Year to Date)</w:t>
            </w:r>
          </w:p>
        </w:tc>
      </w:tr>
      <w:tr w:rsidR="00826571" w:rsidTr="00E14860">
        <w:tc>
          <w:tcPr>
            <w:tcW w:w="3657" w:type="dxa"/>
          </w:tcPr>
          <w:p w:rsidR="00826571" w:rsidRDefault="00826571" w:rsidP="00E14860">
            <w:pPr>
              <w:pStyle w:val="Body"/>
            </w:pPr>
            <w:r>
              <w:t>Current Month</w:t>
            </w:r>
          </w:p>
        </w:tc>
        <w:tc>
          <w:tcPr>
            <w:tcW w:w="4335" w:type="dxa"/>
          </w:tcPr>
          <w:p w:rsidR="00826571" w:rsidRDefault="00826571" w:rsidP="00E14860">
            <w:pPr>
              <w:pStyle w:val="Body"/>
            </w:pPr>
            <w:r>
              <w:t xml:space="preserve">Sum of ALL Expense Payments </w:t>
            </w:r>
            <w:r w:rsidR="001279F4">
              <w:t xml:space="preserve">on closed claims with a last close date </w:t>
            </w:r>
            <w:r>
              <w:t>in the Current Month valuation</w:t>
            </w:r>
          </w:p>
        </w:tc>
      </w:tr>
      <w:tr w:rsidR="00826571" w:rsidTr="00E14860">
        <w:tc>
          <w:tcPr>
            <w:tcW w:w="3657" w:type="dxa"/>
          </w:tcPr>
          <w:p w:rsidR="00826571" w:rsidRDefault="00826571" w:rsidP="00E14860">
            <w:pPr>
              <w:pStyle w:val="Body"/>
            </w:pPr>
            <w:r>
              <w:t>Prior Year Current Month</w:t>
            </w:r>
          </w:p>
        </w:tc>
        <w:tc>
          <w:tcPr>
            <w:tcW w:w="4335" w:type="dxa"/>
          </w:tcPr>
          <w:p w:rsidR="00826571" w:rsidRDefault="00826571" w:rsidP="00E14860">
            <w:pPr>
              <w:pStyle w:val="Body"/>
            </w:pPr>
            <w:r>
              <w:t>This data fields is to use the same logic as above, just for the previous year timeframe</w:t>
            </w:r>
          </w:p>
        </w:tc>
      </w:tr>
      <w:tr w:rsidR="00826571" w:rsidRPr="00C66793" w:rsidTr="00E14860">
        <w:tc>
          <w:tcPr>
            <w:tcW w:w="3657" w:type="dxa"/>
          </w:tcPr>
          <w:p w:rsidR="00826571" w:rsidRPr="00C66793" w:rsidRDefault="00826571" w:rsidP="00E14860">
            <w:pPr>
              <w:pStyle w:val="Body"/>
              <w:rPr>
                <w:highlight w:val="cyan"/>
              </w:rPr>
            </w:pPr>
            <w:r>
              <w:rPr>
                <w:highlight w:val="cyan"/>
              </w:rPr>
              <w:t>IML Paid</w:t>
            </w:r>
          </w:p>
        </w:tc>
        <w:tc>
          <w:tcPr>
            <w:tcW w:w="4335" w:type="dxa"/>
          </w:tcPr>
          <w:p w:rsidR="00826571" w:rsidRPr="00C66793" w:rsidRDefault="00826571" w:rsidP="00E14860">
            <w:pPr>
              <w:pStyle w:val="Body"/>
              <w:rPr>
                <w:highlight w:val="cyan"/>
              </w:rPr>
            </w:pPr>
            <w:r w:rsidRPr="00C66793">
              <w:rPr>
                <w:highlight w:val="cyan"/>
              </w:rPr>
              <w:t xml:space="preserve">This should appear on the top row of the report before the actual data is presented, this isn’t an actual column of the report (please see mockup). This </w:t>
            </w:r>
            <w:r>
              <w:rPr>
                <w:highlight w:val="cyan"/>
              </w:rPr>
              <w:t>will act as a header for the below 5 data fields for all indemnity, medical, and expense payments</w:t>
            </w:r>
          </w:p>
        </w:tc>
      </w:tr>
      <w:tr w:rsidR="00826571" w:rsidRPr="00815C74" w:rsidTr="00E14860">
        <w:tc>
          <w:tcPr>
            <w:tcW w:w="3657" w:type="dxa"/>
          </w:tcPr>
          <w:p w:rsidR="00826571" w:rsidRPr="00815C74" w:rsidRDefault="00826571" w:rsidP="00E14860">
            <w:pPr>
              <w:pStyle w:val="Body"/>
            </w:pPr>
            <w:r>
              <w:t xml:space="preserve">Year to Date </w:t>
            </w:r>
          </w:p>
        </w:tc>
        <w:tc>
          <w:tcPr>
            <w:tcW w:w="4335" w:type="dxa"/>
          </w:tcPr>
          <w:p w:rsidR="00826571" w:rsidRPr="00815C74" w:rsidRDefault="00826571" w:rsidP="00E14860">
            <w:pPr>
              <w:pStyle w:val="Body"/>
            </w:pPr>
            <w:r>
              <w:t xml:space="preserve">Sum of ALL Indemnity, Medical, and expense payments </w:t>
            </w:r>
            <w:r w:rsidR="001279F4">
              <w:t xml:space="preserve">on closed claims with a last close date </w:t>
            </w:r>
            <w:r>
              <w:t>from January of current year to current month valuation</w:t>
            </w:r>
          </w:p>
        </w:tc>
      </w:tr>
      <w:tr w:rsidR="00826571" w:rsidTr="00E14860">
        <w:tc>
          <w:tcPr>
            <w:tcW w:w="3657" w:type="dxa"/>
          </w:tcPr>
          <w:p w:rsidR="00826571" w:rsidRPr="00815C74" w:rsidRDefault="00826571" w:rsidP="00E14860">
            <w:pPr>
              <w:pStyle w:val="Body"/>
            </w:pPr>
            <w:r>
              <w:t xml:space="preserve">Prior Year to Date </w:t>
            </w:r>
          </w:p>
        </w:tc>
        <w:tc>
          <w:tcPr>
            <w:tcW w:w="4335" w:type="dxa"/>
          </w:tcPr>
          <w:p w:rsidR="00826571" w:rsidRDefault="00826571" w:rsidP="00E14860">
            <w:pPr>
              <w:pStyle w:val="Body"/>
            </w:pPr>
            <w:r>
              <w:t>Same logic as above data field, just for previous year data</w:t>
            </w:r>
          </w:p>
        </w:tc>
      </w:tr>
      <w:tr w:rsidR="00826571" w:rsidTr="00E14860">
        <w:tc>
          <w:tcPr>
            <w:tcW w:w="3657" w:type="dxa"/>
          </w:tcPr>
          <w:p w:rsidR="00826571" w:rsidRPr="00815C74" w:rsidRDefault="00826571" w:rsidP="00E14860">
            <w:pPr>
              <w:pStyle w:val="Body"/>
            </w:pPr>
            <w:r>
              <w:t>Year to Date Change</w:t>
            </w:r>
          </w:p>
        </w:tc>
        <w:tc>
          <w:tcPr>
            <w:tcW w:w="4335" w:type="dxa"/>
          </w:tcPr>
          <w:p w:rsidR="00826571" w:rsidRDefault="00826571" w:rsidP="00E14860">
            <w:pPr>
              <w:pStyle w:val="Body"/>
            </w:pPr>
            <w:r>
              <w:t>(Year to Date – Prior Year to Date)</w:t>
            </w:r>
          </w:p>
        </w:tc>
      </w:tr>
      <w:tr w:rsidR="00826571" w:rsidTr="00E14860">
        <w:tc>
          <w:tcPr>
            <w:tcW w:w="3657" w:type="dxa"/>
          </w:tcPr>
          <w:p w:rsidR="00826571" w:rsidRDefault="00826571" w:rsidP="00E14860">
            <w:pPr>
              <w:pStyle w:val="Body"/>
            </w:pPr>
            <w:r>
              <w:t>Current Month</w:t>
            </w:r>
          </w:p>
        </w:tc>
        <w:tc>
          <w:tcPr>
            <w:tcW w:w="4335" w:type="dxa"/>
          </w:tcPr>
          <w:p w:rsidR="00826571" w:rsidRDefault="00826571" w:rsidP="00E14860">
            <w:pPr>
              <w:pStyle w:val="Body"/>
            </w:pPr>
            <w:r>
              <w:t xml:space="preserve">Sum of ALL indemnity, medical, and Expense Payments </w:t>
            </w:r>
            <w:r w:rsidR="001279F4">
              <w:t xml:space="preserve">on closed claims with a last close date </w:t>
            </w:r>
            <w:r>
              <w:t>in the Current Month valuation</w:t>
            </w:r>
          </w:p>
        </w:tc>
      </w:tr>
      <w:tr w:rsidR="00826571" w:rsidTr="00E14860">
        <w:tc>
          <w:tcPr>
            <w:tcW w:w="3657" w:type="dxa"/>
          </w:tcPr>
          <w:p w:rsidR="00826571" w:rsidRDefault="00826571" w:rsidP="00E14860">
            <w:pPr>
              <w:pStyle w:val="Body"/>
            </w:pPr>
            <w:r>
              <w:t>Prior Year Current Month</w:t>
            </w:r>
          </w:p>
        </w:tc>
        <w:tc>
          <w:tcPr>
            <w:tcW w:w="4335" w:type="dxa"/>
          </w:tcPr>
          <w:p w:rsidR="00826571" w:rsidRDefault="00826571" w:rsidP="00E14860">
            <w:pPr>
              <w:pStyle w:val="Body"/>
            </w:pPr>
            <w:r>
              <w:t>This data fields is to use the same logic as above, just for the previous year timeframe</w:t>
            </w:r>
          </w:p>
        </w:tc>
      </w:tr>
      <w:tr w:rsidR="0087539D" w:rsidTr="00E14860">
        <w:tc>
          <w:tcPr>
            <w:tcW w:w="3657" w:type="dxa"/>
          </w:tcPr>
          <w:p w:rsidR="0087539D" w:rsidRDefault="0087539D" w:rsidP="00A02775">
            <w:pPr>
              <w:pStyle w:val="Body"/>
            </w:pPr>
            <w:r>
              <w:t>Grand Total</w:t>
            </w:r>
          </w:p>
        </w:tc>
        <w:tc>
          <w:tcPr>
            <w:tcW w:w="4335" w:type="dxa"/>
          </w:tcPr>
          <w:p w:rsidR="0087539D" w:rsidRDefault="0087539D" w:rsidP="00A02775">
            <w:pPr>
              <w:pStyle w:val="Body"/>
            </w:pPr>
            <w:r>
              <w:t xml:space="preserve">Total of the above columns added up </w:t>
            </w:r>
          </w:p>
        </w:tc>
      </w:tr>
    </w:tbl>
    <w:p w:rsidR="00826571" w:rsidRDefault="00826571" w:rsidP="001279F4">
      <w:pPr>
        <w:ind w:left="0"/>
      </w:pPr>
    </w:p>
    <w:p w:rsidR="001279F4" w:rsidRPr="0087539D" w:rsidRDefault="001279F4" w:rsidP="005B2E8D">
      <w:pPr>
        <w:pStyle w:val="ListParagraph"/>
        <w:numPr>
          <w:ilvl w:val="0"/>
          <w:numId w:val="13"/>
        </w:numPr>
        <w:rPr>
          <w:b/>
        </w:rPr>
      </w:pPr>
      <w:r w:rsidRPr="0087539D">
        <w:rPr>
          <w:b/>
        </w:rPr>
        <w:t>Closed Cases Average Paid_8</w:t>
      </w:r>
    </w:p>
    <w:p w:rsidR="001279F4" w:rsidRDefault="001279F4" w:rsidP="005B2E8D">
      <w:pPr>
        <w:pStyle w:val="ListParagraph"/>
        <w:numPr>
          <w:ilvl w:val="0"/>
          <w:numId w:val="13"/>
        </w:numPr>
      </w:pPr>
      <w:r>
        <w:t xml:space="preserve">Logic </w:t>
      </w:r>
      <w:r w:rsidR="00E14860">
        <w:t>–</w:t>
      </w:r>
      <w:r>
        <w:t xml:space="preserve"> </w:t>
      </w:r>
      <w:r w:rsidR="00E14860">
        <w:t>This report will show the average financials for the closed claims</w:t>
      </w:r>
      <w:r w:rsidR="00F211D7">
        <w:t>. The formula to determine the average paid is as follows: (total paid/total closed claims with paid amounts)</w:t>
      </w:r>
    </w:p>
    <w:tbl>
      <w:tblPr>
        <w:tblW w:w="0" w:type="auto"/>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57"/>
        <w:gridCol w:w="4335"/>
      </w:tblGrid>
      <w:tr w:rsidR="00F211D7" w:rsidRPr="009624BC" w:rsidTr="00D81549">
        <w:tc>
          <w:tcPr>
            <w:tcW w:w="3657" w:type="dxa"/>
            <w:shd w:val="pct50" w:color="auto" w:fill="auto"/>
            <w:vAlign w:val="center"/>
          </w:tcPr>
          <w:p w:rsidR="00F211D7" w:rsidRPr="009624BC" w:rsidRDefault="00F211D7" w:rsidP="00D81549">
            <w:pPr>
              <w:pStyle w:val="Body"/>
              <w:jc w:val="center"/>
              <w:rPr>
                <w:b/>
                <w:color w:val="FFFFFF"/>
              </w:rPr>
            </w:pPr>
            <w:r w:rsidRPr="009624BC">
              <w:rPr>
                <w:b/>
                <w:color w:val="FFFFFF"/>
              </w:rPr>
              <w:t>Data_Field</w:t>
            </w:r>
          </w:p>
        </w:tc>
        <w:tc>
          <w:tcPr>
            <w:tcW w:w="4335" w:type="dxa"/>
            <w:shd w:val="pct50" w:color="auto" w:fill="auto"/>
            <w:vAlign w:val="center"/>
          </w:tcPr>
          <w:p w:rsidR="00F211D7" w:rsidRPr="009624BC" w:rsidRDefault="00F211D7" w:rsidP="00D81549">
            <w:pPr>
              <w:pStyle w:val="Body"/>
              <w:jc w:val="center"/>
              <w:rPr>
                <w:b/>
                <w:color w:val="FFFFFF"/>
              </w:rPr>
            </w:pPr>
            <w:r w:rsidRPr="009624BC">
              <w:rPr>
                <w:b/>
                <w:color w:val="FFFFFF"/>
              </w:rPr>
              <w:t>Description</w:t>
            </w:r>
          </w:p>
        </w:tc>
      </w:tr>
      <w:tr w:rsidR="00F211D7" w:rsidTr="00D81549">
        <w:tc>
          <w:tcPr>
            <w:tcW w:w="3657" w:type="dxa"/>
          </w:tcPr>
          <w:p w:rsidR="00F211D7" w:rsidRDefault="00F211D7" w:rsidP="00D81549">
            <w:pPr>
              <w:pStyle w:val="Body"/>
            </w:pPr>
            <w:r>
              <w:t>TPA Name</w:t>
            </w:r>
          </w:p>
        </w:tc>
        <w:tc>
          <w:tcPr>
            <w:tcW w:w="4335" w:type="dxa"/>
          </w:tcPr>
          <w:p w:rsidR="00F211D7" w:rsidRDefault="00F211D7" w:rsidP="00D81549">
            <w:pPr>
              <w:pStyle w:val="Body"/>
            </w:pPr>
            <w:r>
              <w:t>Name of TPA</w:t>
            </w:r>
          </w:p>
        </w:tc>
      </w:tr>
      <w:tr w:rsidR="00F211D7" w:rsidRPr="00815C74" w:rsidTr="00D81549">
        <w:tc>
          <w:tcPr>
            <w:tcW w:w="3657" w:type="dxa"/>
          </w:tcPr>
          <w:p w:rsidR="00F211D7" w:rsidRPr="00815C74" w:rsidRDefault="00F211D7" w:rsidP="00D81549">
            <w:pPr>
              <w:pStyle w:val="Body"/>
            </w:pPr>
            <w:r>
              <w:t>Line Of Business</w:t>
            </w:r>
          </w:p>
        </w:tc>
        <w:tc>
          <w:tcPr>
            <w:tcW w:w="4335" w:type="dxa"/>
          </w:tcPr>
          <w:p w:rsidR="00F211D7" w:rsidRPr="00815C74" w:rsidRDefault="00F211D7" w:rsidP="00D81549">
            <w:pPr>
              <w:pStyle w:val="Body"/>
            </w:pPr>
            <w:r>
              <w:t>Line of Business Code</w:t>
            </w:r>
          </w:p>
        </w:tc>
      </w:tr>
      <w:tr w:rsidR="00F211D7" w:rsidRPr="00815C74" w:rsidTr="00D81549">
        <w:tc>
          <w:tcPr>
            <w:tcW w:w="3657" w:type="dxa"/>
          </w:tcPr>
          <w:p w:rsidR="00F211D7" w:rsidRPr="00815C74" w:rsidRDefault="00F211D7" w:rsidP="00D81549">
            <w:pPr>
              <w:pStyle w:val="Body"/>
            </w:pPr>
            <w:r>
              <w:lastRenderedPageBreak/>
              <w:t>Major Class Description</w:t>
            </w:r>
          </w:p>
        </w:tc>
        <w:tc>
          <w:tcPr>
            <w:tcW w:w="4335" w:type="dxa"/>
          </w:tcPr>
          <w:p w:rsidR="00F211D7" w:rsidRPr="00815C74" w:rsidRDefault="00F211D7" w:rsidP="00D81549">
            <w:pPr>
              <w:pStyle w:val="Body"/>
            </w:pPr>
            <w:r>
              <w:t>Description of the MJC Code</w:t>
            </w:r>
          </w:p>
        </w:tc>
      </w:tr>
      <w:tr w:rsidR="00F211D7" w:rsidRPr="00C66793" w:rsidTr="00D81549">
        <w:tc>
          <w:tcPr>
            <w:tcW w:w="3657" w:type="dxa"/>
          </w:tcPr>
          <w:p w:rsidR="00F211D7" w:rsidRPr="00C66793" w:rsidRDefault="00F211D7" w:rsidP="00D81549">
            <w:pPr>
              <w:pStyle w:val="Body"/>
              <w:rPr>
                <w:highlight w:val="cyan"/>
              </w:rPr>
            </w:pPr>
            <w:r>
              <w:rPr>
                <w:highlight w:val="cyan"/>
              </w:rPr>
              <w:t>Ind Closed Average Paid</w:t>
            </w:r>
          </w:p>
        </w:tc>
        <w:tc>
          <w:tcPr>
            <w:tcW w:w="4335" w:type="dxa"/>
          </w:tcPr>
          <w:p w:rsidR="00F211D7" w:rsidRPr="00C66793" w:rsidRDefault="00F211D7" w:rsidP="00D81549">
            <w:pPr>
              <w:pStyle w:val="Body"/>
              <w:rPr>
                <w:highlight w:val="cyan"/>
              </w:rPr>
            </w:pPr>
            <w:r w:rsidRPr="00C66793">
              <w:rPr>
                <w:highlight w:val="cyan"/>
              </w:rPr>
              <w:t xml:space="preserve">This should appear on the top row of the report before the actual data is presented, this isn’t an actual column of the report (please see mockup). This </w:t>
            </w:r>
            <w:r>
              <w:rPr>
                <w:highlight w:val="cyan"/>
              </w:rPr>
              <w:t>will act as a header for the below 5 data fields for Indemnity payments.</w:t>
            </w:r>
          </w:p>
        </w:tc>
      </w:tr>
      <w:tr w:rsidR="00F211D7" w:rsidRPr="00815C74" w:rsidTr="00D81549">
        <w:tc>
          <w:tcPr>
            <w:tcW w:w="3657" w:type="dxa"/>
          </w:tcPr>
          <w:p w:rsidR="00F211D7" w:rsidRPr="00815C74" w:rsidRDefault="00F211D7" w:rsidP="00D81549">
            <w:pPr>
              <w:pStyle w:val="Body"/>
            </w:pPr>
            <w:r>
              <w:t xml:space="preserve">Year to Date </w:t>
            </w:r>
          </w:p>
        </w:tc>
        <w:tc>
          <w:tcPr>
            <w:tcW w:w="4335" w:type="dxa"/>
          </w:tcPr>
          <w:p w:rsidR="00F211D7" w:rsidRPr="00815C74" w:rsidRDefault="00CC6717" w:rsidP="00D81549">
            <w:pPr>
              <w:pStyle w:val="Body"/>
            </w:pPr>
            <w:r>
              <w:t>Average Indemnity Paid for closed claims with a last close date from January valuation of current year to current monthly valuation</w:t>
            </w:r>
          </w:p>
        </w:tc>
      </w:tr>
      <w:tr w:rsidR="00F211D7" w:rsidTr="00D81549">
        <w:tc>
          <w:tcPr>
            <w:tcW w:w="3657" w:type="dxa"/>
          </w:tcPr>
          <w:p w:rsidR="00F211D7" w:rsidRPr="00815C74" w:rsidRDefault="00F211D7" w:rsidP="00D81549">
            <w:pPr>
              <w:pStyle w:val="Body"/>
            </w:pPr>
            <w:r>
              <w:t xml:space="preserve">Prior Year to Date </w:t>
            </w:r>
          </w:p>
        </w:tc>
        <w:tc>
          <w:tcPr>
            <w:tcW w:w="4335" w:type="dxa"/>
          </w:tcPr>
          <w:p w:rsidR="00F211D7" w:rsidRDefault="00F211D7" w:rsidP="00D81549">
            <w:pPr>
              <w:pStyle w:val="Body"/>
            </w:pPr>
            <w:r>
              <w:t>Same logic as above data field, just for previous year data</w:t>
            </w:r>
          </w:p>
        </w:tc>
      </w:tr>
      <w:tr w:rsidR="00F211D7" w:rsidTr="00D81549">
        <w:tc>
          <w:tcPr>
            <w:tcW w:w="3657" w:type="dxa"/>
          </w:tcPr>
          <w:p w:rsidR="00F211D7" w:rsidRPr="00815C74" w:rsidRDefault="00F211D7" w:rsidP="00D81549">
            <w:pPr>
              <w:pStyle w:val="Body"/>
            </w:pPr>
            <w:r>
              <w:t>Year to Date Change</w:t>
            </w:r>
          </w:p>
        </w:tc>
        <w:tc>
          <w:tcPr>
            <w:tcW w:w="4335" w:type="dxa"/>
          </w:tcPr>
          <w:p w:rsidR="00F211D7" w:rsidRDefault="00F211D7" w:rsidP="00D81549">
            <w:pPr>
              <w:pStyle w:val="Body"/>
            </w:pPr>
            <w:r>
              <w:t>(Year to Date – Prior Year to Date)</w:t>
            </w:r>
          </w:p>
        </w:tc>
      </w:tr>
      <w:tr w:rsidR="00F211D7" w:rsidTr="00D81549">
        <w:tc>
          <w:tcPr>
            <w:tcW w:w="3657" w:type="dxa"/>
          </w:tcPr>
          <w:p w:rsidR="00F211D7" w:rsidRDefault="00F211D7" w:rsidP="00D81549">
            <w:pPr>
              <w:pStyle w:val="Body"/>
            </w:pPr>
            <w:r>
              <w:t>Current Month</w:t>
            </w:r>
          </w:p>
        </w:tc>
        <w:tc>
          <w:tcPr>
            <w:tcW w:w="4335" w:type="dxa"/>
          </w:tcPr>
          <w:p w:rsidR="00F211D7" w:rsidRDefault="00AE2B19" w:rsidP="00AE2B19">
            <w:pPr>
              <w:pStyle w:val="Body"/>
            </w:pPr>
            <w:r>
              <w:t xml:space="preserve">Average </w:t>
            </w:r>
            <w:r w:rsidR="00F211D7">
              <w:t xml:space="preserve">Indemnity Payments </w:t>
            </w:r>
            <w:r w:rsidR="007A3044">
              <w:t xml:space="preserve">on closed claims </w:t>
            </w:r>
            <w:r w:rsidR="00F211D7">
              <w:t>in the Current Month valuation</w:t>
            </w:r>
          </w:p>
        </w:tc>
      </w:tr>
      <w:tr w:rsidR="00F211D7" w:rsidTr="00D81549">
        <w:tc>
          <w:tcPr>
            <w:tcW w:w="3657" w:type="dxa"/>
          </w:tcPr>
          <w:p w:rsidR="00F211D7" w:rsidRDefault="00F211D7" w:rsidP="00D81549">
            <w:pPr>
              <w:pStyle w:val="Body"/>
            </w:pPr>
            <w:r>
              <w:t>Prior Year Current Month</w:t>
            </w:r>
          </w:p>
        </w:tc>
        <w:tc>
          <w:tcPr>
            <w:tcW w:w="4335" w:type="dxa"/>
          </w:tcPr>
          <w:p w:rsidR="00F211D7" w:rsidRDefault="00F211D7" w:rsidP="00D81549">
            <w:pPr>
              <w:pStyle w:val="Body"/>
            </w:pPr>
            <w:r>
              <w:t>This data fields is to use the same logic as above, just for the previous year timeframe</w:t>
            </w:r>
          </w:p>
        </w:tc>
      </w:tr>
      <w:tr w:rsidR="00F211D7" w:rsidRPr="00C66793" w:rsidTr="00D81549">
        <w:tc>
          <w:tcPr>
            <w:tcW w:w="3657" w:type="dxa"/>
          </w:tcPr>
          <w:p w:rsidR="00F211D7" w:rsidRPr="00C66793" w:rsidRDefault="007A3044" w:rsidP="00D81549">
            <w:pPr>
              <w:pStyle w:val="Body"/>
              <w:rPr>
                <w:highlight w:val="cyan"/>
              </w:rPr>
            </w:pPr>
            <w:r>
              <w:rPr>
                <w:highlight w:val="cyan"/>
              </w:rPr>
              <w:t xml:space="preserve">Average Closed </w:t>
            </w:r>
            <w:r w:rsidR="00F211D7">
              <w:rPr>
                <w:highlight w:val="cyan"/>
              </w:rPr>
              <w:t>Medical Paid</w:t>
            </w:r>
          </w:p>
        </w:tc>
        <w:tc>
          <w:tcPr>
            <w:tcW w:w="4335" w:type="dxa"/>
          </w:tcPr>
          <w:p w:rsidR="00F211D7" w:rsidRPr="00C66793" w:rsidRDefault="00F211D7" w:rsidP="00D81549">
            <w:pPr>
              <w:pStyle w:val="Body"/>
              <w:rPr>
                <w:highlight w:val="cyan"/>
              </w:rPr>
            </w:pPr>
            <w:r w:rsidRPr="00C66793">
              <w:rPr>
                <w:highlight w:val="cyan"/>
              </w:rPr>
              <w:t xml:space="preserve">This should appear on the top row of the report before the actual data is presented, this isn’t an actual column of the report (please see mockup). This </w:t>
            </w:r>
            <w:r>
              <w:rPr>
                <w:highlight w:val="cyan"/>
              </w:rPr>
              <w:t>will act as a header for the below 5 data fields for Medical payments.</w:t>
            </w:r>
          </w:p>
        </w:tc>
      </w:tr>
      <w:tr w:rsidR="00F211D7" w:rsidRPr="00815C74" w:rsidTr="00D81549">
        <w:tc>
          <w:tcPr>
            <w:tcW w:w="3657" w:type="dxa"/>
          </w:tcPr>
          <w:p w:rsidR="00F211D7" w:rsidRPr="00815C74" w:rsidRDefault="00F211D7" w:rsidP="00D81549">
            <w:pPr>
              <w:pStyle w:val="Body"/>
            </w:pPr>
            <w:r>
              <w:t xml:space="preserve">Year to Date </w:t>
            </w:r>
          </w:p>
        </w:tc>
        <w:tc>
          <w:tcPr>
            <w:tcW w:w="4335" w:type="dxa"/>
          </w:tcPr>
          <w:p w:rsidR="00F211D7" w:rsidRPr="00815C74" w:rsidRDefault="007A3044" w:rsidP="007A3044">
            <w:pPr>
              <w:pStyle w:val="Body"/>
            </w:pPr>
            <w:r>
              <w:t>Average Medical Paid for closed claims with a last close date from January valuation of current year to current monthly valuation</w:t>
            </w:r>
          </w:p>
        </w:tc>
      </w:tr>
      <w:tr w:rsidR="00F211D7" w:rsidTr="00D81549">
        <w:tc>
          <w:tcPr>
            <w:tcW w:w="3657" w:type="dxa"/>
          </w:tcPr>
          <w:p w:rsidR="00F211D7" w:rsidRPr="00815C74" w:rsidRDefault="00F211D7" w:rsidP="00D81549">
            <w:pPr>
              <w:pStyle w:val="Body"/>
            </w:pPr>
            <w:r>
              <w:t xml:space="preserve">Prior Year to Date </w:t>
            </w:r>
          </w:p>
        </w:tc>
        <w:tc>
          <w:tcPr>
            <w:tcW w:w="4335" w:type="dxa"/>
          </w:tcPr>
          <w:p w:rsidR="00F211D7" w:rsidRDefault="00F211D7" w:rsidP="00D81549">
            <w:pPr>
              <w:pStyle w:val="Body"/>
            </w:pPr>
            <w:r>
              <w:t>Same logic as above data field, just for previous year data</w:t>
            </w:r>
          </w:p>
        </w:tc>
      </w:tr>
      <w:tr w:rsidR="00F211D7" w:rsidTr="00D81549">
        <w:tc>
          <w:tcPr>
            <w:tcW w:w="3657" w:type="dxa"/>
          </w:tcPr>
          <w:p w:rsidR="00F211D7" w:rsidRPr="00815C74" w:rsidRDefault="00F211D7" w:rsidP="00D81549">
            <w:pPr>
              <w:pStyle w:val="Body"/>
            </w:pPr>
            <w:r>
              <w:t>Year to Date Change</w:t>
            </w:r>
          </w:p>
        </w:tc>
        <w:tc>
          <w:tcPr>
            <w:tcW w:w="4335" w:type="dxa"/>
          </w:tcPr>
          <w:p w:rsidR="00F211D7" w:rsidRDefault="00F211D7" w:rsidP="00D81549">
            <w:pPr>
              <w:pStyle w:val="Body"/>
            </w:pPr>
            <w:r>
              <w:t>(Year to Date – Prior Year to Date)</w:t>
            </w:r>
          </w:p>
        </w:tc>
      </w:tr>
      <w:tr w:rsidR="00F211D7" w:rsidTr="00D81549">
        <w:tc>
          <w:tcPr>
            <w:tcW w:w="3657" w:type="dxa"/>
          </w:tcPr>
          <w:p w:rsidR="00F211D7" w:rsidRDefault="00F211D7" w:rsidP="00D81549">
            <w:pPr>
              <w:pStyle w:val="Body"/>
            </w:pPr>
            <w:r>
              <w:t>Current Month</w:t>
            </w:r>
          </w:p>
        </w:tc>
        <w:tc>
          <w:tcPr>
            <w:tcW w:w="4335" w:type="dxa"/>
          </w:tcPr>
          <w:p w:rsidR="00F211D7" w:rsidRDefault="007A3044" w:rsidP="007A3044">
            <w:pPr>
              <w:pStyle w:val="Body"/>
            </w:pPr>
            <w:r>
              <w:t>Average Medical Payments on closed claims in the Current Month valuation</w:t>
            </w:r>
          </w:p>
        </w:tc>
      </w:tr>
      <w:tr w:rsidR="00F211D7" w:rsidTr="00D81549">
        <w:tc>
          <w:tcPr>
            <w:tcW w:w="3657" w:type="dxa"/>
          </w:tcPr>
          <w:p w:rsidR="00F211D7" w:rsidRDefault="00F211D7" w:rsidP="00D81549">
            <w:pPr>
              <w:pStyle w:val="Body"/>
            </w:pPr>
            <w:r>
              <w:t>Prior Year Current Month</w:t>
            </w:r>
          </w:p>
        </w:tc>
        <w:tc>
          <w:tcPr>
            <w:tcW w:w="4335" w:type="dxa"/>
          </w:tcPr>
          <w:p w:rsidR="00F211D7" w:rsidRDefault="00F211D7" w:rsidP="00D81549">
            <w:pPr>
              <w:pStyle w:val="Body"/>
            </w:pPr>
            <w:r>
              <w:t>This data fields is to use the same logic as above, just for the previous year timeframe</w:t>
            </w:r>
          </w:p>
        </w:tc>
      </w:tr>
      <w:tr w:rsidR="00F211D7" w:rsidRPr="00C66793" w:rsidTr="00D81549">
        <w:tc>
          <w:tcPr>
            <w:tcW w:w="3657" w:type="dxa"/>
          </w:tcPr>
          <w:p w:rsidR="00F211D7" w:rsidRPr="00C66793" w:rsidRDefault="00F211D7" w:rsidP="00D81549">
            <w:pPr>
              <w:pStyle w:val="Body"/>
              <w:rPr>
                <w:highlight w:val="cyan"/>
              </w:rPr>
            </w:pPr>
            <w:r>
              <w:rPr>
                <w:highlight w:val="cyan"/>
              </w:rPr>
              <w:t>Expense Paid</w:t>
            </w:r>
          </w:p>
        </w:tc>
        <w:tc>
          <w:tcPr>
            <w:tcW w:w="4335" w:type="dxa"/>
          </w:tcPr>
          <w:p w:rsidR="00F211D7" w:rsidRPr="00C66793" w:rsidRDefault="00F211D7" w:rsidP="00D81549">
            <w:pPr>
              <w:pStyle w:val="Body"/>
              <w:rPr>
                <w:highlight w:val="cyan"/>
              </w:rPr>
            </w:pPr>
            <w:r w:rsidRPr="00C66793">
              <w:rPr>
                <w:highlight w:val="cyan"/>
              </w:rPr>
              <w:t xml:space="preserve">This should appear on the top row of the report before the actual data is presented, this isn’t an actual column of the report (please see mockup). This </w:t>
            </w:r>
            <w:r>
              <w:rPr>
                <w:highlight w:val="cyan"/>
              </w:rPr>
              <w:t>will act as a header for the below 5 data fields for Expense Payments</w:t>
            </w:r>
          </w:p>
        </w:tc>
      </w:tr>
      <w:tr w:rsidR="007A3044" w:rsidRPr="00815C74" w:rsidTr="00D81549">
        <w:tc>
          <w:tcPr>
            <w:tcW w:w="3657" w:type="dxa"/>
          </w:tcPr>
          <w:p w:rsidR="007A3044" w:rsidRPr="00815C74" w:rsidRDefault="007A3044" w:rsidP="00D81549">
            <w:pPr>
              <w:pStyle w:val="Body"/>
            </w:pPr>
            <w:r>
              <w:t xml:space="preserve">Year to Date </w:t>
            </w:r>
          </w:p>
        </w:tc>
        <w:tc>
          <w:tcPr>
            <w:tcW w:w="4335" w:type="dxa"/>
          </w:tcPr>
          <w:p w:rsidR="007A3044" w:rsidRPr="00815C74" w:rsidRDefault="007A3044" w:rsidP="007A3044">
            <w:pPr>
              <w:pStyle w:val="Body"/>
            </w:pPr>
            <w:r>
              <w:t>Average Expense Paid for closed claims with a last close date from January valuation of current year to current monthly valuation</w:t>
            </w:r>
          </w:p>
        </w:tc>
      </w:tr>
      <w:tr w:rsidR="007A3044" w:rsidTr="00D81549">
        <w:tc>
          <w:tcPr>
            <w:tcW w:w="3657" w:type="dxa"/>
          </w:tcPr>
          <w:p w:rsidR="007A3044" w:rsidRPr="00815C74" w:rsidRDefault="007A3044" w:rsidP="00D81549">
            <w:pPr>
              <w:pStyle w:val="Body"/>
            </w:pPr>
            <w:r>
              <w:lastRenderedPageBreak/>
              <w:t xml:space="preserve">Prior Year to Date </w:t>
            </w:r>
          </w:p>
        </w:tc>
        <w:tc>
          <w:tcPr>
            <w:tcW w:w="4335" w:type="dxa"/>
          </w:tcPr>
          <w:p w:rsidR="007A3044" w:rsidRDefault="007A3044" w:rsidP="00D81549">
            <w:pPr>
              <w:pStyle w:val="Body"/>
            </w:pPr>
            <w:r>
              <w:t>Same logic as above data field, just for previous year data</w:t>
            </w:r>
          </w:p>
        </w:tc>
      </w:tr>
      <w:tr w:rsidR="007A3044" w:rsidTr="00D81549">
        <w:tc>
          <w:tcPr>
            <w:tcW w:w="3657" w:type="dxa"/>
          </w:tcPr>
          <w:p w:rsidR="007A3044" w:rsidRPr="00815C74" w:rsidRDefault="007A3044" w:rsidP="00D81549">
            <w:pPr>
              <w:pStyle w:val="Body"/>
            </w:pPr>
            <w:r>
              <w:t>Year to Date Change</w:t>
            </w:r>
          </w:p>
        </w:tc>
        <w:tc>
          <w:tcPr>
            <w:tcW w:w="4335" w:type="dxa"/>
          </w:tcPr>
          <w:p w:rsidR="007A3044" w:rsidRDefault="007A3044" w:rsidP="00D81549">
            <w:pPr>
              <w:pStyle w:val="Body"/>
            </w:pPr>
            <w:r>
              <w:t>(Year to Date – Prior Year to Date)</w:t>
            </w:r>
          </w:p>
        </w:tc>
      </w:tr>
      <w:tr w:rsidR="007A3044" w:rsidTr="00D81549">
        <w:tc>
          <w:tcPr>
            <w:tcW w:w="3657" w:type="dxa"/>
          </w:tcPr>
          <w:p w:rsidR="007A3044" w:rsidRDefault="007A3044" w:rsidP="00D81549">
            <w:pPr>
              <w:pStyle w:val="Body"/>
            </w:pPr>
            <w:r>
              <w:t>Current Month</w:t>
            </w:r>
          </w:p>
        </w:tc>
        <w:tc>
          <w:tcPr>
            <w:tcW w:w="4335" w:type="dxa"/>
          </w:tcPr>
          <w:p w:rsidR="007A3044" w:rsidRDefault="007A3044" w:rsidP="007A3044">
            <w:pPr>
              <w:pStyle w:val="Body"/>
            </w:pPr>
            <w:r>
              <w:t>Average Expense Payments on closed claims in the Current Month valuation</w:t>
            </w:r>
          </w:p>
        </w:tc>
      </w:tr>
      <w:tr w:rsidR="00F211D7" w:rsidTr="00D81549">
        <w:tc>
          <w:tcPr>
            <w:tcW w:w="3657" w:type="dxa"/>
          </w:tcPr>
          <w:p w:rsidR="00F211D7" w:rsidRDefault="00F211D7" w:rsidP="00D81549">
            <w:pPr>
              <w:pStyle w:val="Body"/>
            </w:pPr>
            <w:r>
              <w:t>Prior Year Current Month</w:t>
            </w:r>
          </w:p>
        </w:tc>
        <w:tc>
          <w:tcPr>
            <w:tcW w:w="4335" w:type="dxa"/>
          </w:tcPr>
          <w:p w:rsidR="00F211D7" w:rsidRDefault="00F211D7" w:rsidP="00D81549">
            <w:pPr>
              <w:pStyle w:val="Body"/>
            </w:pPr>
            <w:r>
              <w:t>This data fields is to use the same logic as above, just for the previous year timeframe</w:t>
            </w:r>
          </w:p>
        </w:tc>
      </w:tr>
      <w:tr w:rsidR="00F211D7" w:rsidRPr="00C66793" w:rsidTr="00D81549">
        <w:tc>
          <w:tcPr>
            <w:tcW w:w="3657" w:type="dxa"/>
          </w:tcPr>
          <w:p w:rsidR="00F211D7" w:rsidRPr="00C66793" w:rsidRDefault="00F211D7" w:rsidP="00D81549">
            <w:pPr>
              <w:pStyle w:val="Body"/>
              <w:rPr>
                <w:highlight w:val="cyan"/>
              </w:rPr>
            </w:pPr>
            <w:r>
              <w:rPr>
                <w:highlight w:val="cyan"/>
              </w:rPr>
              <w:t>IML Paid</w:t>
            </w:r>
          </w:p>
        </w:tc>
        <w:tc>
          <w:tcPr>
            <w:tcW w:w="4335" w:type="dxa"/>
          </w:tcPr>
          <w:p w:rsidR="00F211D7" w:rsidRPr="00C66793" w:rsidRDefault="00F211D7" w:rsidP="00D81549">
            <w:pPr>
              <w:pStyle w:val="Body"/>
              <w:rPr>
                <w:highlight w:val="cyan"/>
              </w:rPr>
            </w:pPr>
            <w:r w:rsidRPr="00C66793">
              <w:rPr>
                <w:highlight w:val="cyan"/>
              </w:rPr>
              <w:t xml:space="preserve">This should appear on the top row of the report before the actual data is presented, this isn’t an actual column of the report (please see mockup). This </w:t>
            </w:r>
            <w:r>
              <w:rPr>
                <w:highlight w:val="cyan"/>
              </w:rPr>
              <w:t>will act as a header for the below 5 data fields for all indemnity, medical, and expense payments</w:t>
            </w:r>
          </w:p>
        </w:tc>
      </w:tr>
      <w:tr w:rsidR="007A3044" w:rsidRPr="00815C74" w:rsidTr="00D81549">
        <w:tc>
          <w:tcPr>
            <w:tcW w:w="3657" w:type="dxa"/>
          </w:tcPr>
          <w:p w:rsidR="007A3044" w:rsidRPr="00815C74" w:rsidRDefault="007A3044" w:rsidP="00D81549">
            <w:pPr>
              <w:pStyle w:val="Body"/>
            </w:pPr>
            <w:r>
              <w:t xml:space="preserve">Year to Date </w:t>
            </w:r>
          </w:p>
        </w:tc>
        <w:tc>
          <w:tcPr>
            <w:tcW w:w="4335" w:type="dxa"/>
          </w:tcPr>
          <w:p w:rsidR="007A3044" w:rsidRPr="00815C74" w:rsidRDefault="007A3044" w:rsidP="00D81549">
            <w:pPr>
              <w:pStyle w:val="Body"/>
            </w:pPr>
            <w:r>
              <w:t>Average Indemnity, Medical, Expense Paid for closed claims with a last close date from January valuation of current year to current monthly valuation</w:t>
            </w:r>
          </w:p>
        </w:tc>
      </w:tr>
      <w:tr w:rsidR="007A3044" w:rsidTr="00D81549">
        <w:tc>
          <w:tcPr>
            <w:tcW w:w="3657" w:type="dxa"/>
          </w:tcPr>
          <w:p w:rsidR="007A3044" w:rsidRPr="00815C74" w:rsidRDefault="007A3044" w:rsidP="00D81549">
            <w:pPr>
              <w:pStyle w:val="Body"/>
            </w:pPr>
            <w:r>
              <w:t xml:space="preserve">Prior Year to Date </w:t>
            </w:r>
          </w:p>
        </w:tc>
        <w:tc>
          <w:tcPr>
            <w:tcW w:w="4335" w:type="dxa"/>
          </w:tcPr>
          <w:p w:rsidR="007A3044" w:rsidRDefault="007A3044" w:rsidP="00D81549">
            <w:pPr>
              <w:pStyle w:val="Body"/>
            </w:pPr>
            <w:r>
              <w:t>Same logic as above data field, just for previous year data</w:t>
            </w:r>
          </w:p>
        </w:tc>
      </w:tr>
      <w:tr w:rsidR="007A3044" w:rsidTr="00D81549">
        <w:tc>
          <w:tcPr>
            <w:tcW w:w="3657" w:type="dxa"/>
          </w:tcPr>
          <w:p w:rsidR="007A3044" w:rsidRPr="00815C74" w:rsidRDefault="007A3044" w:rsidP="00D81549">
            <w:pPr>
              <w:pStyle w:val="Body"/>
            </w:pPr>
            <w:r>
              <w:t>Year to Date Change</w:t>
            </w:r>
          </w:p>
        </w:tc>
        <w:tc>
          <w:tcPr>
            <w:tcW w:w="4335" w:type="dxa"/>
          </w:tcPr>
          <w:p w:rsidR="007A3044" w:rsidRDefault="007A3044" w:rsidP="00D81549">
            <w:pPr>
              <w:pStyle w:val="Body"/>
            </w:pPr>
            <w:r>
              <w:t>(Year to Date – Prior Year to Date)</w:t>
            </w:r>
          </w:p>
        </w:tc>
      </w:tr>
      <w:tr w:rsidR="007A3044" w:rsidTr="00D81549">
        <w:tc>
          <w:tcPr>
            <w:tcW w:w="3657" w:type="dxa"/>
          </w:tcPr>
          <w:p w:rsidR="007A3044" w:rsidRDefault="007A3044" w:rsidP="00D81549">
            <w:pPr>
              <w:pStyle w:val="Body"/>
            </w:pPr>
            <w:r>
              <w:t>Current Month</w:t>
            </w:r>
          </w:p>
        </w:tc>
        <w:tc>
          <w:tcPr>
            <w:tcW w:w="4335" w:type="dxa"/>
          </w:tcPr>
          <w:p w:rsidR="007A3044" w:rsidRDefault="007A3044" w:rsidP="00D81549">
            <w:pPr>
              <w:pStyle w:val="Body"/>
            </w:pPr>
            <w:r>
              <w:t>Average Indemnity, Medical, Expense Payments on closed claims in the Current Month valuation</w:t>
            </w:r>
          </w:p>
        </w:tc>
      </w:tr>
      <w:tr w:rsidR="007A3044" w:rsidTr="00D81549">
        <w:tc>
          <w:tcPr>
            <w:tcW w:w="3657" w:type="dxa"/>
          </w:tcPr>
          <w:p w:rsidR="007A3044" w:rsidRDefault="007A3044" w:rsidP="00D81549">
            <w:pPr>
              <w:pStyle w:val="Body"/>
            </w:pPr>
            <w:r>
              <w:t>Prior Year Current Month</w:t>
            </w:r>
          </w:p>
        </w:tc>
        <w:tc>
          <w:tcPr>
            <w:tcW w:w="4335" w:type="dxa"/>
          </w:tcPr>
          <w:p w:rsidR="007A3044" w:rsidRDefault="007A3044" w:rsidP="00D81549">
            <w:pPr>
              <w:pStyle w:val="Body"/>
            </w:pPr>
            <w:r>
              <w:t>This data fields is to use the same logic as above, just for the previous year timeframe</w:t>
            </w:r>
          </w:p>
        </w:tc>
      </w:tr>
      <w:tr w:rsidR="0087539D" w:rsidTr="00D81549">
        <w:tc>
          <w:tcPr>
            <w:tcW w:w="3657" w:type="dxa"/>
          </w:tcPr>
          <w:p w:rsidR="0087539D" w:rsidRDefault="0087539D" w:rsidP="00A02775">
            <w:pPr>
              <w:pStyle w:val="Body"/>
            </w:pPr>
            <w:r>
              <w:t>Grand Total</w:t>
            </w:r>
          </w:p>
        </w:tc>
        <w:tc>
          <w:tcPr>
            <w:tcW w:w="4335" w:type="dxa"/>
          </w:tcPr>
          <w:p w:rsidR="0087539D" w:rsidRDefault="0087539D" w:rsidP="00A02775">
            <w:pPr>
              <w:pStyle w:val="Body"/>
            </w:pPr>
            <w:r>
              <w:t>Rather than a summary of adding up each of the above fields like in other Grand Total’s this field needs to be calculated at the TPA/LOB/MJC level as one calculation per the logic detailed above.</w:t>
            </w:r>
          </w:p>
        </w:tc>
      </w:tr>
    </w:tbl>
    <w:p w:rsidR="00F211D7" w:rsidRDefault="00F211D7" w:rsidP="007A3044">
      <w:pPr>
        <w:ind w:left="0"/>
      </w:pPr>
    </w:p>
    <w:p w:rsidR="007A3044" w:rsidRPr="007A3044" w:rsidRDefault="007A3044" w:rsidP="005B2E8D">
      <w:pPr>
        <w:pStyle w:val="ListParagraph"/>
        <w:numPr>
          <w:ilvl w:val="0"/>
          <w:numId w:val="14"/>
        </w:numPr>
        <w:rPr>
          <w:b/>
        </w:rPr>
      </w:pPr>
      <w:r w:rsidRPr="007A3044">
        <w:rPr>
          <w:b/>
        </w:rPr>
        <w:t>Outstanding_9</w:t>
      </w:r>
    </w:p>
    <w:p w:rsidR="007A3044" w:rsidRDefault="007A3044" w:rsidP="005B2E8D">
      <w:pPr>
        <w:pStyle w:val="ListParagraph"/>
        <w:numPr>
          <w:ilvl w:val="0"/>
          <w:numId w:val="14"/>
        </w:numPr>
      </w:pPr>
      <w:r>
        <w:t xml:space="preserve">Logic </w:t>
      </w:r>
      <w:r w:rsidR="00924931">
        <w:t>–</w:t>
      </w:r>
      <w:r>
        <w:t xml:space="preserve"> </w:t>
      </w:r>
      <w:r w:rsidR="00924931">
        <w:t>This report is to show the outstanding amounts on claims in TPAIR.</w:t>
      </w:r>
    </w:p>
    <w:tbl>
      <w:tblPr>
        <w:tblW w:w="0" w:type="auto"/>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57"/>
        <w:gridCol w:w="4335"/>
      </w:tblGrid>
      <w:tr w:rsidR="00924931" w:rsidRPr="009624BC" w:rsidTr="00D81549">
        <w:tc>
          <w:tcPr>
            <w:tcW w:w="3657" w:type="dxa"/>
            <w:shd w:val="pct50" w:color="auto" w:fill="auto"/>
            <w:vAlign w:val="center"/>
          </w:tcPr>
          <w:p w:rsidR="00924931" w:rsidRPr="009624BC" w:rsidRDefault="00924931" w:rsidP="00D81549">
            <w:pPr>
              <w:pStyle w:val="Body"/>
              <w:jc w:val="center"/>
              <w:rPr>
                <w:b/>
                <w:color w:val="FFFFFF"/>
              </w:rPr>
            </w:pPr>
            <w:r w:rsidRPr="009624BC">
              <w:rPr>
                <w:b/>
                <w:color w:val="FFFFFF"/>
              </w:rPr>
              <w:t>Data_Field</w:t>
            </w:r>
          </w:p>
        </w:tc>
        <w:tc>
          <w:tcPr>
            <w:tcW w:w="4335" w:type="dxa"/>
            <w:shd w:val="pct50" w:color="auto" w:fill="auto"/>
            <w:vAlign w:val="center"/>
          </w:tcPr>
          <w:p w:rsidR="00924931" w:rsidRPr="009624BC" w:rsidRDefault="00924931" w:rsidP="00D81549">
            <w:pPr>
              <w:pStyle w:val="Body"/>
              <w:jc w:val="center"/>
              <w:rPr>
                <w:b/>
                <w:color w:val="FFFFFF"/>
              </w:rPr>
            </w:pPr>
            <w:r w:rsidRPr="009624BC">
              <w:rPr>
                <w:b/>
                <w:color w:val="FFFFFF"/>
              </w:rPr>
              <w:t>Description</w:t>
            </w:r>
          </w:p>
        </w:tc>
      </w:tr>
      <w:tr w:rsidR="00924931" w:rsidTr="00D81549">
        <w:tc>
          <w:tcPr>
            <w:tcW w:w="3657" w:type="dxa"/>
          </w:tcPr>
          <w:p w:rsidR="00924931" w:rsidRDefault="00924931" w:rsidP="00D81549">
            <w:pPr>
              <w:pStyle w:val="Body"/>
            </w:pPr>
            <w:r>
              <w:t>TPA Name</w:t>
            </w:r>
          </w:p>
        </w:tc>
        <w:tc>
          <w:tcPr>
            <w:tcW w:w="4335" w:type="dxa"/>
          </w:tcPr>
          <w:p w:rsidR="00924931" w:rsidRDefault="00924931" w:rsidP="00D81549">
            <w:pPr>
              <w:pStyle w:val="Body"/>
            </w:pPr>
            <w:r>
              <w:t>Name of TPA</w:t>
            </w:r>
          </w:p>
        </w:tc>
      </w:tr>
      <w:tr w:rsidR="00924931" w:rsidRPr="00815C74" w:rsidTr="00D81549">
        <w:tc>
          <w:tcPr>
            <w:tcW w:w="3657" w:type="dxa"/>
          </w:tcPr>
          <w:p w:rsidR="00924931" w:rsidRPr="00815C74" w:rsidRDefault="00924931" w:rsidP="00D81549">
            <w:pPr>
              <w:pStyle w:val="Body"/>
            </w:pPr>
            <w:r>
              <w:t>Line Of Business</w:t>
            </w:r>
          </w:p>
        </w:tc>
        <w:tc>
          <w:tcPr>
            <w:tcW w:w="4335" w:type="dxa"/>
          </w:tcPr>
          <w:p w:rsidR="00924931" w:rsidRPr="00815C74" w:rsidRDefault="00924931" w:rsidP="00D81549">
            <w:pPr>
              <w:pStyle w:val="Body"/>
            </w:pPr>
            <w:r>
              <w:t>Line of Business Code</w:t>
            </w:r>
          </w:p>
        </w:tc>
      </w:tr>
      <w:tr w:rsidR="00924931" w:rsidRPr="00815C74" w:rsidTr="00D81549">
        <w:tc>
          <w:tcPr>
            <w:tcW w:w="3657" w:type="dxa"/>
          </w:tcPr>
          <w:p w:rsidR="00924931" w:rsidRPr="00815C74" w:rsidRDefault="00924931" w:rsidP="00D81549">
            <w:pPr>
              <w:pStyle w:val="Body"/>
            </w:pPr>
            <w:r>
              <w:t>Major Class Description</w:t>
            </w:r>
          </w:p>
        </w:tc>
        <w:tc>
          <w:tcPr>
            <w:tcW w:w="4335" w:type="dxa"/>
          </w:tcPr>
          <w:p w:rsidR="00924931" w:rsidRPr="00815C74" w:rsidRDefault="00924931" w:rsidP="00D81549">
            <w:pPr>
              <w:pStyle w:val="Body"/>
            </w:pPr>
            <w:r>
              <w:t>Description of the MJC Code</w:t>
            </w:r>
          </w:p>
        </w:tc>
      </w:tr>
      <w:tr w:rsidR="00924931" w:rsidRPr="00C66793" w:rsidTr="00D81549">
        <w:tc>
          <w:tcPr>
            <w:tcW w:w="3657" w:type="dxa"/>
          </w:tcPr>
          <w:p w:rsidR="00924931" w:rsidRPr="00C66793" w:rsidRDefault="00924931" w:rsidP="00482331">
            <w:pPr>
              <w:pStyle w:val="Body"/>
              <w:rPr>
                <w:highlight w:val="cyan"/>
              </w:rPr>
            </w:pPr>
            <w:r>
              <w:rPr>
                <w:highlight w:val="cyan"/>
              </w:rPr>
              <w:t xml:space="preserve">Ind </w:t>
            </w:r>
            <w:r w:rsidR="00482331">
              <w:rPr>
                <w:highlight w:val="cyan"/>
              </w:rPr>
              <w:t>OS</w:t>
            </w:r>
          </w:p>
        </w:tc>
        <w:tc>
          <w:tcPr>
            <w:tcW w:w="4335" w:type="dxa"/>
          </w:tcPr>
          <w:p w:rsidR="00924931" w:rsidRPr="00C66793" w:rsidRDefault="00924931" w:rsidP="00482331">
            <w:pPr>
              <w:pStyle w:val="Body"/>
              <w:rPr>
                <w:highlight w:val="cyan"/>
              </w:rPr>
            </w:pPr>
            <w:r w:rsidRPr="00C66793">
              <w:rPr>
                <w:highlight w:val="cyan"/>
              </w:rPr>
              <w:t xml:space="preserve">This should appear on the top row of the </w:t>
            </w:r>
            <w:r w:rsidRPr="00C66793">
              <w:rPr>
                <w:highlight w:val="cyan"/>
              </w:rPr>
              <w:lastRenderedPageBreak/>
              <w:t xml:space="preserve">report before the actual data is presented, this isn’t an actual column of the report (please see mockup). This </w:t>
            </w:r>
            <w:r>
              <w:rPr>
                <w:highlight w:val="cyan"/>
              </w:rPr>
              <w:t xml:space="preserve">will act as a header for the below </w:t>
            </w:r>
            <w:r w:rsidR="00482331">
              <w:rPr>
                <w:highlight w:val="cyan"/>
              </w:rPr>
              <w:t>3</w:t>
            </w:r>
            <w:r>
              <w:rPr>
                <w:highlight w:val="cyan"/>
              </w:rPr>
              <w:t xml:space="preserve"> data fields for Indemnity </w:t>
            </w:r>
            <w:r w:rsidR="00482331">
              <w:rPr>
                <w:highlight w:val="cyan"/>
              </w:rPr>
              <w:t>Reserves</w:t>
            </w:r>
            <w:r>
              <w:rPr>
                <w:highlight w:val="cyan"/>
              </w:rPr>
              <w:t>.</w:t>
            </w:r>
          </w:p>
        </w:tc>
      </w:tr>
      <w:tr w:rsidR="00924931" w:rsidRPr="00815C74" w:rsidTr="00D81549">
        <w:tc>
          <w:tcPr>
            <w:tcW w:w="3657" w:type="dxa"/>
          </w:tcPr>
          <w:p w:rsidR="00924931" w:rsidRPr="00815C74" w:rsidRDefault="00482331" w:rsidP="00D81549">
            <w:pPr>
              <w:pStyle w:val="Body"/>
            </w:pPr>
            <w:r>
              <w:lastRenderedPageBreak/>
              <w:t>YTD</w:t>
            </w:r>
          </w:p>
        </w:tc>
        <w:tc>
          <w:tcPr>
            <w:tcW w:w="4335" w:type="dxa"/>
          </w:tcPr>
          <w:p w:rsidR="00924931" w:rsidRPr="00815C74" w:rsidRDefault="00482331" w:rsidP="00482331">
            <w:pPr>
              <w:pStyle w:val="Body"/>
            </w:pPr>
            <w:r>
              <w:t>Outstanding Indemnity amounts as of current valuation</w:t>
            </w:r>
          </w:p>
        </w:tc>
      </w:tr>
      <w:tr w:rsidR="00924931" w:rsidTr="00D81549">
        <w:tc>
          <w:tcPr>
            <w:tcW w:w="3657" w:type="dxa"/>
          </w:tcPr>
          <w:p w:rsidR="00924931" w:rsidRPr="00815C74" w:rsidRDefault="00924931" w:rsidP="00D81549">
            <w:pPr>
              <w:pStyle w:val="Body"/>
            </w:pPr>
            <w:r>
              <w:t xml:space="preserve">Prior Year to Date </w:t>
            </w:r>
          </w:p>
        </w:tc>
        <w:tc>
          <w:tcPr>
            <w:tcW w:w="4335" w:type="dxa"/>
          </w:tcPr>
          <w:p w:rsidR="00924931" w:rsidRDefault="00924931" w:rsidP="00D81549">
            <w:pPr>
              <w:pStyle w:val="Body"/>
            </w:pPr>
            <w:r>
              <w:t>Same logic as above data field, just for previous year data</w:t>
            </w:r>
          </w:p>
        </w:tc>
      </w:tr>
      <w:tr w:rsidR="00924931" w:rsidTr="00D81549">
        <w:tc>
          <w:tcPr>
            <w:tcW w:w="3657" w:type="dxa"/>
          </w:tcPr>
          <w:p w:rsidR="00924931" w:rsidRPr="00815C74" w:rsidRDefault="00924931" w:rsidP="00D81549">
            <w:pPr>
              <w:pStyle w:val="Body"/>
            </w:pPr>
            <w:r>
              <w:t>Year to Date Change</w:t>
            </w:r>
          </w:p>
        </w:tc>
        <w:tc>
          <w:tcPr>
            <w:tcW w:w="4335" w:type="dxa"/>
          </w:tcPr>
          <w:p w:rsidR="00924931" w:rsidRDefault="00924931" w:rsidP="00D81549">
            <w:pPr>
              <w:pStyle w:val="Body"/>
            </w:pPr>
            <w:r>
              <w:t>(Year to Date – Prior Year to Date)</w:t>
            </w:r>
          </w:p>
        </w:tc>
      </w:tr>
      <w:tr w:rsidR="00482331" w:rsidTr="00D81549">
        <w:tc>
          <w:tcPr>
            <w:tcW w:w="3657" w:type="dxa"/>
          </w:tcPr>
          <w:p w:rsidR="00482331" w:rsidRPr="00C66793" w:rsidRDefault="00482331" w:rsidP="00D81549">
            <w:pPr>
              <w:pStyle w:val="Body"/>
              <w:rPr>
                <w:highlight w:val="cyan"/>
              </w:rPr>
            </w:pPr>
            <w:r>
              <w:rPr>
                <w:highlight w:val="cyan"/>
              </w:rPr>
              <w:t>Medical OS</w:t>
            </w:r>
          </w:p>
        </w:tc>
        <w:tc>
          <w:tcPr>
            <w:tcW w:w="4335" w:type="dxa"/>
          </w:tcPr>
          <w:p w:rsidR="00482331" w:rsidRPr="00C66793" w:rsidRDefault="00482331" w:rsidP="00D81549">
            <w:pPr>
              <w:pStyle w:val="Body"/>
              <w:rPr>
                <w:highlight w:val="cyan"/>
              </w:rPr>
            </w:pPr>
            <w:r w:rsidRPr="00C66793">
              <w:rPr>
                <w:highlight w:val="cyan"/>
              </w:rPr>
              <w:t xml:space="preserve">This should appear on the top row of the report before the actual data is presented, this isn’t an actual column of the report (please see mockup). This </w:t>
            </w:r>
            <w:r>
              <w:rPr>
                <w:highlight w:val="cyan"/>
              </w:rPr>
              <w:t>will act as a header for the below 3 data fields for Medical Reserves.</w:t>
            </w:r>
          </w:p>
        </w:tc>
      </w:tr>
      <w:tr w:rsidR="00482331" w:rsidTr="00D81549">
        <w:tc>
          <w:tcPr>
            <w:tcW w:w="3657" w:type="dxa"/>
          </w:tcPr>
          <w:p w:rsidR="00482331" w:rsidRPr="00815C74" w:rsidRDefault="00482331" w:rsidP="00482331">
            <w:pPr>
              <w:pStyle w:val="Body"/>
            </w:pPr>
            <w:r>
              <w:t>YTD</w:t>
            </w:r>
          </w:p>
        </w:tc>
        <w:tc>
          <w:tcPr>
            <w:tcW w:w="4335" w:type="dxa"/>
          </w:tcPr>
          <w:p w:rsidR="00482331" w:rsidRPr="00815C74" w:rsidRDefault="00482331" w:rsidP="00482331">
            <w:pPr>
              <w:pStyle w:val="Body"/>
            </w:pPr>
            <w:r>
              <w:t>Outstanding Medical amounts as of current valuation</w:t>
            </w:r>
          </w:p>
        </w:tc>
      </w:tr>
      <w:tr w:rsidR="00915396" w:rsidRPr="00C66793" w:rsidTr="00D81549">
        <w:tc>
          <w:tcPr>
            <w:tcW w:w="3657" w:type="dxa"/>
          </w:tcPr>
          <w:p w:rsidR="00915396" w:rsidRPr="00815C74" w:rsidRDefault="00915396" w:rsidP="00D81549">
            <w:pPr>
              <w:pStyle w:val="Body"/>
            </w:pPr>
            <w:r>
              <w:t xml:space="preserve">Prior Year to Date </w:t>
            </w:r>
          </w:p>
        </w:tc>
        <w:tc>
          <w:tcPr>
            <w:tcW w:w="4335" w:type="dxa"/>
          </w:tcPr>
          <w:p w:rsidR="00915396" w:rsidRDefault="00915396" w:rsidP="00D81549">
            <w:pPr>
              <w:pStyle w:val="Body"/>
            </w:pPr>
            <w:r>
              <w:t>Same logic as above data field, just for previous year data</w:t>
            </w:r>
          </w:p>
        </w:tc>
      </w:tr>
      <w:tr w:rsidR="00915396" w:rsidRPr="00815C74" w:rsidTr="00D81549">
        <w:tc>
          <w:tcPr>
            <w:tcW w:w="3657" w:type="dxa"/>
          </w:tcPr>
          <w:p w:rsidR="00915396" w:rsidRPr="00815C74" w:rsidRDefault="00915396" w:rsidP="00D81549">
            <w:pPr>
              <w:pStyle w:val="Body"/>
            </w:pPr>
            <w:r>
              <w:t>Year to Date Change</w:t>
            </w:r>
          </w:p>
        </w:tc>
        <w:tc>
          <w:tcPr>
            <w:tcW w:w="4335" w:type="dxa"/>
          </w:tcPr>
          <w:p w:rsidR="00915396" w:rsidRDefault="00915396" w:rsidP="00D81549">
            <w:pPr>
              <w:pStyle w:val="Body"/>
            </w:pPr>
            <w:r>
              <w:t>(Year to Date – Prior Year to Date)</w:t>
            </w:r>
          </w:p>
        </w:tc>
      </w:tr>
      <w:tr w:rsidR="00915396" w:rsidRPr="00C66793" w:rsidTr="00D81549">
        <w:tc>
          <w:tcPr>
            <w:tcW w:w="3657" w:type="dxa"/>
          </w:tcPr>
          <w:p w:rsidR="00915396" w:rsidRPr="00C66793" w:rsidRDefault="00915396" w:rsidP="00915396">
            <w:pPr>
              <w:pStyle w:val="Body"/>
              <w:rPr>
                <w:highlight w:val="cyan"/>
              </w:rPr>
            </w:pPr>
            <w:r>
              <w:rPr>
                <w:highlight w:val="cyan"/>
              </w:rPr>
              <w:t>Expense OS</w:t>
            </w:r>
          </w:p>
        </w:tc>
        <w:tc>
          <w:tcPr>
            <w:tcW w:w="4335" w:type="dxa"/>
          </w:tcPr>
          <w:p w:rsidR="00915396" w:rsidRPr="00C66793" w:rsidRDefault="00915396" w:rsidP="00915396">
            <w:pPr>
              <w:pStyle w:val="Body"/>
              <w:rPr>
                <w:highlight w:val="cyan"/>
              </w:rPr>
            </w:pPr>
            <w:r w:rsidRPr="00C66793">
              <w:rPr>
                <w:highlight w:val="cyan"/>
              </w:rPr>
              <w:t xml:space="preserve">This should appear on the top row of the report before the actual data is presented, this isn’t an actual column of the report (please see mockup). This </w:t>
            </w:r>
            <w:r>
              <w:rPr>
                <w:highlight w:val="cyan"/>
              </w:rPr>
              <w:t>will act as a header for the below 3 data fields for Expense Reserves</w:t>
            </w:r>
          </w:p>
        </w:tc>
      </w:tr>
      <w:tr w:rsidR="00915396" w:rsidRPr="00815C74" w:rsidTr="00D81549">
        <w:tc>
          <w:tcPr>
            <w:tcW w:w="3657" w:type="dxa"/>
          </w:tcPr>
          <w:p w:rsidR="00915396" w:rsidRPr="00815C74" w:rsidRDefault="00915396" w:rsidP="00D81549">
            <w:pPr>
              <w:pStyle w:val="Body"/>
            </w:pPr>
            <w:r>
              <w:t>YTD</w:t>
            </w:r>
          </w:p>
        </w:tc>
        <w:tc>
          <w:tcPr>
            <w:tcW w:w="4335" w:type="dxa"/>
          </w:tcPr>
          <w:p w:rsidR="00915396" w:rsidRPr="00815C74" w:rsidRDefault="00915396" w:rsidP="00915396">
            <w:pPr>
              <w:pStyle w:val="Body"/>
            </w:pPr>
            <w:r>
              <w:t>Outstanding Expense amounts as of current valuation</w:t>
            </w:r>
          </w:p>
        </w:tc>
      </w:tr>
      <w:tr w:rsidR="00915396" w:rsidTr="00D81549">
        <w:tc>
          <w:tcPr>
            <w:tcW w:w="3657" w:type="dxa"/>
          </w:tcPr>
          <w:p w:rsidR="00915396" w:rsidRPr="00815C74" w:rsidRDefault="00915396" w:rsidP="00D81549">
            <w:pPr>
              <w:pStyle w:val="Body"/>
            </w:pPr>
            <w:r>
              <w:t xml:space="preserve">Prior Year to Date </w:t>
            </w:r>
          </w:p>
        </w:tc>
        <w:tc>
          <w:tcPr>
            <w:tcW w:w="4335" w:type="dxa"/>
          </w:tcPr>
          <w:p w:rsidR="00915396" w:rsidRDefault="00915396" w:rsidP="00D81549">
            <w:pPr>
              <w:pStyle w:val="Body"/>
            </w:pPr>
            <w:r>
              <w:t>Same logic as above data field, just for previous year data</w:t>
            </w:r>
          </w:p>
        </w:tc>
      </w:tr>
      <w:tr w:rsidR="00915396" w:rsidTr="00D81549">
        <w:tc>
          <w:tcPr>
            <w:tcW w:w="3657" w:type="dxa"/>
          </w:tcPr>
          <w:p w:rsidR="00915396" w:rsidRPr="00815C74" w:rsidRDefault="00915396" w:rsidP="00D81549">
            <w:pPr>
              <w:pStyle w:val="Body"/>
            </w:pPr>
            <w:r>
              <w:t>Year to Date Change</w:t>
            </w:r>
          </w:p>
        </w:tc>
        <w:tc>
          <w:tcPr>
            <w:tcW w:w="4335" w:type="dxa"/>
          </w:tcPr>
          <w:p w:rsidR="00915396" w:rsidRDefault="00915396" w:rsidP="00D81549">
            <w:pPr>
              <w:pStyle w:val="Body"/>
            </w:pPr>
            <w:r>
              <w:t>(Year to Date – Prior Year to Date)</w:t>
            </w:r>
          </w:p>
        </w:tc>
      </w:tr>
      <w:tr w:rsidR="0087539D" w:rsidTr="00D81549">
        <w:tc>
          <w:tcPr>
            <w:tcW w:w="3657" w:type="dxa"/>
          </w:tcPr>
          <w:p w:rsidR="0087539D" w:rsidRDefault="0087539D" w:rsidP="00D81549">
            <w:pPr>
              <w:pStyle w:val="Body"/>
            </w:pPr>
            <w:r>
              <w:t>Grant Total</w:t>
            </w:r>
          </w:p>
        </w:tc>
        <w:tc>
          <w:tcPr>
            <w:tcW w:w="4335" w:type="dxa"/>
          </w:tcPr>
          <w:p w:rsidR="0087539D" w:rsidRDefault="0087539D" w:rsidP="00D81549">
            <w:pPr>
              <w:pStyle w:val="Body"/>
            </w:pPr>
            <w:r>
              <w:t>Sum of above fields where applicable</w:t>
            </w:r>
          </w:p>
        </w:tc>
      </w:tr>
    </w:tbl>
    <w:p w:rsidR="00915396" w:rsidRDefault="00915396" w:rsidP="00915396">
      <w:pPr>
        <w:ind w:left="0"/>
      </w:pPr>
    </w:p>
    <w:p w:rsidR="00915396" w:rsidRDefault="00915396" w:rsidP="005B2E8D">
      <w:pPr>
        <w:pStyle w:val="ListParagraph"/>
        <w:numPr>
          <w:ilvl w:val="0"/>
          <w:numId w:val="15"/>
        </w:numPr>
        <w:rPr>
          <w:b/>
        </w:rPr>
      </w:pPr>
      <w:r w:rsidRPr="00915396">
        <w:rPr>
          <w:b/>
        </w:rPr>
        <w:t>Average Outstanding_10</w:t>
      </w:r>
    </w:p>
    <w:p w:rsidR="00915396" w:rsidRPr="00915396" w:rsidRDefault="00915396" w:rsidP="005B2E8D">
      <w:pPr>
        <w:pStyle w:val="ListParagraph"/>
        <w:numPr>
          <w:ilvl w:val="0"/>
          <w:numId w:val="15"/>
        </w:numPr>
        <w:rPr>
          <w:b/>
        </w:rPr>
      </w:pPr>
      <w:r>
        <w:t>Logic – This report will show the average outstanding amounts broken down by financial bucket. The formula to calculate the average outstanding is as follows: (outstanding amount/ # of claims with an outstanding amount)</w:t>
      </w:r>
    </w:p>
    <w:tbl>
      <w:tblPr>
        <w:tblW w:w="0" w:type="auto"/>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57"/>
        <w:gridCol w:w="4335"/>
      </w:tblGrid>
      <w:tr w:rsidR="00915396" w:rsidRPr="009624BC" w:rsidTr="00D81549">
        <w:tc>
          <w:tcPr>
            <w:tcW w:w="3657" w:type="dxa"/>
            <w:shd w:val="pct50" w:color="auto" w:fill="auto"/>
            <w:vAlign w:val="center"/>
          </w:tcPr>
          <w:p w:rsidR="00915396" w:rsidRPr="009624BC" w:rsidRDefault="00915396" w:rsidP="00D81549">
            <w:pPr>
              <w:pStyle w:val="Body"/>
              <w:jc w:val="center"/>
              <w:rPr>
                <w:b/>
                <w:color w:val="FFFFFF"/>
              </w:rPr>
            </w:pPr>
            <w:r w:rsidRPr="009624BC">
              <w:rPr>
                <w:b/>
                <w:color w:val="FFFFFF"/>
              </w:rPr>
              <w:t>Data_Field</w:t>
            </w:r>
          </w:p>
        </w:tc>
        <w:tc>
          <w:tcPr>
            <w:tcW w:w="4335" w:type="dxa"/>
            <w:shd w:val="pct50" w:color="auto" w:fill="auto"/>
            <w:vAlign w:val="center"/>
          </w:tcPr>
          <w:p w:rsidR="00915396" w:rsidRPr="009624BC" w:rsidRDefault="00915396" w:rsidP="00D81549">
            <w:pPr>
              <w:pStyle w:val="Body"/>
              <w:jc w:val="center"/>
              <w:rPr>
                <w:b/>
                <w:color w:val="FFFFFF"/>
              </w:rPr>
            </w:pPr>
            <w:r w:rsidRPr="009624BC">
              <w:rPr>
                <w:b/>
                <w:color w:val="FFFFFF"/>
              </w:rPr>
              <w:t>Description</w:t>
            </w:r>
          </w:p>
        </w:tc>
      </w:tr>
      <w:tr w:rsidR="00915396" w:rsidTr="00D81549">
        <w:tc>
          <w:tcPr>
            <w:tcW w:w="3657" w:type="dxa"/>
          </w:tcPr>
          <w:p w:rsidR="00915396" w:rsidRDefault="00915396" w:rsidP="00D81549">
            <w:pPr>
              <w:pStyle w:val="Body"/>
            </w:pPr>
            <w:r>
              <w:t>TPA Name</w:t>
            </w:r>
          </w:p>
        </w:tc>
        <w:tc>
          <w:tcPr>
            <w:tcW w:w="4335" w:type="dxa"/>
          </w:tcPr>
          <w:p w:rsidR="00915396" w:rsidRDefault="00915396" w:rsidP="00D81549">
            <w:pPr>
              <w:pStyle w:val="Body"/>
            </w:pPr>
            <w:r>
              <w:t>Name of TPA</w:t>
            </w:r>
          </w:p>
        </w:tc>
      </w:tr>
      <w:tr w:rsidR="00915396" w:rsidRPr="00815C74" w:rsidTr="00D81549">
        <w:tc>
          <w:tcPr>
            <w:tcW w:w="3657" w:type="dxa"/>
          </w:tcPr>
          <w:p w:rsidR="00915396" w:rsidRPr="00815C74" w:rsidRDefault="00915396" w:rsidP="00D81549">
            <w:pPr>
              <w:pStyle w:val="Body"/>
            </w:pPr>
            <w:r>
              <w:t>Line Of Business</w:t>
            </w:r>
          </w:p>
        </w:tc>
        <w:tc>
          <w:tcPr>
            <w:tcW w:w="4335" w:type="dxa"/>
          </w:tcPr>
          <w:p w:rsidR="00915396" w:rsidRPr="00815C74" w:rsidRDefault="00915396" w:rsidP="00D81549">
            <w:pPr>
              <w:pStyle w:val="Body"/>
            </w:pPr>
            <w:r>
              <w:t>Line of Business Code</w:t>
            </w:r>
          </w:p>
        </w:tc>
      </w:tr>
      <w:tr w:rsidR="00915396" w:rsidRPr="00815C74" w:rsidTr="00D81549">
        <w:tc>
          <w:tcPr>
            <w:tcW w:w="3657" w:type="dxa"/>
          </w:tcPr>
          <w:p w:rsidR="00915396" w:rsidRPr="00815C74" w:rsidRDefault="00915396" w:rsidP="00D81549">
            <w:pPr>
              <w:pStyle w:val="Body"/>
            </w:pPr>
            <w:r>
              <w:lastRenderedPageBreak/>
              <w:t>Major Class Description</w:t>
            </w:r>
          </w:p>
        </w:tc>
        <w:tc>
          <w:tcPr>
            <w:tcW w:w="4335" w:type="dxa"/>
          </w:tcPr>
          <w:p w:rsidR="00915396" w:rsidRPr="00815C74" w:rsidRDefault="00915396" w:rsidP="00D81549">
            <w:pPr>
              <w:pStyle w:val="Body"/>
            </w:pPr>
            <w:r>
              <w:t>Description of the MJC Code</w:t>
            </w:r>
          </w:p>
        </w:tc>
      </w:tr>
      <w:tr w:rsidR="00915396" w:rsidRPr="00C66793" w:rsidTr="00D81549">
        <w:tc>
          <w:tcPr>
            <w:tcW w:w="3657" w:type="dxa"/>
          </w:tcPr>
          <w:p w:rsidR="00915396" w:rsidRPr="00C66793" w:rsidRDefault="00915396" w:rsidP="00D81549">
            <w:pPr>
              <w:pStyle w:val="Body"/>
              <w:rPr>
                <w:highlight w:val="cyan"/>
              </w:rPr>
            </w:pPr>
            <w:r>
              <w:rPr>
                <w:highlight w:val="cyan"/>
              </w:rPr>
              <w:t xml:space="preserve">Ind </w:t>
            </w:r>
            <w:r w:rsidR="00DE123E">
              <w:rPr>
                <w:highlight w:val="cyan"/>
              </w:rPr>
              <w:t xml:space="preserve">Average </w:t>
            </w:r>
            <w:r>
              <w:rPr>
                <w:highlight w:val="cyan"/>
              </w:rPr>
              <w:t>OS</w:t>
            </w:r>
          </w:p>
        </w:tc>
        <w:tc>
          <w:tcPr>
            <w:tcW w:w="4335" w:type="dxa"/>
          </w:tcPr>
          <w:p w:rsidR="00915396" w:rsidRPr="00C66793" w:rsidRDefault="00915396" w:rsidP="00D81549">
            <w:pPr>
              <w:pStyle w:val="Body"/>
              <w:rPr>
                <w:highlight w:val="cyan"/>
              </w:rPr>
            </w:pPr>
            <w:r w:rsidRPr="00C66793">
              <w:rPr>
                <w:highlight w:val="cyan"/>
              </w:rPr>
              <w:t xml:space="preserve">This should appear on the top row of the report before the actual data is presented, this isn’t an actual column of the report (please see mockup). This </w:t>
            </w:r>
            <w:r>
              <w:rPr>
                <w:highlight w:val="cyan"/>
              </w:rPr>
              <w:t>will act as a header for the below 3 data fields for Indemnity Reserves.</w:t>
            </w:r>
          </w:p>
        </w:tc>
      </w:tr>
      <w:tr w:rsidR="00915396" w:rsidRPr="00815C74" w:rsidTr="00D81549">
        <w:tc>
          <w:tcPr>
            <w:tcW w:w="3657" w:type="dxa"/>
          </w:tcPr>
          <w:p w:rsidR="00915396" w:rsidRPr="00815C74" w:rsidRDefault="00915396" w:rsidP="00D81549">
            <w:pPr>
              <w:pStyle w:val="Body"/>
            </w:pPr>
            <w:r>
              <w:t>YTD</w:t>
            </w:r>
          </w:p>
        </w:tc>
        <w:tc>
          <w:tcPr>
            <w:tcW w:w="4335" w:type="dxa"/>
          </w:tcPr>
          <w:p w:rsidR="00915396" w:rsidRPr="00815C74" w:rsidRDefault="00DE123E" w:rsidP="00D81549">
            <w:pPr>
              <w:pStyle w:val="Body"/>
            </w:pPr>
            <w:r>
              <w:t xml:space="preserve">Average </w:t>
            </w:r>
            <w:r w:rsidR="00915396">
              <w:t>Outstanding Indemnity amounts as of current valuation</w:t>
            </w:r>
          </w:p>
        </w:tc>
      </w:tr>
      <w:tr w:rsidR="00915396" w:rsidTr="00D81549">
        <w:tc>
          <w:tcPr>
            <w:tcW w:w="3657" w:type="dxa"/>
          </w:tcPr>
          <w:p w:rsidR="00915396" w:rsidRPr="00815C74" w:rsidRDefault="00915396" w:rsidP="00D81549">
            <w:pPr>
              <w:pStyle w:val="Body"/>
            </w:pPr>
            <w:r>
              <w:t xml:space="preserve">Prior Year to Date </w:t>
            </w:r>
          </w:p>
        </w:tc>
        <w:tc>
          <w:tcPr>
            <w:tcW w:w="4335" w:type="dxa"/>
          </w:tcPr>
          <w:p w:rsidR="00915396" w:rsidRDefault="00915396" w:rsidP="00D81549">
            <w:pPr>
              <w:pStyle w:val="Body"/>
            </w:pPr>
            <w:r>
              <w:t>Same logic as above data field, just for previous year data</w:t>
            </w:r>
          </w:p>
        </w:tc>
      </w:tr>
      <w:tr w:rsidR="00915396" w:rsidTr="00D81549">
        <w:tc>
          <w:tcPr>
            <w:tcW w:w="3657" w:type="dxa"/>
          </w:tcPr>
          <w:p w:rsidR="00915396" w:rsidRPr="00815C74" w:rsidRDefault="00915396" w:rsidP="00D81549">
            <w:pPr>
              <w:pStyle w:val="Body"/>
            </w:pPr>
            <w:r>
              <w:t>Year to Date Change</w:t>
            </w:r>
          </w:p>
        </w:tc>
        <w:tc>
          <w:tcPr>
            <w:tcW w:w="4335" w:type="dxa"/>
          </w:tcPr>
          <w:p w:rsidR="00915396" w:rsidRDefault="00915396" w:rsidP="00D81549">
            <w:pPr>
              <w:pStyle w:val="Body"/>
            </w:pPr>
            <w:r>
              <w:t>(Year to Date – Prior Year to Date)</w:t>
            </w:r>
          </w:p>
        </w:tc>
      </w:tr>
      <w:tr w:rsidR="00915396" w:rsidRPr="00C66793" w:rsidTr="00D81549">
        <w:tc>
          <w:tcPr>
            <w:tcW w:w="3657" w:type="dxa"/>
          </w:tcPr>
          <w:p w:rsidR="00915396" w:rsidRPr="00C66793" w:rsidRDefault="00915396" w:rsidP="00D81549">
            <w:pPr>
              <w:pStyle w:val="Body"/>
              <w:rPr>
                <w:highlight w:val="cyan"/>
              </w:rPr>
            </w:pPr>
            <w:r>
              <w:rPr>
                <w:highlight w:val="cyan"/>
              </w:rPr>
              <w:t xml:space="preserve">Medical </w:t>
            </w:r>
            <w:r w:rsidR="00DE123E">
              <w:rPr>
                <w:highlight w:val="cyan"/>
              </w:rPr>
              <w:t xml:space="preserve">Average </w:t>
            </w:r>
            <w:r>
              <w:rPr>
                <w:highlight w:val="cyan"/>
              </w:rPr>
              <w:t>OS</w:t>
            </w:r>
          </w:p>
        </w:tc>
        <w:tc>
          <w:tcPr>
            <w:tcW w:w="4335" w:type="dxa"/>
          </w:tcPr>
          <w:p w:rsidR="00915396" w:rsidRPr="00C66793" w:rsidRDefault="00915396" w:rsidP="00D81549">
            <w:pPr>
              <w:pStyle w:val="Body"/>
              <w:rPr>
                <w:highlight w:val="cyan"/>
              </w:rPr>
            </w:pPr>
            <w:r w:rsidRPr="00C66793">
              <w:rPr>
                <w:highlight w:val="cyan"/>
              </w:rPr>
              <w:t xml:space="preserve">This should appear on the top row of the report before the actual data is presented, this isn’t an actual column of the report (please see mockup). This </w:t>
            </w:r>
            <w:r>
              <w:rPr>
                <w:highlight w:val="cyan"/>
              </w:rPr>
              <w:t>will act as a header for the below 3 data fields for Medical Reserves.</w:t>
            </w:r>
          </w:p>
        </w:tc>
      </w:tr>
      <w:tr w:rsidR="00915396" w:rsidRPr="00815C74" w:rsidTr="00D81549">
        <w:tc>
          <w:tcPr>
            <w:tcW w:w="3657" w:type="dxa"/>
          </w:tcPr>
          <w:p w:rsidR="00915396" w:rsidRPr="00815C74" w:rsidRDefault="00915396" w:rsidP="00D81549">
            <w:pPr>
              <w:pStyle w:val="Body"/>
            </w:pPr>
            <w:r>
              <w:t>YTD</w:t>
            </w:r>
          </w:p>
        </w:tc>
        <w:tc>
          <w:tcPr>
            <w:tcW w:w="4335" w:type="dxa"/>
          </w:tcPr>
          <w:p w:rsidR="00915396" w:rsidRPr="00815C74" w:rsidRDefault="00DE123E" w:rsidP="00D81549">
            <w:pPr>
              <w:pStyle w:val="Body"/>
            </w:pPr>
            <w:r>
              <w:t xml:space="preserve">Average </w:t>
            </w:r>
            <w:r w:rsidR="00915396">
              <w:t>Outstanding Medical amounts as of current valuation</w:t>
            </w:r>
          </w:p>
        </w:tc>
      </w:tr>
      <w:tr w:rsidR="00915396" w:rsidTr="00D81549">
        <w:tc>
          <w:tcPr>
            <w:tcW w:w="3657" w:type="dxa"/>
          </w:tcPr>
          <w:p w:rsidR="00915396" w:rsidRPr="00815C74" w:rsidRDefault="00915396" w:rsidP="00D81549">
            <w:pPr>
              <w:pStyle w:val="Body"/>
            </w:pPr>
            <w:r>
              <w:t xml:space="preserve">Prior Year to Date </w:t>
            </w:r>
          </w:p>
        </w:tc>
        <w:tc>
          <w:tcPr>
            <w:tcW w:w="4335" w:type="dxa"/>
          </w:tcPr>
          <w:p w:rsidR="00915396" w:rsidRDefault="00915396" w:rsidP="00D81549">
            <w:pPr>
              <w:pStyle w:val="Body"/>
            </w:pPr>
            <w:r>
              <w:t>Same logic as above data field, just for previous year data</w:t>
            </w:r>
          </w:p>
        </w:tc>
      </w:tr>
      <w:tr w:rsidR="00915396" w:rsidTr="00D81549">
        <w:tc>
          <w:tcPr>
            <w:tcW w:w="3657" w:type="dxa"/>
          </w:tcPr>
          <w:p w:rsidR="00915396" w:rsidRPr="00815C74" w:rsidRDefault="00915396" w:rsidP="00D81549">
            <w:pPr>
              <w:pStyle w:val="Body"/>
            </w:pPr>
            <w:r>
              <w:t>Year to Date Change</w:t>
            </w:r>
          </w:p>
        </w:tc>
        <w:tc>
          <w:tcPr>
            <w:tcW w:w="4335" w:type="dxa"/>
          </w:tcPr>
          <w:p w:rsidR="00915396" w:rsidRDefault="00915396" w:rsidP="00D81549">
            <w:pPr>
              <w:pStyle w:val="Body"/>
            </w:pPr>
            <w:r>
              <w:t>(Year to Date – Prior Year to Date)</w:t>
            </w:r>
          </w:p>
        </w:tc>
      </w:tr>
      <w:tr w:rsidR="00915396" w:rsidRPr="00C66793" w:rsidTr="00D81549">
        <w:tc>
          <w:tcPr>
            <w:tcW w:w="3657" w:type="dxa"/>
          </w:tcPr>
          <w:p w:rsidR="00915396" w:rsidRPr="00C66793" w:rsidRDefault="00915396" w:rsidP="00D81549">
            <w:pPr>
              <w:pStyle w:val="Body"/>
              <w:rPr>
                <w:highlight w:val="cyan"/>
              </w:rPr>
            </w:pPr>
            <w:r>
              <w:rPr>
                <w:highlight w:val="cyan"/>
              </w:rPr>
              <w:t xml:space="preserve">Expense </w:t>
            </w:r>
            <w:r w:rsidR="00DE123E">
              <w:rPr>
                <w:highlight w:val="cyan"/>
              </w:rPr>
              <w:t xml:space="preserve">Average </w:t>
            </w:r>
            <w:r>
              <w:rPr>
                <w:highlight w:val="cyan"/>
              </w:rPr>
              <w:t>OS</w:t>
            </w:r>
          </w:p>
        </w:tc>
        <w:tc>
          <w:tcPr>
            <w:tcW w:w="4335" w:type="dxa"/>
          </w:tcPr>
          <w:p w:rsidR="00915396" w:rsidRPr="00C66793" w:rsidRDefault="00915396" w:rsidP="00D81549">
            <w:pPr>
              <w:pStyle w:val="Body"/>
              <w:rPr>
                <w:highlight w:val="cyan"/>
              </w:rPr>
            </w:pPr>
            <w:r w:rsidRPr="00C66793">
              <w:rPr>
                <w:highlight w:val="cyan"/>
              </w:rPr>
              <w:t xml:space="preserve">This should appear on the top row of the report before the actual data is presented, this isn’t an actual column of the report (please see mockup). This </w:t>
            </w:r>
            <w:r>
              <w:rPr>
                <w:highlight w:val="cyan"/>
              </w:rPr>
              <w:t>will act as a header for the below 3 data fields for Expense Reserves</w:t>
            </w:r>
          </w:p>
        </w:tc>
      </w:tr>
      <w:tr w:rsidR="00915396" w:rsidRPr="00815C74" w:rsidTr="00D81549">
        <w:tc>
          <w:tcPr>
            <w:tcW w:w="3657" w:type="dxa"/>
          </w:tcPr>
          <w:p w:rsidR="00915396" w:rsidRPr="00815C74" w:rsidRDefault="00915396" w:rsidP="00D81549">
            <w:pPr>
              <w:pStyle w:val="Body"/>
            </w:pPr>
            <w:r>
              <w:t>YTD</w:t>
            </w:r>
          </w:p>
        </w:tc>
        <w:tc>
          <w:tcPr>
            <w:tcW w:w="4335" w:type="dxa"/>
          </w:tcPr>
          <w:p w:rsidR="00915396" w:rsidRPr="00815C74" w:rsidRDefault="00DE123E" w:rsidP="00D81549">
            <w:pPr>
              <w:pStyle w:val="Body"/>
            </w:pPr>
            <w:r>
              <w:t xml:space="preserve">Average </w:t>
            </w:r>
            <w:r w:rsidR="00915396">
              <w:t>Outstanding Expense amounts as of current valuation</w:t>
            </w:r>
          </w:p>
        </w:tc>
      </w:tr>
      <w:tr w:rsidR="00915396" w:rsidTr="00D81549">
        <w:tc>
          <w:tcPr>
            <w:tcW w:w="3657" w:type="dxa"/>
          </w:tcPr>
          <w:p w:rsidR="00915396" w:rsidRPr="00815C74" w:rsidRDefault="00915396" w:rsidP="00D81549">
            <w:pPr>
              <w:pStyle w:val="Body"/>
            </w:pPr>
            <w:r>
              <w:t xml:space="preserve">Prior Year to Date </w:t>
            </w:r>
          </w:p>
        </w:tc>
        <w:tc>
          <w:tcPr>
            <w:tcW w:w="4335" w:type="dxa"/>
          </w:tcPr>
          <w:p w:rsidR="00915396" w:rsidRDefault="00915396" w:rsidP="00D81549">
            <w:pPr>
              <w:pStyle w:val="Body"/>
            </w:pPr>
            <w:r>
              <w:t>Same logic as above data field, just for previous year data</w:t>
            </w:r>
          </w:p>
        </w:tc>
      </w:tr>
      <w:tr w:rsidR="00915396" w:rsidTr="00D81549">
        <w:tc>
          <w:tcPr>
            <w:tcW w:w="3657" w:type="dxa"/>
          </w:tcPr>
          <w:p w:rsidR="00915396" w:rsidRPr="00815C74" w:rsidRDefault="00915396" w:rsidP="00D81549">
            <w:pPr>
              <w:pStyle w:val="Body"/>
            </w:pPr>
            <w:r>
              <w:t>Year to Date Change</w:t>
            </w:r>
          </w:p>
        </w:tc>
        <w:tc>
          <w:tcPr>
            <w:tcW w:w="4335" w:type="dxa"/>
          </w:tcPr>
          <w:p w:rsidR="00915396" w:rsidRDefault="00915396" w:rsidP="00D81549">
            <w:pPr>
              <w:pStyle w:val="Body"/>
            </w:pPr>
            <w:r>
              <w:t>(Year to Date – Prior Year to Date)</w:t>
            </w:r>
          </w:p>
        </w:tc>
      </w:tr>
      <w:tr w:rsidR="00DE123E" w:rsidTr="00D81549">
        <w:tc>
          <w:tcPr>
            <w:tcW w:w="3657" w:type="dxa"/>
          </w:tcPr>
          <w:p w:rsidR="00DE123E" w:rsidRPr="00C66793" w:rsidRDefault="00DE123E" w:rsidP="00D81549">
            <w:pPr>
              <w:pStyle w:val="Body"/>
              <w:rPr>
                <w:highlight w:val="cyan"/>
              </w:rPr>
            </w:pPr>
            <w:r>
              <w:rPr>
                <w:highlight w:val="cyan"/>
              </w:rPr>
              <w:t>IML Average OS</w:t>
            </w:r>
          </w:p>
        </w:tc>
        <w:tc>
          <w:tcPr>
            <w:tcW w:w="4335" w:type="dxa"/>
          </w:tcPr>
          <w:p w:rsidR="00DE123E" w:rsidRPr="00C66793" w:rsidRDefault="00DE123E" w:rsidP="00D81549">
            <w:pPr>
              <w:pStyle w:val="Body"/>
              <w:rPr>
                <w:highlight w:val="cyan"/>
              </w:rPr>
            </w:pPr>
            <w:r w:rsidRPr="00C66793">
              <w:rPr>
                <w:highlight w:val="cyan"/>
              </w:rPr>
              <w:t xml:space="preserve">This should appear on the top row of the report before the actual data is presented, this isn’t an actual column of the report (please see mockup). This </w:t>
            </w:r>
            <w:r>
              <w:rPr>
                <w:highlight w:val="cyan"/>
              </w:rPr>
              <w:t>will act as a header for the below 3 data fields for Indemnity, Medical, and Expense Reserves</w:t>
            </w:r>
          </w:p>
        </w:tc>
      </w:tr>
      <w:tr w:rsidR="00DE123E" w:rsidTr="00D81549">
        <w:tc>
          <w:tcPr>
            <w:tcW w:w="3657" w:type="dxa"/>
          </w:tcPr>
          <w:p w:rsidR="00DE123E" w:rsidRPr="00815C74" w:rsidRDefault="00DE123E" w:rsidP="00D81549">
            <w:pPr>
              <w:pStyle w:val="Body"/>
            </w:pPr>
            <w:r>
              <w:t>YTD</w:t>
            </w:r>
          </w:p>
        </w:tc>
        <w:tc>
          <w:tcPr>
            <w:tcW w:w="4335" w:type="dxa"/>
          </w:tcPr>
          <w:p w:rsidR="00DE123E" w:rsidRPr="00815C74" w:rsidRDefault="00DE123E" w:rsidP="00D81549">
            <w:pPr>
              <w:pStyle w:val="Body"/>
            </w:pPr>
            <w:r>
              <w:t>Average Outstanding Indemnity, Medical, and Expense amounts as of current valuation</w:t>
            </w:r>
          </w:p>
        </w:tc>
      </w:tr>
      <w:tr w:rsidR="00DE123E" w:rsidTr="00D81549">
        <w:tc>
          <w:tcPr>
            <w:tcW w:w="3657" w:type="dxa"/>
          </w:tcPr>
          <w:p w:rsidR="00DE123E" w:rsidRPr="00815C74" w:rsidRDefault="00DE123E" w:rsidP="00D81549">
            <w:pPr>
              <w:pStyle w:val="Body"/>
            </w:pPr>
            <w:r>
              <w:lastRenderedPageBreak/>
              <w:t xml:space="preserve">Prior Year to Date </w:t>
            </w:r>
          </w:p>
        </w:tc>
        <w:tc>
          <w:tcPr>
            <w:tcW w:w="4335" w:type="dxa"/>
          </w:tcPr>
          <w:p w:rsidR="00DE123E" w:rsidRDefault="00DE123E" w:rsidP="00D81549">
            <w:pPr>
              <w:pStyle w:val="Body"/>
            </w:pPr>
            <w:r>
              <w:t>Same logic as above data field, just for previous year data</w:t>
            </w:r>
          </w:p>
        </w:tc>
      </w:tr>
      <w:tr w:rsidR="00DE123E" w:rsidTr="00D81549">
        <w:tc>
          <w:tcPr>
            <w:tcW w:w="3657" w:type="dxa"/>
          </w:tcPr>
          <w:p w:rsidR="00DE123E" w:rsidRPr="00815C74" w:rsidRDefault="00DE123E" w:rsidP="00D81549">
            <w:pPr>
              <w:pStyle w:val="Body"/>
            </w:pPr>
            <w:r>
              <w:t>Year to Date Change</w:t>
            </w:r>
          </w:p>
        </w:tc>
        <w:tc>
          <w:tcPr>
            <w:tcW w:w="4335" w:type="dxa"/>
          </w:tcPr>
          <w:p w:rsidR="00DE123E" w:rsidRDefault="00DE123E" w:rsidP="00D81549">
            <w:pPr>
              <w:pStyle w:val="Body"/>
            </w:pPr>
            <w:r>
              <w:t>(Year to Date – Prior Year to Date)</w:t>
            </w:r>
          </w:p>
        </w:tc>
      </w:tr>
      <w:tr w:rsidR="0087539D" w:rsidTr="00D81549">
        <w:tc>
          <w:tcPr>
            <w:tcW w:w="3657" w:type="dxa"/>
          </w:tcPr>
          <w:p w:rsidR="0087539D" w:rsidRDefault="0087539D" w:rsidP="00A02775">
            <w:pPr>
              <w:pStyle w:val="Body"/>
            </w:pPr>
            <w:r>
              <w:t>Grand Total</w:t>
            </w:r>
          </w:p>
        </w:tc>
        <w:tc>
          <w:tcPr>
            <w:tcW w:w="4335" w:type="dxa"/>
          </w:tcPr>
          <w:p w:rsidR="0087539D" w:rsidRDefault="0087539D" w:rsidP="00A02775">
            <w:pPr>
              <w:pStyle w:val="Body"/>
            </w:pPr>
            <w:r>
              <w:t>Rather than a summary of adding up each of the above fields like in other Grand Total’s this field needs to be calculated at the TPA/LOB/MJC level as one calculation per the logic detailed above.</w:t>
            </w:r>
          </w:p>
        </w:tc>
      </w:tr>
    </w:tbl>
    <w:p w:rsidR="00915396" w:rsidRDefault="00915396" w:rsidP="00DE123E">
      <w:pPr>
        <w:ind w:left="0"/>
        <w:rPr>
          <w:b/>
        </w:rPr>
      </w:pPr>
    </w:p>
    <w:p w:rsidR="00DE123E" w:rsidRDefault="00DE123E" w:rsidP="005B2E8D">
      <w:pPr>
        <w:pStyle w:val="ListParagraph"/>
        <w:numPr>
          <w:ilvl w:val="0"/>
          <w:numId w:val="16"/>
        </w:numPr>
        <w:rPr>
          <w:b/>
        </w:rPr>
      </w:pPr>
      <w:r>
        <w:rPr>
          <w:b/>
        </w:rPr>
        <w:t>Pending Case Duration_11</w:t>
      </w:r>
    </w:p>
    <w:p w:rsidR="00DE123E" w:rsidRPr="00DE123E" w:rsidRDefault="00DE123E" w:rsidP="005B2E8D">
      <w:pPr>
        <w:pStyle w:val="ListParagraph"/>
        <w:numPr>
          <w:ilvl w:val="0"/>
          <w:numId w:val="16"/>
        </w:numPr>
        <w:rPr>
          <w:b/>
        </w:rPr>
      </w:pPr>
      <w:r>
        <w:t>Logic – This report will show the average pending duration for claims that have reserves. Formula is as follows: (total days all claims have been opened/</w:t>
      </w:r>
    </w:p>
    <w:tbl>
      <w:tblPr>
        <w:tblW w:w="0" w:type="auto"/>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57"/>
        <w:gridCol w:w="4335"/>
      </w:tblGrid>
      <w:tr w:rsidR="00DE123E" w:rsidRPr="009624BC" w:rsidTr="00D81549">
        <w:tc>
          <w:tcPr>
            <w:tcW w:w="3657" w:type="dxa"/>
            <w:shd w:val="pct50" w:color="auto" w:fill="auto"/>
            <w:vAlign w:val="center"/>
          </w:tcPr>
          <w:p w:rsidR="00DE123E" w:rsidRPr="009624BC" w:rsidRDefault="00DE123E" w:rsidP="00D81549">
            <w:pPr>
              <w:pStyle w:val="Body"/>
              <w:jc w:val="center"/>
              <w:rPr>
                <w:b/>
                <w:color w:val="FFFFFF"/>
              </w:rPr>
            </w:pPr>
            <w:r w:rsidRPr="009624BC">
              <w:rPr>
                <w:b/>
                <w:color w:val="FFFFFF"/>
              </w:rPr>
              <w:t>Data_Field</w:t>
            </w:r>
          </w:p>
        </w:tc>
        <w:tc>
          <w:tcPr>
            <w:tcW w:w="4335" w:type="dxa"/>
            <w:shd w:val="pct50" w:color="auto" w:fill="auto"/>
            <w:vAlign w:val="center"/>
          </w:tcPr>
          <w:p w:rsidR="00DE123E" w:rsidRPr="009624BC" w:rsidRDefault="00DE123E" w:rsidP="00D81549">
            <w:pPr>
              <w:pStyle w:val="Body"/>
              <w:jc w:val="center"/>
              <w:rPr>
                <w:b/>
                <w:color w:val="FFFFFF"/>
              </w:rPr>
            </w:pPr>
            <w:r w:rsidRPr="009624BC">
              <w:rPr>
                <w:b/>
                <w:color w:val="FFFFFF"/>
              </w:rPr>
              <w:t>Description</w:t>
            </w:r>
          </w:p>
        </w:tc>
      </w:tr>
      <w:tr w:rsidR="00DE123E" w:rsidTr="00D81549">
        <w:tc>
          <w:tcPr>
            <w:tcW w:w="3657" w:type="dxa"/>
          </w:tcPr>
          <w:p w:rsidR="00DE123E" w:rsidRDefault="00DE123E" w:rsidP="00D81549">
            <w:pPr>
              <w:pStyle w:val="Body"/>
            </w:pPr>
            <w:r>
              <w:t>TPA Name</w:t>
            </w:r>
          </w:p>
        </w:tc>
        <w:tc>
          <w:tcPr>
            <w:tcW w:w="4335" w:type="dxa"/>
          </w:tcPr>
          <w:p w:rsidR="00DE123E" w:rsidRDefault="00DE123E" w:rsidP="00D81549">
            <w:pPr>
              <w:pStyle w:val="Body"/>
            </w:pPr>
            <w:r>
              <w:t>Name of TPA</w:t>
            </w:r>
          </w:p>
        </w:tc>
      </w:tr>
      <w:tr w:rsidR="00DE123E" w:rsidRPr="00815C74" w:rsidTr="00D81549">
        <w:tc>
          <w:tcPr>
            <w:tcW w:w="3657" w:type="dxa"/>
          </w:tcPr>
          <w:p w:rsidR="00DE123E" w:rsidRPr="00815C74" w:rsidRDefault="00DE123E" w:rsidP="00D81549">
            <w:pPr>
              <w:pStyle w:val="Body"/>
            </w:pPr>
            <w:r>
              <w:t>Line Of Business</w:t>
            </w:r>
          </w:p>
        </w:tc>
        <w:tc>
          <w:tcPr>
            <w:tcW w:w="4335" w:type="dxa"/>
          </w:tcPr>
          <w:p w:rsidR="00DE123E" w:rsidRPr="00815C74" w:rsidRDefault="00DE123E" w:rsidP="00D81549">
            <w:pPr>
              <w:pStyle w:val="Body"/>
            </w:pPr>
            <w:r>
              <w:t>Line of Business Code</w:t>
            </w:r>
          </w:p>
        </w:tc>
      </w:tr>
      <w:tr w:rsidR="00DE123E" w:rsidRPr="00815C74" w:rsidTr="00D81549">
        <w:tc>
          <w:tcPr>
            <w:tcW w:w="3657" w:type="dxa"/>
          </w:tcPr>
          <w:p w:rsidR="00DE123E" w:rsidRPr="00815C74" w:rsidRDefault="00DE123E" w:rsidP="00D81549">
            <w:pPr>
              <w:pStyle w:val="Body"/>
            </w:pPr>
            <w:r>
              <w:t>Major Class Description</w:t>
            </w:r>
          </w:p>
        </w:tc>
        <w:tc>
          <w:tcPr>
            <w:tcW w:w="4335" w:type="dxa"/>
          </w:tcPr>
          <w:p w:rsidR="00DE123E" w:rsidRPr="00815C74" w:rsidRDefault="00DE123E" w:rsidP="00D81549">
            <w:pPr>
              <w:pStyle w:val="Body"/>
            </w:pPr>
            <w:r>
              <w:t>Description of the MJC Code</w:t>
            </w:r>
          </w:p>
        </w:tc>
      </w:tr>
      <w:tr w:rsidR="00DE123E" w:rsidRPr="00C66793" w:rsidTr="00D81549">
        <w:tc>
          <w:tcPr>
            <w:tcW w:w="3657" w:type="dxa"/>
          </w:tcPr>
          <w:p w:rsidR="00DE123E" w:rsidRPr="00C66793" w:rsidRDefault="00DE123E" w:rsidP="00D81549">
            <w:pPr>
              <w:pStyle w:val="Body"/>
              <w:rPr>
                <w:highlight w:val="cyan"/>
              </w:rPr>
            </w:pPr>
            <w:r>
              <w:rPr>
                <w:highlight w:val="cyan"/>
              </w:rPr>
              <w:t>Pending Duration</w:t>
            </w:r>
          </w:p>
        </w:tc>
        <w:tc>
          <w:tcPr>
            <w:tcW w:w="4335" w:type="dxa"/>
          </w:tcPr>
          <w:p w:rsidR="00DE123E" w:rsidRPr="00C66793" w:rsidRDefault="00DE123E" w:rsidP="008871E6">
            <w:pPr>
              <w:pStyle w:val="Body"/>
              <w:rPr>
                <w:highlight w:val="cyan"/>
              </w:rPr>
            </w:pPr>
            <w:r w:rsidRPr="00C66793">
              <w:rPr>
                <w:highlight w:val="cyan"/>
              </w:rPr>
              <w:t xml:space="preserve">This should appear on the top row of the report before the actual data is presented, this isn’t an actual column of the report (please see mockup). This </w:t>
            </w:r>
            <w:r>
              <w:rPr>
                <w:highlight w:val="cyan"/>
              </w:rPr>
              <w:t xml:space="preserve">will act as a header for the below 3 data fields for </w:t>
            </w:r>
            <w:r w:rsidR="008871E6">
              <w:rPr>
                <w:highlight w:val="cyan"/>
              </w:rPr>
              <w:t>Open Claim Duration</w:t>
            </w:r>
          </w:p>
        </w:tc>
      </w:tr>
      <w:tr w:rsidR="00DE123E" w:rsidRPr="00815C74" w:rsidTr="00D81549">
        <w:tc>
          <w:tcPr>
            <w:tcW w:w="3657" w:type="dxa"/>
          </w:tcPr>
          <w:p w:rsidR="00DE123E" w:rsidRPr="00815C74" w:rsidRDefault="00DE123E" w:rsidP="00D81549">
            <w:pPr>
              <w:pStyle w:val="Body"/>
            </w:pPr>
            <w:r>
              <w:t>YTD</w:t>
            </w:r>
          </w:p>
        </w:tc>
        <w:tc>
          <w:tcPr>
            <w:tcW w:w="4335" w:type="dxa"/>
          </w:tcPr>
          <w:p w:rsidR="00DE123E" w:rsidRPr="00815C74" w:rsidRDefault="00DE123E" w:rsidP="008871E6">
            <w:pPr>
              <w:pStyle w:val="Body"/>
            </w:pPr>
            <w:r>
              <w:t xml:space="preserve">Average </w:t>
            </w:r>
            <w:r w:rsidR="008871E6">
              <w:t>Days claims have been opened as of the current valuation</w:t>
            </w:r>
          </w:p>
        </w:tc>
      </w:tr>
      <w:tr w:rsidR="00DE123E" w:rsidTr="00D81549">
        <w:tc>
          <w:tcPr>
            <w:tcW w:w="3657" w:type="dxa"/>
          </w:tcPr>
          <w:p w:rsidR="00DE123E" w:rsidRPr="00815C74" w:rsidRDefault="00DE123E" w:rsidP="00D81549">
            <w:pPr>
              <w:pStyle w:val="Body"/>
            </w:pPr>
            <w:r>
              <w:t xml:space="preserve">Prior Year to Date </w:t>
            </w:r>
          </w:p>
        </w:tc>
        <w:tc>
          <w:tcPr>
            <w:tcW w:w="4335" w:type="dxa"/>
          </w:tcPr>
          <w:p w:rsidR="00DE123E" w:rsidRDefault="00DE123E" w:rsidP="00D81549">
            <w:pPr>
              <w:pStyle w:val="Body"/>
            </w:pPr>
            <w:r>
              <w:t>Same logic as above data field, just for previous year data</w:t>
            </w:r>
          </w:p>
        </w:tc>
      </w:tr>
      <w:tr w:rsidR="00DE123E" w:rsidTr="00D81549">
        <w:tc>
          <w:tcPr>
            <w:tcW w:w="3657" w:type="dxa"/>
          </w:tcPr>
          <w:p w:rsidR="00DE123E" w:rsidRPr="00815C74" w:rsidRDefault="00DE123E" w:rsidP="00D81549">
            <w:pPr>
              <w:pStyle w:val="Body"/>
            </w:pPr>
            <w:r>
              <w:t>Year to Date Change</w:t>
            </w:r>
          </w:p>
        </w:tc>
        <w:tc>
          <w:tcPr>
            <w:tcW w:w="4335" w:type="dxa"/>
          </w:tcPr>
          <w:p w:rsidR="00DE123E" w:rsidRDefault="00DE123E" w:rsidP="00D81549">
            <w:pPr>
              <w:pStyle w:val="Body"/>
            </w:pPr>
            <w:r>
              <w:t>(Year to Date – Prior Year to Date)</w:t>
            </w:r>
          </w:p>
        </w:tc>
      </w:tr>
      <w:tr w:rsidR="0087539D" w:rsidTr="00D81549">
        <w:tc>
          <w:tcPr>
            <w:tcW w:w="3657" w:type="dxa"/>
          </w:tcPr>
          <w:p w:rsidR="0087539D" w:rsidRDefault="0087539D" w:rsidP="00A02775">
            <w:pPr>
              <w:pStyle w:val="Body"/>
            </w:pPr>
            <w:r>
              <w:t>Grand Total</w:t>
            </w:r>
          </w:p>
        </w:tc>
        <w:tc>
          <w:tcPr>
            <w:tcW w:w="4335" w:type="dxa"/>
          </w:tcPr>
          <w:p w:rsidR="0087539D" w:rsidRDefault="0087539D" w:rsidP="00A02775">
            <w:pPr>
              <w:pStyle w:val="Body"/>
            </w:pPr>
            <w:r>
              <w:t>Rather than a summary of adding up each of the above fields like in other Grand Total’s this field needs to be calculated at the TPA/LOB/MJC level as one calculation per the logic detailed above.</w:t>
            </w:r>
          </w:p>
        </w:tc>
      </w:tr>
    </w:tbl>
    <w:p w:rsidR="008871E6" w:rsidRDefault="008871E6" w:rsidP="008871E6">
      <w:pPr>
        <w:ind w:left="0"/>
        <w:rPr>
          <w:b/>
        </w:rPr>
      </w:pPr>
    </w:p>
    <w:p w:rsidR="008871E6" w:rsidRDefault="008871E6" w:rsidP="005B2E8D">
      <w:pPr>
        <w:pStyle w:val="ListParagraph"/>
        <w:numPr>
          <w:ilvl w:val="0"/>
          <w:numId w:val="17"/>
        </w:numPr>
        <w:rPr>
          <w:b/>
        </w:rPr>
      </w:pPr>
      <w:r>
        <w:rPr>
          <w:b/>
        </w:rPr>
        <w:t>Recoveries_12</w:t>
      </w:r>
    </w:p>
    <w:p w:rsidR="008871E6" w:rsidRPr="008871E6" w:rsidRDefault="008871E6" w:rsidP="005B2E8D">
      <w:pPr>
        <w:pStyle w:val="ListParagraph"/>
        <w:numPr>
          <w:ilvl w:val="0"/>
          <w:numId w:val="17"/>
        </w:numPr>
        <w:rPr>
          <w:b/>
        </w:rPr>
      </w:pPr>
      <w:r>
        <w:t>Logic – This report is to show all recovery amounts</w:t>
      </w:r>
    </w:p>
    <w:tbl>
      <w:tblPr>
        <w:tblW w:w="0" w:type="auto"/>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57"/>
        <w:gridCol w:w="4335"/>
      </w:tblGrid>
      <w:tr w:rsidR="008871E6" w:rsidRPr="009624BC" w:rsidTr="00D81549">
        <w:tc>
          <w:tcPr>
            <w:tcW w:w="3657" w:type="dxa"/>
            <w:shd w:val="pct50" w:color="auto" w:fill="auto"/>
            <w:vAlign w:val="center"/>
          </w:tcPr>
          <w:p w:rsidR="008871E6" w:rsidRPr="009624BC" w:rsidRDefault="008871E6" w:rsidP="00D81549">
            <w:pPr>
              <w:pStyle w:val="Body"/>
              <w:jc w:val="center"/>
              <w:rPr>
                <w:b/>
                <w:color w:val="FFFFFF"/>
              </w:rPr>
            </w:pPr>
            <w:r w:rsidRPr="009624BC">
              <w:rPr>
                <w:b/>
                <w:color w:val="FFFFFF"/>
              </w:rPr>
              <w:t>Data_Field</w:t>
            </w:r>
          </w:p>
        </w:tc>
        <w:tc>
          <w:tcPr>
            <w:tcW w:w="4335" w:type="dxa"/>
            <w:shd w:val="pct50" w:color="auto" w:fill="auto"/>
            <w:vAlign w:val="center"/>
          </w:tcPr>
          <w:p w:rsidR="008871E6" w:rsidRPr="009624BC" w:rsidRDefault="008871E6" w:rsidP="00D81549">
            <w:pPr>
              <w:pStyle w:val="Body"/>
              <w:jc w:val="center"/>
              <w:rPr>
                <w:b/>
                <w:color w:val="FFFFFF"/>
              </w:rPr>
            </w:pPr>
            <w:r w:rsidRPr="009624BC">
              <w:rPr>
                <w:b/>
                <w:color w:val="FFFFFF"/>
              </w:rPr>
              <w:t>Description</w:t>
            </w:r>
          </w:p>
        </w:tc>
      </w:tr>
      <w:tr w:rsidR="008871E6" w:rsidTr="00D81549">
        <w:tc>
          <w:tcPr>
            <w:tcW w:w="3657" w:type="dxa"/>
          </w:tcPr>
          <w:p w:rsidR="008871E6" w:rsidRDefault="008871E6" w:rsidP="00D81549">
            <w:pPr>
              <w:pStyle w:val="Body"/>
            </w:pPr>
            <w:r>
              <w:t>TPA Name</w:t>
            </w:r>
          </w:p>
        </w:tc>
        <w:tc>
          <w:tcPr>
            <w:tcW w:w="4335" w:type="dxa"/>
          </w:tcPr>
          <w:p w:rsidR="008871E6" w:rsidRDefault="008871E6" w:rsidP="00D81549">
            <w:pPr>
              <w:pStyle w:val="Body"/>
            </w:pPr>
            <w:r>
              <w:t>Name of TPA</w:t>
            </w:r>
          </w:p>
        </w:tc>
      </w:tr>
      <w:tr w:rsidR="008871E6" w:rsidRPr="00815C74" w:rsidTr="00D81549">
        <w:tc>
          <w:tcPr>
            <w:tcW w:w="3657" w:type="dxa"/>
          </w:tcPr>
          <w:p w:rsidR="008871E6" w:rsidRPr="00815C74" w:rsidRDefault="008871E6" w:rsidP="00D81549">
            <w:pPr>
              <w:pStyle w:val="Body"/>
            </w:pPr>
            <w:r>
              <w:t>Line Of Business</w:t>
            </w:r>
          </w:p>
        </w:tc>
        <w:tc>
          <w:tcPr>
            <w:tcW w:w="4335" w:type="dxa"/>
          </w:tcPr>
          <w:p w:rsidR="008871E6" w:rsidRPr="00815C74" w:rsidRDefault="008871E6" w:rsidP="00D81549">
            <w:pPr>
              <w:pStyle w:val="Body"/>
            </w:pPr>
            <w:r>
              <w:t>Line of Business Code</w:t>
            </w:r>
          </w:p>
        </w:tc>
      </w:tr>
      <w:tr w:rsidR="008871E6" w:rsidRPr="00815C74" w:rsidTr="00D81549">
        <w:tc>
          <w:tcPr>
            <w:tcW w:w="3657" w:type="dxa"/>
          </w:tcPr>
          <w:p w:rsidR="008871E6" w:rsidRPr="00815C74" w:rsidRDefault="008871E6" w:rsidP="00D81549">
            <w:pPr>
              <w:pStyle w:val="Body"/>
            </w:pPr>
            <w:r>
              <w:lastRenderedPageBreak/>
              <w:t>Major Class Description</w:t>
            </w:r>
          </w:p>
        </w:tc>
        <w:tc>
          <w:tcPr>
            <w:tcW w:w="4335" w:type="dxa"/>
          </w:tcPr>
          <w:p w:rsidR="008871E6" w:rsidRPr="00815C74" w:rsidRDefault="008871E6" w:rsidP="00D81549">
            <w:pPr>
              <w:pStyle w:val="Body"/>
            </w:pPr>
            <w:r>
              <w:t>Description of the MJC Code</w:t>
            </w:r>
          </w:p>
        </w:tc>
      </w:tr>
      <w:tr w:rsidR="008871E6" w:rsidRPr="00C66793" w:rsidTr="00D81549">
        <w:tc>
          <w:tcPr>
            <w:tcW w:w="3657" w:type="dxa"/>
          </w:tcPr>
          <w:p w:rsidR="008871E6" w:rsidRPr="00C66793" w:rsidRDefault="00455C44" w:rsidP="00D81549">
            <w:pPr>
              <w:pStyle w:val="Body"/>
              <w:rPr>
                <w:highlight w:val="cyan"/>
              </w:rPr>
            </w:pPr>
            <w:r>
              <w:rPr>
                <w:highlight w:val="cyan"/>
              </w:rPr>
              <w:t>Recoveries</w:t>
            </w:r>
          </w:p>
        </w:tc>
        <w:tc>
          <w:tcPr>
            <w:tcW w:w="4335" w:type="dxa"/>
          </w:tcPr>
          <w:p w:rsidR="008871E6" w:rsidRPr="00C66793" w:rsidRDefault="008871E6" w:rsidP="00455C44">
            <w:pPr>
              <w:pStyle w:val="Body"/>
              <w:rPr>
                <w:highlight w:val="cyan"/>
              </w:rPr>
            </w:pPr>
            <w:r w:rsidRPr="00C66793">
              <w:rPr>
                <w:highlight w:val="cyan"/>
              </w:rPr>
              <w:t xml:space="preserve">This should appear on the top row of the report before the actual data is presented, this isn’t an actual column of the report (please see mockup). This </w:t>
            </w:r>
            <w:r>
              <w:rPr>
                <w:highlight w:val="cyan"/>
              </w:rPr>
              <w:t xml:space="preserve">will act as a header for the below 5 data fields for </w:t>
            </w:r>
            <w:r w:rsidR="00455C44">
              <w:rPr>
                <w:highlight w:val="cyan"/>
              </w:rPr>
              <w:t>Recoveries</w:t>
            </w:r>
          </w:p>
        </w:tc>
      </w:tr>
      <w:tr w:rsidR="008871E6" w:rsidRPr="00815C74" w:rsidTr="00D81549">
        <w:tc>
          <w:tcPr>
            <w:tcW w:w="3657" w:type="dxa"/>
          </w:tcPr>
          <w:p w:rsidR="008871E6" w:rsidRPr="00815C74" w:rsidRDefault="008871E6" w:rsidP="00D81549">
            <w:pPr>
              <w:pStyle w:val="Body"/>
            </w:pPr>
            <w:r>
              <w:t>YTD</w:t>
            </w:r>
          </w:p>
        </w:tc>
        <w:tc>
          <w:tcPr>
            <w:tcW w:w="4335" w:type="dxa"/>
          </w:tcPr>
          <w:p w:rsidR="008871E6" w:rsidRPr="00815C74" w:rsidRDefault="00596B49" w:rsidP="00596B49">
            <w:pPr>
              <w:pStyle w:val="Body"/>
            </w:pPr>
            <w:r>
              <w:t>Total amount paid in recoveries made from January of current year</w:t>
            </w:r>
            <w:r w:rsidR="008871E6">
              <w:t xml:space="preserve"> </w:t>
            </w:r>
            <w:r>
              <w:t>to</w:t>
            </w:r>
            <w:r w:rsidR="008871E6">
              <w:t xml:space="preserve"> the current valuation</w:t>
            </w:r>
          </w:p>
        </w:tc>
      </w:tr>
      <w:tr w:rsidR="008871E6" w:rsidTr="00D81549">
        <w:tc>
          <w:tcPr>
            <w:tcW w:w="3657" w:type="dxa"/>
          </w:tcPr>
          <w:p w:rsidR="008871E6" w:rsidRPr="00815C74" w:rsidRDefault="008871E6" w:rsidP="00D81549">
            <w:pPr>
              <w:pStyle w:val="Body"/>
            </w:pPr>
            <w:r>
              <w:t xml:space="preserve">Prior Year to Date </w:t>
            </w:r>
          </w:p>
        </w:tc>
        <w:tc>
          <w:tcPr>
            <w:tcW w:w="4335" w:type="dxa"/>
          </w:tcPr>
          <w:p w:rsidR="008871E6" w:rsidRDefault="008871E6" w:rsidP="00D81549">
            <w:pPr>
              <w:pStyle w:val="Body"/>
            </w:pPr>
            <w:r>
              <w:t>Same logic as above data field, just for previous year data</w:t>
            </w:r>
          </w:p>
        </w:tc>
      </w:tr>
      <w:tr w:rsidR="008871E6" w:rsidTr="00D81549">
        <w:tc>
          <w:tcPr>
            <w:tcW w:w="3657" w:type="dxa"/>
          </w:tcPr>
          <w:p w:rsidR="008871E6" w:rsidRPr="00815C74" w:rsidRDefault="008871E6" w:rsidP="00D81549">
            <w:pPr>
              <w:pStyle w:val="Body"/>
            </w:pPr>
            <w:r>
              <w:t>Year to Date Change</w:t>
            </w:r>
          </w:p>
        </w:tc>
        <w:tc>
          <w:tcPr>
            <w:tcW w:w="4335" w:type="dxa"/>
          </w:tcPr>
          <w:p w:rsidR="008871E6" w:rsidRDefault="008871E6" w:rsidP="00D81549">
            <w:pPr>
              <w:pStyle w:val="Body"/>
            </w:pPr>
            <w:r>
              <w:t>(Year to Date – Prior Year to Date)</w:t>
            </w:r>
          </w:p>
        </w:tc>
      </w:tr>
      <w:tr w:rsidR="008871E6" w:rsidTr="00D81549">
        <w:tc>
          <w:tcPr>
            <w:tcW w:w="3657" w:type="dxa"/>
          </w:tcPr>
          <w:p w:rsidR="008871E6" w:rsidRDefault="008871E6" w:rsidP="00D81549">
            <w:pPr>
              <w:pStyle w:val="Body"/>
            </w:pPr>
            <w:r>
              <w:t>Current Month</w:t>
            </w:r>
          </w:p>
        </w:tc>
        <w:tc>
          <w:tcPr>
            <w:tcW w:w="4335" w:type="dxa"/>
          </w:tcPr>
          <w:p w:rsidR="008871E6" w:rsidRDefault="00596B49" w:rsidP="00D81549">
            <w:pPr>
              <w:pStyle w:val="Body"/>
            </w:pPr>
            <w:r>
              <w:t>Total amount paid in recoveries made for the current monthly valuation</w:t>
            </w:r>
          </w:p>
        </w:tc>
      </w:tr>
      <w:tr w:rsidR="008871E6" w:rsidTr="00D81549">
        <w:tc>
          <w:tcPr>
            <w:tcW w:w="3657" w:type="dxa"/>
          </w:tcPr>
          <w:p w:rsidR="008871E6" w:rsidRDefault="008871E6" w:rsidP="00D81549">
            <w:pPr>
              <w:pStyle w:val="Body"/>
            </w:pPr>
            <w:r>
              <w:t>Prior Year Current Month</w:t>
            </w:r>
          </w:p>
        </w:tc>
        <w:tc>
          <w:tcPr>
            <w:tcW w:w="4335" w:type="dxa"/>
          </w:tcPr>
          <w:p w:rsidR="008871E6" w:rsidRDefault="00596B49" w:rsidP="00D81549">
            <w:pPr>
              <w:pStyle w:val="Body"/>
            </w:pPr>
            <w:r>
              <w:t>Same logic as above data field, just for previous year data</w:t>
            </w:r>
          </w:p>
        </w:tc>
      </w:tr>
      <w:tr w:rsidR="0087539D" w:rsidTr="00D81549">
        <w:tc>
          <w:tcPr>
            <w:tcW w:w="3657" w:type="dxa"/>
          </w:tcPr>
          <w:p w:rsidR="0087539D" w:rsidRDefault="0087539D" w:rsidP="00D81549">
            <w:pPr>
              <w:pStyle w:val="Body"/>
            </w:pPr>
            <w:r>
              <w:t>Grand Total</w:t>
            </w:r>
          </w:p>
        </w:tc>
        <w:tc>
          <w:tcPr>
            <w:tcW w:w="4335" w:type="dxa"/>
          </w:tcPr>
          <w:p w:rsidR="0087539D" w:rsidRDefault="0087539D" w:rsidP="00D81549">
            <w:pPr>
              <w:pStyle w:val="Body"/>
            </w:pPr>
            <w:r>
              <w:t>Sum of the above data fields for the TPA</w:t>
            </w:r>
          </w:p>
        </w:tc>
      </w:tr>
    </w:tbl>
    <w:p w:rsidR="008871E6" w:rsidRDefault="008871E6" w:rsidP="0068788F">
      <w:pPr>
        <w:ind w:left="0"/>
        <w:rPr>
          <w:b/>
        </w:rPr>
      </w:pPr>
    </w:p>
    <w:p w:rsidR="0068788F" w:rsidRDefault="0068788F" w:rsidP="0068788F">
      <w:pPr>
        <w:ind w:left="0"/>
        <w:rPr>
          <w:b/>
        </w:rPr>
      </w:pPr>
      <w:r>
        <w:rPr>
          <w:b/>
        </w:rPr>
        <w:t>All of the above reports should be included in one excel workbook, on 12 total tabs in total.</w:t>
      </w:r>
    </w:p>
    <w:p w:rsidR="00D81549" w:rsidRDefault="00D81549" w:rsidP="0068788F">
      <w:pPr>
        <w:ind w:left="0"/>
        <w:rPr>
          <w:b/>
        </w:rPr>
      </w:pPr>
    </w:p>
    <w:p w:rsidR="008202E2" w:rsidRDefault="008202E2" w:rsidP="0068788F">
      <w:pPr>
        <w:ind w:left="0"/>
        <w:rPr>
          <w:b/>
        </w:rPr>
      </w:pPr>
      <w:r>
        <w:rPr>
          <w:b/>
        </w:rPr>
        <w:t>Mockup Report</w:t>
      </w:r>
    </w:p>
    <w:p w:rsidR="008202E2" w:rsidRDefault="008202E2" w:rsidP="008202E2">
      <w:pPr>
        <w:pStyle w:val="ListParagraph"/>
        <w:numPr>
          <w:ilvl w:val="0"/>
          <w:numId w:val="23"/>
        </w:numPr>
        <w:rPr>
          <w:b/>
        </w:rPr>
      </w:pPr>
      <w:r>
        <w:rPr>
          <w:b/>
        </w:rPr>
        <w:t>Below attachment is the Lexington version of the report from which the TPAIR version should mimic</w:t>
      </w:r>
    </w:p>
    <w:p w:rsidR="001C31C3" w:rsidRDefault="001C31C3" w:rsidP="008202E2">
      <w:pPr>
        <w:pStyle w:val="ListParagraph"/>
        <w:numPr>
          <w:ilvl w:val="0"/>
          <w:numId w:val="23"/>
        </w:numPr>
        <w:rPr>
          <w:b/>
        </w:rPr>
      </w:pPr>
      <w:r>
        <w:rPr>
          <w:b/>
        </w:rPr>
        <w:t>Please note the summary fields below each TPA on the different reports. This needs to be included in this report for EVERY tab.</w:t>
      </w:r>
    </w:p>
    <w:p w:rsidR="008202E2" w:rsidRPr="008202E2" w:rsidRDefault="008202E2" w:rsidP="008202E2">
      <w:pPr>
        <w:pStyle w:val="ListParagraph"/>
        <w:numPr>
          <w:ilvl w:val="0"/>
          <w:numId w:val="23"/>
        </w:numPr>
        <w:rPr>
          <w:b/>
        </w:rPr>
      </w:pPr>
      <w:r>
        <w:rPr>
          <w:b/>
        </w:rPr>
        <w:object w:dxaOrig="1551" w:dyaOrig="1004">
          <v:shape id="_x0000_i1028" type="#_x0000_t75" style="width:77.85pt;height:50.25pt" o:ole="">
            <v:imagedata r:id="rId14" o:title=""/>
          </v:shape>
          <o:OLEObject Type="Embed" ProgID="Excel.Sheet.12" ShapeID="_x0000_i1028" DrawAspect="Icon" ObjectID="_1562064024" r:id="rId15"/>
        </w:object>
      </w:r>
    </w:p>
    <w:p w:rsidR="0068788F" w:rsidRPr="0068788F" w:rsidRDefault="0068788F" w:rsidP="0068788F">
      <w:pPr>
        <w:ind w:left="0"/>
        <w:rPr>
          <w:b/>
        </w:rPr>
      </w:pPr>
    </w:p>
    <w:p w:rsidR="00566A2C" w:rsidRPr="00495737" w:rsidRDefault="00566A2C" w:rsidP="00495737">
      <w:pPr>
        <w:pStyle w:val="Heading4"/>
      </w:pPr>
      <w:r w:rsidRPr="00E779DB">
        <w:t>Assumptions / Constraints / Dependencies / Risks</w:t>
      </w:r>
    </w:p>
    <w:p w:rsidR="00566A2C" w:rsidRDefault="00566A2C" w:rsidP="005B2E8D">
      <w:pPr>
        <w:numPr>
          <w:ilvl w:val="1"/>
          <w:numId w:val="5"/>
        </w:numPr>
        <w:spacing w:before="240"/>
        <w:rPr>
          <w:b/>
          <w:szCs w:val="22"/>
        </w:rPr>
      </w:pPr>
      <w:r w:rsidRPr="00FE0BC0">
        <w:rPr>
          <w:b/>
          <w:szCs w:val="22"/>
        </w:rPr>
        <w:t>Assumptions</w:t>
      </w:r>
    </w:p>
    <w:p w:rsidR="000515BD" w:rsidRPr="00D13079" w:rsidRDefault="005B2E8D" w:rsidP="005B2E8D">
      <w:pPr>
        <w:pStyle w:val="ListParagraph"/>
        <w:numPr>
          <w:ilvl w:val="0"/>
          <w:numId w:val="18"/>
        </w:numPr>
        <w:spacing w:before="240"/>
        <w:rPr>
          <w:szCs w:val="22"/>
        </w:rPr>
      </w:pPr>
      <w:r w:rsidRPr="00D13079">
        <w:rPr>
          <w:szCs w:val="22"/>
        </w:rPr>
        <w:t xml:space="preserve">Recoveries include </w:t>
      </w:r>
      <w:proofErr w:type="spellStart"/>
      <w:r w:rsidRPr="00D13079">
        <w:rPr>
          <w:szCs w:val="22"/>
        </w:rPr>
        <w:t>Subro</w:t>
      </w:r>
      <w:proofErr w:type="spellEnd"/>
      <w:r w:rsidRPr="00D13079">
        <w:rPr>
          <w:szCs w:val="22"/>
        </w:rPr>
        <w:t xml:space="preserve"> and Salvage Amounts</w:t>
      </w:r>
    </w:p>
    <w:p w:rsidR="003E6B2F" w:rsidRPr="00D13079" w:rsidRDefault="003E6B2F" w:rsidP="005B2E8D">
      <w:pPr>
        <w:pStyle w:val="ListParagraph"/>
        <w:numPr>
          <w:ilvl w:val="0"/>
          <w:numId w:val="18"/>
        </w:numPr>
        <w:spacing w:before="240"/>
        <w:rPr>
          <w:szCs w:val="22"/>
        </w:rPr>
      </w:pPr>
      <w:r w:rsidRPr="00D13079">
        <w:rPr>
          <w:szCs w:val="22"/>
        </w:rPr>
        <w:t>Report is to be run for all External TPAs only (including active Canadian TPAs)</w:t>
      </w:r>
    </w:p>
    <w:p w:rsidR="00566A2C" w:rsidRDefault="00566A2C" w:rsidP="005B2E8D">
      <w:pPr>
        <w:numPr>
          <w:ilvl w:val="1"/>
          <w:numId w:val="5"/>
        </w:numPr>
        <w:rPr>
          <w:b/>
          <w:szCs w:val="22"/>
        </w:rPr>
      </w:pPr>
      <w:r w:rsidRPr="00FE0BC0">
        <w:rPr>
          <w:b/>
          <w:szCs w:val="22"/>
        </w:rPr>
        <w:t>Constraints</w:t>
      </w:r>
    </w:p>
    <w:p w:rsidR="00566A2C" w:rsidRPr="00FE0BC0" w:rsidRDefault="00566A2C" w:rsidP="005B2E8D">
      <w:pPr>
        <w:pStyle w:val="ListParagraph"/>
        <w:numPr>
          <w:ilvl w:val="1"/>
          <w:numId w:val="5"/>
        </w:numPr>
        <w:rPr>
          <w:b/>
          <w:sz w:val="22"/>
          <w:szCs w:val="22"/>
        </w:rPr>
      </w:pPr>
      <w:r w:rsidRPr="00FE0BC0">
        <w:rPr>
          <w:b/>
          <w:sz w:val="22"/>
          <w:szCs w:val="22"/>
        </w:rPr>
        <w:t>Dependencies</w:t>
      </w:r>
    </w:p>
    <w:p w:rsidR="00566A2C" w:rsidRPr="002E57B1" w:rsidRDefault="00566A2C" w:rsidP="005B2E8D">
      <w:pPr>
        <w:pStyle w:val="ListParagraph"/>
        <w:numPr>
          <w:ilvl w:val="1"/>
          <w:numId w:val="5"/>
        </w:numPr>
        <w:rPr>
          <w:b/>
          <w:szCs w:val="22"/>
        </w:rPr>
      </w:pPr>
      <w:r w:rsidRPr="002E57B1">
        <w:rPr>
          <w:b/>
          <w:szCs w:val="22"/>
        </w:rPr>
        <w:t>Risks</w:t>
      </w:r>
    </w:p>
    <w:sectPr w:rsidR="00566A2C" w:rsidRPr="002E57B1" w:rsidSect="0024209C">
      <w:headerReference w:type="default" r:id="rId16"/>
      <w:footerReference w:type="default" r:id="rId1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1C3" w:rsidRDefault="001C31C3">
      <w:r>
        <w:separator/>
      </w:r>
    </w:p>
  </w:endnote>
  <w:endnote w:type="continuationSeparator" w:id="0">
    <w:p w:rsidR="001C31C3" w:rsidRDefault="001C3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1C3" w:rsidRPr="00865034" w:rsidRDefault="001C31C3" w:rsidP="000D52D1">
    <w:pPr>
      <w:pStyle w:val="Footer"/>
      <w:pBdr>
        <w:top w:val="single" w:sz="4" w:space="1" w:color="auto"/>
      </w:pBdr>
      <w:tabs>
        <w:tab w:val="clear" w:pos="4320"/>
        <w:tab w:val="clear" w:pos="8640"/>
        <w:tab w:val="center" w:pos="4680"/>
        <w:tab w:val="left" w:pos="7560"/>
        <w:tab w:val="right" w:pos="10440"/>
      </w:tabs>
      <w:ind w:left="-270" w:right="-720"/>
      <w:jc w:val="center"/>
      <w:rPr>
        <w:color w:val="0070C0"/>
        <w:szCs w:val="22"/>
      </w:rPr>
    </w:pPr>
    <w:r w:rsidRPr="00865034">
      <w:rPr>
        <w:color w:val="0070C0"/>
        <w:szCs w:val="22"/>
      </w:rPr>
      <w:t xml:space="preserve">Page </w:t>
    </w:r>
    <w:r w:rsidRPr="00865034">
      <w:rPr>
        <w:color w:val="0070C0"/>
        <w:szCs w:val="22"/>
      </w:rPr>
      <w:fldChar w:fldCharType="begin"/>
    </w:r>
    <w:r w:rsidRPr="00865034">
      <w:rPr>
        <w:color w:val="0070C0"/>
        <w:szCs w:val="22"/>
      </w:rPr>
      <w:instrText xml:space="preserve"> PAGE </w:instrText>
    </w:r>
    <w:r w:rsidRPr="00865034">
      <w:rPr>
        <w:color w:val="0070C0"/>
        <w:szCs w:val="22"/>
      </w:rPr>
      <w:fldChar w:fldCharType="separate"/>
    </w:r>
    <w:r w:rsidR="008F55D4">
      <w:rPr>
        <w:noProof/>
        <w:color w:val="0070C0"/>
        <w:szCs w:val="22"/>
      </w:rPr>
      <w:t>21</w:t>
    </w:r>
    <w:r w:rsidRPr="00865034">
      <w:rPr>
        <w:color w:val="0070C0"/>
        <w:szCs w:val="22"/>
      </w:rPr>
      <w:fldChar w:fldCharType="end"/>
    </w:r>
    <w:r w:rsidRPr="00865034">
      <w:rPr>
        <w:color w:val="0070C0"/>
        <w:szCs w:val="22"/>
      </w:rPr>
      <w:t xml:space="preserve"> of </w:t>
    </w:r>
    <w:r w:rsidRPr="00865034">
      <w:rPr>
        <w:color w:val="0070C0"/>
        <w:szCs w:val="22"/>
      </w:rPr>
      <w:fldChar w:fldCharType="begin"/>
    </w:r>
    <w:r w:rsidRPr="00865034">
      <w:rPr>
        <w:color w:val="0070C0"/>
        <w:szCs w:val="22"/>
      </w:rPr>
      <w:instrText xml:space="preserve"> NUMPAGES </w:instrText>
    </w:r>
    <w:r w:rsidRPr="00865034">
      <w:rPr>
        <w:color w:val="0070C0"/>
        <w:szCs w:val="22"/>
      </w:rPr>
      <w:fldChar w:fldCharType="separate"/>
    </w:r>
    <w:r w:rsidR="008F55D4">
      <w:rPr>
        <w:noProof/>
        <w:color w:val="0070C0"/>
        <w:szCs w:val="22"/>
      </w:rPr>
      <w:t>21</w:t>
    </w:r>
    <w:r w:rsidRPr="00865034">
      <w:rPr>
        <w:color w:val="0070C0"/>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1C3" w:rsidRDefault="001C31C3">
      <w:r>
        <w:separator/>
      </w:r>
    </w:p>
  </w:footnote>
  <w:footnote w:type="continuationSeparator" w:id="0">
    <w:p w:rsidR="001C31C3" w:rsidRDefault="001C31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1C3" w:rsidRPr="002B3A68" w:rsidRDefault="001C31C3" w:rsidP="00DC53FB">
    <w:pPr>
      <w:pStyle w:val="Header"/>
      <w:pBdr>
        <w:bottom w:val="single" w:sz="4" w:space="1" w:color="auto"/>
      </w:pBdr>
      <w:tabs>
        <w:tab w:val="clear" w:pos="4320"/>
        <w:tab w:val="clear" w:pos="8640"/>
        <w:tab w:val="right" w:pos="9270"/>
        <w:tab w:val="right" w:pos="10440"/>
      </w:tabs>
      <w:ind w:left="0" w:right="-540"/>
      <w:rPr>
        <w:color w:val="0070C0"/>
        <w:szCs w:val="22"/>
      </w:rPr>
    </w:pPr>
    <w:r>
      <w:rPr>
        <w:rFonts w:ascii="Arial" w:hAnsi="Arial"/>
        <w:caps/>
        <w:noProof/>
        <w:sz w:val="24"/>
      </w:rPr>
      <w:drawing>
        <wp:inline distT="0" distB="0" distL="0" distR="0">
          <wp:extent cx="786765" cy="393700"/>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786765" cy="393700"/>
                  </a:xfrm>
                  <a:prstGeom prst="rect">
                    <a:avLst/>
                  </a:prstGeom>
                  <a:noFill/>
                  <a:ln w="9525">
                    <a:noFill/>
                    <a:miter lim="800000"/>
                    <a:headEnd/>
                    <a:tailEnd/>
                  </a:ln>
                </pic:spPr>
              </pic:pic>
            </a:graphicData>
          </a:graphic>
        </wp:inline>
      </w:drawing>
    </w:r>
    <w:r>
      <w:t xml:space="preserve">                                                                                                                                 </w:t>
    </w:r>
    <w:r>
      <w:rPr>
        <w:color w:val="0070C0"/>
        <w:szCs w:val="22"/>
      </w:rPr>
      <w:t>UW_TPAIR</w:t>
    </w:r>
  </w:p>
  <w:p w:rsidR="001C31C3" w:rsidRPr="002B3A68" w:rsidRDefault="001C31C3" w:rsidP="00DC53FB">
    <w:pPr>
      <w:pStyle w:val="Header"/>
      <w:tabs>
        <w:tab w:val="clear" w:pos="4320"/>
        <w:tab w:val="clear" w:pos="8640"/>
        <w:tab w:val="right" w:pos="9360"/>
      </w:tabs>
      <w:ind w:left="0" w:right="-720"/>
      <w:rPr>
        <w:rFonts w:ascii="Arial" w:hAnsi="Arial" w:cs="Arial"/>
        <w:b/>
        <w:bCs/>
        <w:i/>
        <w:iCs/>
        <w:color w:val="0070C0"/>
        <w:sz w:val="18"/>
        <w:szCs w:val="18"/>
      </w:rPr>
    </w:pPr>
    <w:r w:rsidRPr="002B3A68">
      <w:rPr>
        <w:rFonts w:ascii="Arial" w:hAnsi="Arial" w:cs="Arial"/>
        <w:b/>
        <w:bCs/>
        <w:i/>
        <w:iCs/>
        <w:color w:val="0070C0"/>
        <w:sz w:val="18"/>
        <w:szCs w:val="18"/>
      </w:rPr>
      <w:t>AIG SDLC</w:t>
    </w:r>
    <w:r>
      <w:rPr>
        <w:rFonts w:ascii="Arial" w:hAnsi="Arial" w:cs="Arial"/>
        <w:b/>
        <w:bCs/>
        <w:i/>
        <w:iCs/>
        <w:sz w:val="18"/>
        <w:szCs w:val="18"/>
      </w:rPr>
      <w:t xml:space="preserve">                                                                                                                  </w:t>
    </w:r>
    <w:r w:rsidRPr="002B3A68">
      <w:rPr>
        <w:rFonts w:ascii="Arial" w:hAnsi="Arial" w:cs="Arial"/>
        <w:b/>
        <w:bCs/>
        <w:i/>
        <w:iCs/>
        <w:color w:val="0070C0"/>
        <w:sz w:val="18"/>
        <w:szCs w:val="18"/>
      </w:rPr>
      <w:t>Business Requirements Document</w:t>
    </w:r>
  </w:p>
  <w:p w:rsidR="001C31C3" w:rsidRDefault="001C31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148EC"/>
    <w:multiLevelType w:val="hybridMultilevel"/>
    <w:tmpl w:val="687E0AA0"/>
    <w:lvl w:ilvl="0" w:tplc="DE84EC28">
      <w:start w:val="1"/>
      <w:numFmt w:val="bullet"/>
      <w:pStyle w:val="B2"/>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4D13E6D"/>
    <w:multiLevelType w:val="hybridMultilevel"/>
    <w:tmpl w:val="D854862A"/>
    <w:lvl w:ilvl="0" w:tplc="D25EE1D0">
      <w:start w:val="1"/>
      <w:numFmt w:val="lowerLetter"/>
      <w:lvlText w:val="%1)"/>
      <w:lvlJc w:val="left"/>
      <w:pPr>
        <w:tabs>
          <w:tab w:val="num" w:pos="1440"/>
        </w:tabs>
        <w:ind w:left="1872" w:hanging="72"/>
      </w:pPr>
      <w:rPr>
        <w:rFonts w:ascii="Times New Roman Bold" w:hAnsi="Times New Roman Bold" w:cs="Times New Roman" w:hint="default"/>
        <w:b/>
        <w:i w:val="0"/>
        <w:sz w:val="22"/>
      </w:rPr>
    </w:lvl>
    <w:lvl w:ilvl="1" w:tplc="87F2F5A2">
      <w:start w:val="1"/>
      <w:numFmt w:val="lowerLetter"/>
      <w:lvlText w:val="%2)"/>
      <w:lvlJc w:val="left"/>
      <w:pPr>
        <w:tabs>
          <w:tab w:val="num" w:pos="1080"/>
        </w:tabs>
        <w:ind w:left="1152" w:hanging="72"/>
      </w:pPr>
      <w:rPr>
        <w:rFonts w:ascii="Times New Roman Bold" w:hAnsi="Times New Roman Bold" w:cs="Times New Roman" w:hint="default"/>
        <w:b/>
        <w:i w:val="0"/>
        <w:color w:val="auto"/>
        <w:sz w:val="22"/>
      </w:rPr>
    </w:lvl>
    <w:lvl w:ilvl="2" w:tplc="04090005">
      <w:start w:val="1"/>
      <w:numFmt w:val="bullet"/>
      <w:lvlText w:val=""/>
      <w:lvlJc w:val="left"/>
      <w:pPr>
        <w:tabs>
          <w:tab w:val="num" w:pos="1710"/>
        </w:tabs>
        <w:ind w:left="1710" w:hanging="180"/>
      </w:pPr>
      <w:rPr>
        <w:rFonts w:ascii="Wingdings" w:hAnsi="Wingdings" w:hint="default"/>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16654AB3"/>
    <w:multiLevelType w:val="hybridMultilevel"/>
    <w:tmpl w:val="F370A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5B20CD"/>
    <w:multiLevelType w:val="hybridMultilevel"/>
    <w:tmpl w:val="02B2D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04067"/>
    <w:multiLevelType w:val="hybridMultilevel"/>
    <w:tmpl w:val="E3BC5234"/>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5">
    <w:nsid w:val="199F1802"/>
    <w:multiLevelType w:val="multilevel"/>
    <w:tmpl w:val="DC624F42"/>
    <w:lvl w:ilvl="0">
      <w:start w:val="1"/>
      <w:numFmt w:val="upperRoman"/>
      <w:pStyle w:val="Heading1"/>
      <w:lvlText w:val="%1"/>
      <w:lvlJc w:val="left"/>
      <w:pPr>
        <w:tabs>
          <w:tab w:val="num" w:pos="432"/>
        </w:tabs>
        <w:ind w:left="432" w:hanging="432"/>
      </w:pPr>
      <w:rPr>
        <w:rFonts w:ascii="Times New Roman Bold" w:hAnsi="Times New Roman Bold" w:cs="Times New Roman" w:hint="default"/>
        <w:b/>
        <w:bCs w:val="0"/>
        <w:i w:val="0"/>
        <w:iCs w:val="0"/>
        <w:caps w:val="0"/>
        <w:smallCaps w:val="0"/>
        <w:strike w:val="0"/>
        <w:dstrike w:val="0"/>
        <w:vanish w:val="0"/>
        <w:color w:val="0033CC"/>
        <w:spacing w:val="0"/>
        <w:kern w:val="0"/>
        <w:position w:val="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2."/>
      <w:lvlJc w:val="left"/>
      <w:pPr>
        <w:tabs>
          <w:tab w:val="num" w:pos="576"/>
        </w:tabs>
        <w:ind w:left="576" w:hanging="576"/>
      </w:pPr>
      <w:rPr>
        <w:rFonts w:ascii="Times New Roman Bold" w:hAnsi="Times New Roman Bold" w:cs="Times New Roman" w:hint="default"/>
        <w:b/>
        <w:i w:val="0"/>
        <w:color w:val="0070C0"/>
        <w:sz w:val="28"/>
      </w:rPr>
    </w:lvl>
    <w:lvl w:ilvl="2">
      <w:start w:val="1"/>
      <w:numFmt w:val="decimal"/>
      <w:pStyle w:val="Heading3"/>
      <w:lvlText w:val="%2.%3"/>
      <w:lvlJc w:val="left"/>
      <w:pPr>
        <w:tabs>
          <w:tab w:val="num" w:pos="720"/>
        </w:tabs>
        <w:ind w:left="720" w:hanging="720"/>
      </w:pPr>
      <w:rPr>
        <w:rFonts w:ascii="Times New Roman Bold" w:hAnsi="Times New Roman Bold" w:cs="Times New Roman" w:hint="default"/>
        <w:b/>
        <w:i w:val="0"/>
        <w:color w:val="E36C0A"/>
        <w:sz w:val="22"/>
        <w:u w:val="none"/>
      </w:rPr>
    </w:lvl>
    <w:lvl w:ilvl="3">
      <w:start w:val="1"/>
      <w:numFmt w:val="decimal"/>
      <w:pStyle w:val="Heading4"/>
      <w:lvlText w:val="%2.%4"/>
      <w:lvlJc w:val="left"/>
      <w:pPr>
        <w:tabs>
          <w:tab w:val="num" w:pos="864"/>
        </w:tabs>
        <w:ind w:left="864" w:hanging="864"/>
      </w:pPr>
      <w:rPr>
        <w:rFonts w:ascii="Times New Roman Bold" w:hAnsi="Times New Roman Bold" w:cs="Times New Roman" w:hint="default"/>
        <w:b/>
        <w:i w:val="0"/>
        <w:color w:val="E36C0A"/>
        <w:sz w:val="24"/>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6">
    <w:nsid w:val="231357DE"/>
    <w:multiLevelType w:val="hybridMultilevel"/>
    <w:tmpl w:val="2A542674"/>
    <w:lvl w:ilvl="0" w:tplc="3BEC1BCC">
      <w:start w:val="1"/>
      <w:numFmt w:val="bullet"/>
      <w:pStyle w:val="B3"/>
      <w:lvlText w:val=""/>
      <w:lvlJc w:val="left"/>
      <w:pPr>
        <w:ind w:left="1800" w:hanging="360"/>
      </w:pPr>
      <w:rPr>
        <w:rFonts w:ascii="Wingdings" w:hAnsi="Wingdings" w:hint="default"/>
      </w:rPr>
    </w:lvl>
    <w:lvl w:ilvl="1" w:tplc="2ED2954E"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48B25C9"/>
    <w:multiLevelType w:val="hybridMultilevel"/>
    <w:tmpl w:val="9E1AB3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8F0BE1"/>
    <w:multiLevelType w:val="hybridMultilevel"/>
    <w:tmpl w:val="D910E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8363106"/>
    <w:multiLevelType w:val="hybridMultilevel"/>
    <w:tmpl w:val="C2A6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CC6AF0"/>
    <w:multiLevelType w:val="hybridMultilevel"/>
    <w:tmpl w:val="738C5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20547F3"/>
    <w:multiLevelType w:val="hybridMultilevel"/>
    <w:tmpl w:val="E9F85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6D098D"/>
    <w:multiLevelType w:val="hybridMultilevel"/>
    <w:tmpl w:val="28DAC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9C92AC2"/>
    <w:multiLevelType w:val="hybridMultilevel"/>
    <w:tmpl w:val="54A254E0"/>
    <w:lvl w:ilvl="0" w:tplc="AF3288B2">
      <w:start w:val="1"/>
      <w:numFmt w:val="bullet"/>
      <w:pStyle w:val="B1"/>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5D3B6276"/>
    <w:multiLevelType w:val="hybridMultilevel"/>
    <w:tmpl w:val="1EF4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BE03AA"/>
    <w:multiLevelType w:val="hybridMultilevel"/>
    <w:tmpl w:val="90B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4C1F1C"/>
    <w:multiLevelType w:val="hybridMultilevel"/>
    <w:tmpl w:val="5E068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42F3354"/>
    <w:multiLevelType w:val="hybridMultilevel"/>
    <w:tmpl w:val="C7E67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9E71D70"/>
    <w:multiLevelType w:val="hybridMultilevel"/>
    <w:tmpl w:val="039CB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007418"/>
    <w:multiLevelType w:val="hybridMultilevel"/>
    <w:tmpl w:val="235E2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FB11AE"/>
    <w:multiLevelType w:val="hybridMultilevel"/>
    <w:tmpl w:val="F1DE8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F00348F"/>
    <w:multiLevelType w:val="hybridMultilevel"/>
    <w:tmpl w:val="400C8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FD50C45"/>
    <w:multiLevelType w:val="hybridMultilevel"/>
    <w:tmpl w:val="C0565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3"/>
  </w:num>
  <w:num w:numId="3">
    <w:abstractNumId w:val="0"/>
  </w:num>
  <w:num w:numId="4">
    <w:abstractNumId w:val="5"/>
  </w:num>
  <w:num w:numId="5">
    <w:abstractNumId w:val="1"/>
  </w:num>
  <w:num w:numId="6">
    <w:abstractNumId w:val="9"/>
  </w:num>
  <w:num w:numId="7">
    <w:abstractNumId w:val="19"/>
  </w:num>
  <w:num w:numId="8">
    <w:abstractNumId w:val="14"/>
  </w:num>
  <w:num w:numId="9">
    <w:abstractNumId w:val="18"/>
  </w:num>
  <w:num w:numId="10">
    <w:abstractNumId w:val="15"/>
  </w:num>
  <w:num w:numId="11">
    <w:abstractNumId w:val="11"/>
  </w:num>
  <w:num w:numId="12">
    <w:abstractNumId w:val="3"/>
  </w:num>
  <w:num w:numId="13">
    <w:abstractNumId w:val="20"/>
  </w:num>
  <w:num w:numId="14">
    <w:abstractNumId w:val="10"/>
  </w:num>
  <w:num w:numId="15">
    <w:abstractNumId w:val="16"/>
  </w:num>
  <w:num w:numId="16">
    <w:abstractNumId w:val="8"/>
  </w:num>
  <w:num w:numId="17">
    <w:abstractNumId w:val="17"/>
  </w:num>
  <w:num w:numId="18">
    <w:abstractNumId w:val="4"/>
  </w:num>
  <w:num w:numId="19">
    <w:abstractNumId w:val="21"/>
  </w:num>
  <w:num w:numId="20">
    <w:abstractNumId w:val="7"/>
  </w:num>
  <w:num w:numId="21">
    <w:abstractNumId w:val="12"/>
  </w:num>
  <w:num w:numId="22">
    <w:abstractNumId w:val="2"/>
  </w:num>
  <w:num w:numId="23">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473"/>
    <w:rsid w:val="00000763"/>
    <w:rsid w:val="00000B84"/>
    <w:rsid w:val="00000FFA"/>
    <w:rsid w:val="00001510"/>
    <w:rsid w:val="00001C8F"/>
    <w:rsid w:val="00003036"/>
    <w:rsid w:val="00003772"/>
    <w:rsid w:val="000039D0"/>
    <w:rsid w:val="000051E3"/>
    <w:rsid w:val="00005DA3"/>
    <w:rsid w:val="00006243"/>
    <w:rsid w:val="0000666D"/>
    <w:rsid w:val="00006EC8"/>
    <w:rsid w:val="000107D9"/>
    <w:rsid w:val="00010AA0"/>
    <w:rsid w:val="00012EEA"/>
    <w:rsid w:val="00013263"/>
    <w:rsid w:val="00013899"/>
    <w:rsid w:val="00013FB3"/>
    <w:rsid w:val="00014185"/>
    <w:rsid w:val="00014D72"/>
    <w:rsid w:val="00016C21"/>
    <w:rsid w:val="00020E4C"/>
    <w:rsid w:val="000215FA"/>
    <w:rsid w:val="000219A0"/>
    <w:rsid w:val="00021BAB"/>
    <w:rsid w:val="00021CDE"/>
    <w:rsid w:val="00021E34"/>
    <w:rsid w:val="00022C15"/>
    <w:rsid w:val="00022EFC"/>
    <w:rsid w:val="000232F4"/>
    <w:rsid w:val="000233D7"/>
    <w:rsid w:val="00023BEF"/>
    <w:rsid w:val="00024877"/>
    <w:rsid w:val="00024DD5"/>
    <w:rsid w:val="00024ED4"/>
    <w:rsid w:val="0002572E"/>
    <w:rsid w:val="00025809"/>
    <w:rsid w:val="00025D38"/>
    <w:rsid w:val="00025E72"/>
    <w:rsid w:val="00026971"/>
    <w:rsid w:val="000274F5"/>
    <w:rsid w:val="00030271"/>
    <w:rsid w:val="00031012"/>
    <w:rsid w:val="0003125B"/>
    <w:rsid w:val="00032ACD"/>
    <w:rsid w:val="00034B4B"/>
    <w:rsid w:val="00034E84"/>
    <w:rsid w:val="00035311"/>
    <w:rsid w:val="000361F0"/>
    <w:rsid w:val="00036DD5"/>
    <w:rsid w:val="00037728"/>
    <w:rsid w:val="00037AEA"/>
    <w:rsid w:val="00037FD5"/>
    <w:rsid w:val="00040B83"/>
    <w:rsid w:val="000427AD"/>
    <w:rsid w:val="000439DE"/>
    <w:rsid w:val="00043A3B"/>
    <w:rsid w:val="0004431D"/>
    <w:rsid w:val="00044789"/>
    <w:rsid w:val="00044881"/>
    <w:rsid w:val="00044D02"/>
    <w:rsid w:val="00044DA7"/>
    <w:rsid w:val="000455A7"/>
    <w:rsid w:val="0004585B"/>
    <w:rsid w:val="0004640C"/>
    <w:rsid w:val="00046C4D"/>
    <w:rsid w:val="00046CB5"/>
    <w:rsid w:val="00047176"/>
    <w:rsid w:val="00047B93"/>
    <w:rsid w:val="000515BD"/>
    <w:rsid w:val="000519C5"/>
    <w:rsid w:val="000528C6"/>
    <w:rsid w:val="00052B6D"/>
    <w:rsid w:val="00053875"/>
    <w:rsid w:val="00053BFB"/>
    <w:rsid w:val="00053FED"/>
    <w:rsid w:val="00054786"/>
    <w:rsid w:val="00054EB7"/>
    <w:rsid w:val="000551A5"/>
    <w:rsid w:val="00056310"/>
    <w:rsid w:val="00056D7D"/>
    <w:rsid w:val="00060874"/>
    <w:rsid w:val="00060B06"/>
    <w:rsid w:val="00060E7A"/>
    <w:rsid w:val="000617C8"/>
    <w:rsid w:val="00061B64"/>
    <w:rsid w:val="000622BC"/>
    <w:rsid w:val="000634D4"/>
    <w:rsid w:val="00064147"/>
    <w:rsid w:val="00064844"/>
    <w:rsid w:val="00064F1D"/>
    <w:rsid w:val="00066274"/>
    <w:rsid w:val="000664D5"/>
    <w:rsid w:val="000669AB"/>
    <w:rsid w:val="000674E0"/>
    <w:rsid w:val="0007073E"/>
    <w:rsid w:val="000716A5"/>
    <w:rsid w:val="0007171F"/>
    <w:rsid w:val="00071747"/>
    <w:rsid w:val="00071DE2"/>
    <w:rsid w:val="00071F5C"/>
    <w:rsid w:val="000721C1"/>
    <w:rsid w:val="00072577"/>
    <w:rsid w:val="00072CAB"/>
    <w:rsid w:val="000732CD"/>
    <w:rsid w:val="000736E4"/>
    <w:rsid w:val="00074609"/>
    <w:rsid w:val="00074A53"/>
    <w:rsid w:val="00074A89"/>
    <w:rsid w:val="00074D92"/>
    <w:rsid w:val="0007529C"/>
    <w:rsid w:val="00076879"/>
    <w:rsid w:val="00080238"/>
    <w:rsid w:val="00080AD6"/>
    <w:rsid w:val="00080D71"/>
    <w:rsid w:val="0008147D"/>
    <w:rsid w:val="00081756"/>
    <w:rsid w:val="00081ADD"/>
    <w:rsid w:val="00081CD1"/>
    <w:rsid w:val="000824B2"/>
    <w:rsid w:val="00082666"/>
    <w:rsid w:val="000828FE"/>
    <w:rsid w:val="00083E5E"/>
    <w:rsid w:val="00084C44"/>
    <w:rsid w:val="0008610F"/>
    <w:rsid w:val="000865A2"/>
    <w:rsid w:val="00086EE6"/>
    <w:rsid w:val="0008794F"/>
    <w:rsid w:val="000904C7"/>
    <w:rsid w:val="000905FF"/>
    <w:rsid w:val="00090AEA"/>
    <w:rsid w:val="00091007"/>
    <w:rsid w:val="00091CEC"/>
    <w:rsid w:val="00092305"/>
    <w:rsid w:val="00093324"/>
    <w:rsid w:val="00093360"/>
    <w:rsid w:val="00094437"/>
    <w:rsid w:val="00094DD0"/>
    <w:rsid w:val="00094E28"/>
    <w:rsid w:val="00097253"/>
    <w:rsid w:val="000978EE"/>
    <w:rsid w:val="000A0000"/>
    <w:rsid w:val="000A043C"/>
    <w:rsid w:val="000A091F"/>
    <w:rsid w:val="000A0FA5"/>
    <w:rsid w:val="000A2DB8"/>
    <w:rsid w:val="000A2F7B"/>
    <w:rsid w:val="000A38F9"/>
    <w:rsid w:val="000A3B53"/>
    <w:rsid w:val="000A4053"/>
    <w:rsid w:val="000A4817"/>
    <w:rsid w:val="000A49C4"/>
    <w:rsid w:val="000A4A8C"/>
    <w:rsid w:val="000A4CE1"/>
    <w:rsid w:val="000A54F2"/>
    <w:rsid w:val="000A6FCA"/>
    <w:rsid w:val="000A74A8"/>
    <w:rsid w:val="000A7AED"/>
    <w:rsid w:val="000B020B"/>
    <w:rsid w:val="000B118C"/>
    <w:rsid w:val="000B1B39"/>
    <w:rsid w:val="000B2450"/>
    <w:rsid w:val="000B29F0"/>
    <w:rsid w:val="000B3CCE"/>
    <w:rsid w:val="000B4FBC"/>
    <w:rsid w:val="000B6A95"/>
    <w:rsid w:val="000B6E03"/>
    <w:rsid w:val="000B6F5C"/>
    <w:rsid w:val="000B6F68"/>
    <w:rsid w:val="000B77FA"/>
    <w:rsid w:val="000C05A8"/>
    <w:rsid w:val="000C0EAB"/>
    <w:rsid w:val="000C187D"/>
    <w:rsid w:val="000C2A8A"/>
    <w:rsid w:val="000C2C0E"/>
    <w:rsid w:val="000C3852"/>
    <w:rsid w:val="000C41CB"/>
    <w:rsid w:val="000C48A2"/>
    <w:rsid w:val="000D07C6"/>
    <w:rsid w:val="000D07D6"/>
    <w:rsid w:val="000D0991"/>
    <w:rsid w:val="000D158C"/>
    <w:rsid w:val="000D29AF"/>
    <w:rsid w:val="000D36C2"/>
    <w:rsid w:val="000D4952"/>
    <w:rsid w:val="000D4E91"/>
    <w:rsid w:val="000D52D1"/>
    <w:rsid w:val="000D54C2"/>
    <w:rsid w:val="000D5EF1"/>
    <w:rsid w:val="000D6443"/>
    <w:rsid w:val="000D69DF"/>
    <w:rsid w:val="000D7CB1"/>
    <w:rsid w:val="000D7D8E"/>
    <w:rsid w:val="000E063F"/>
    <w:rsid w:val="000E17BE"/>
    <w:rsid w:val="000E1952"/>
    <w:rsid w:val="000E19A8"/>
    <w:rsid w:val="000E1AA8"/>
    <w:rsid w:val="000E2055"/>
    <w:rsid w:val="000E2083"/>
    <w:rsid w:val="000E3492"/>
    <w:rsid w:val="000E3E71"/>
    <w:rsid w:val="000E3F94"/>
    <w:rsid w:val="000E4124"/>
    <w:rsid w:val="000E4402"/>
    <w:rsid w:val="000E4A44"/>
    <w:rsid w:val="000E51D2"/>
    <w:rsid w:val="000E64D1"/>
    <w:rsid w:val="000E7C4A"/>
    <w:rsid w:val="000F06F6"/>
    <w:rsid w:val="000F0B0B"/>
    <w:rsid w:val="000F1DE0"/>
    <w:rsid w:val="000F234D"/>
    <w:rsid w:val="000F3401"/>
    <w:rsid w:val="000F3A45"/>
    <w:rsid w:val="000F3FD2"/>
    <w:rsid w:val="000F48EF"/>
    <w:rsid w:val="000F5148"/>
    <w:rsid w:val="000F56A7"/>
    <w:rsid w:val="000F629B"/>
    <w:rsid w:val="000F62E4"/>
    <w:rsid w:val="000F6425"/>
    <w:rsid w:val="000F6514"/>
    <w:rsid w:val="000F6713"/>
    <w:rsid w:val="000F69EA"/>
    <w:rsid w:val="000F7460"/>
    <w:rsid w:val="00100EFB"/>
    <w:rsid w:val="00100F2D"/>
    <w:rsid w:val="001010E2"/>
    <w:rsid w:val="001016B5"/>
    <w:rsid w:val="00102CE3"/>
    <w:rsid w:val="001038E4"/>
    <w:rsid w:val="0010483A"/>
    <w:rsid w:val="00104F64"/>
    <w:rsid w:val="0010509C"/>
    <w:rsid w:val="001056BF"/>
    <w:rsid w:val="00105F17"/>
    <w:rsid w:val="00106666"/>
    <w:rsid w:val="0010678A"/>
    <w:rsid w:val="001069F9"/>
    <w:rsid w:val="00106C47"/>
    <w:rsid w:val="00106E6E"/>
    <w:rsid w:val="00107BEA"/>
    <w:rsid w:val="001114BD"/>
    <w:rsid w:val="001116D4"/>
    <w:rsid w:val="00111EB9"/>
    <w:rsid w:val="00112E80"/>
    <w:rsid w:val="00112FC8"/>
    <w:rsid w:val="00113322"/>
    <w:rsid w:val="0011343B"/>
    <w:rsid w:val="00113D22"/>
    <w:rsid w:val="00113F19"/>
    <w:rsid w:val="001140D3"/>
    <w:rsid w:val="00114B20"/>
    <w:rsid w:val="00115B0F"/>
    <w:rsid w:val="00115F18"/>
    <w:rsid w:val="00115F94"/>
    <w:rsid w:val="00116C4A"/>
    <w:rsid w:val="00116FEE"/>
    <w:rsid w:val="0011780C"/>
    <w:rsid w:val="00117CD8"/>
    <w:rsid w:val="00117D08"/>
    <w:rsid w:val="0012000C"/>
    <w:rsid w:val="00120278"/>
    <w:rsid w:val="001204BD"/>
    <w:rsid w:val="0012059C"/>
    <w:rsid w:val="00120C01"/>
    <w:rsid w:val="00121CBE"/>
    <w:rsid w:val="0012203D"/>
    <w:rsid w:val="0012222D"/>
    <w:rsid w:val="001225AA"/>
    <w:rsid w:val="00122609"/>
    <w:rsid w:val="001233B0"/>
    <w:rsid w:val="00123915"/>
    <w:rsid w:val="0012457A"/>
    <w:rsid w:val="001253B0"/>
    <w:rsid w:val="001253EF"/>
    <w:rsid w:val="001256F8"/>
    <w:rsid w:val="00126198"/>
    <w:rsid w:val="001263A1"/>
    <w:rsid w:val="00126D38"/>
    <w:rsid w:val="001271D5"/>
    <w:rsid w:val="001277BB"/>
    <w:rsid w:val="001279F4"/>
    <w:rsid w:val="001312C3"/>
    <w:rsid w:val="00131930"/>
    <w:rsid w:val="001330F9"/>
    <w:rsid w:val="001340F4"/>
    <w:rsid w:val="001341FE"/>
    <w:rsid w:val="00134B89"/>
    <w:rsid w:val="00135F33"/>
    <w:rsid w:val="001363CE"/>
    <w:rsid w:val="001367FB"/>
    <w:rsid w:val="00140FC5"/>
    <w:rsid w:val="0014188B"/>
    <w:rsid w:val="0014200D"/>
    <w:rsid w:val="00142A2B"/>
    <w:rsid w:val="00142D4D"/>
    <w:rsid w:val="001446A6"/>
    <w:rsid w:val="00145C0D"/>
    <w:rsid w:val="00146891"/>
    <w:rsid w:val="00147612"/>
    <w:rsid w:val="00147984"/>
    <w:rsid w:val="001506FA"/>
    <w:rsid w:val="00150C53"/>
    <w:rsid w:val="00151051"/>
    <w:rsid w:val="001512A2"/>
    <w:rsid w:val="00151334"/>
    <w:rsid w:val="0015151F"/>
    <w:rsid w:val="001517EE"/>
    <w:rsid w:val="00151DE6"/>
    <w:rsid w:val="0015266C"/>
    <w:rsid w:val="001526E4"/>
    <w:rsid w:val="00152A11"/>
    <w:rsid w:val="00152E4A"/>
    <w:rsid w:val="00154351"/>
    <w:rsid w:val="0015486C"/>
    <w:rsid w:val="00154AD4"/>
    <w:rsid w:val="00155CB3"/>
    <w:rsid w:val="00157357"/>
    <w:rsid w:val="00157935"/>
    <w:rsid w:val="00157B21"/>
    <w:rsid w:val="00160942"/>
    <w:rsid w:val="00160DE6"/>
    <w:rsid w:val="00161B88"/>
    <w:rsid w:val="00161C90"/>
    <w:rsid w:val="00161F43"/>
    <w:rsid w:val="00162922"/>
    <w:rsid w:val="00163277"/>
    <w:rsid w:val="00164668"/>
    <w:rsid w:val="00164981"/>
    <w:rsid w:val="00166270"/>
    <w:rsid w:val="00166682"/>
    <w:rsid w:val="00166705"/>
    <w:rsid w:val="0016687F"/>
    <w:rsid w:val="001678C6"/>
    <w:rsid w:val="00167CF1"/>
    <w:rsid w:val="0017094A"/>
    <w:rsid w:val="00170A6D"/>
    <w:rsid w:val="0017161C"/>
    <w:rsid w:val="00171EF0"/>
    <w:rsid w:val="001726A6"/>
    <w:rsid w:val="00172CCE"/>
    <w:rsid w:val="00173D06"/>
    <w:rsid w:val="00174392"/>
    <w:rsid w:val="00174488"/>
    <w:rsid w:val="001745CC"/>
    <w:rsid w:val="00174AD8"/>
    <w:rsid w:val="00174B06"/>
    <w:rsid w:val="001754FA"/>
    <w:rsid w:val="00176691"/>
    <w:rsid w:val="001775BC"/>
    <w:rsid w:val="001801E4"/>
    <w:rsid w:val="0018290D"/>
    <w:rsid w:val="0018309F"/>
    <w:rsid w:val="00183D45"/>
    <w:rsid w:val="00184102"/>
    <w:rsid w:val="00184E5F"/>
    <w:rsid w:val="00185A9F"/>
    <w:rsid w:val="00185F5A"/>
    <w:rsid w:val="00187466"/>
    <w:rsid w:val="00187DB6"/>
    <w:rsid w:val="00187EE6"/>
    <w:rsid w:val="0019019B"/>
    <w:rsid w:val="00191497"/>
    <w:rsid w:val="00191778"/>
    <w:rsid w:val="00191B9B"/>
    <w:rsid w:val="001921D1"/>
    <w:rsid w:val="001922FF"/>
    <w:rsid w:val="00192EEF"/>
    <w:rsid w:val="0019320F"/>
    <w:rsid w:val="00193677"/>
    <w:rsid w:val="001937C0"/>
    <w:rsid w:val="00193AF3"/>
    <w:rsid w:val="00193C06"/>
    <w:rsid w:val="001946A5"/>
    <w:rsid w:val="00196CA7"/>
    <w:rsid w:val="00197014"/>
    <w:rsid w:val="00197104"/>
    <w:rsid w:val="00197423"/>
    <w:rsid w:val="00197662"/>
    <w:rsid w:val="00197A6D"/>
    <w:rsid w:val="00197C6A"/>
    <w:rsid w:val="00197D4B"/>
    <w:rsid w:val="00197D93"/>
    <w:rsid w:val="001A05FB"/>
    <w:rsid w:val="001A15CE"/>
    <w:rsid w:val="001A17D7"/>
    <w:rsid w:val="001A280F"/>
    <w:rsid w:val="001A2A8F"/>
    <w:rsid w:val="001A4341"/>
    <w:rsid w:val="001A4CE3"/>
    <w:rsid w:val="001A4F9B"/>
    <w:rsid w:val="001A5E8B"/>
    <w:rsid w:val="001A63B9"/>
    <w:rsid w:val="001A648C"/>
    <w:rsid w:val="001A7D8E"/>
    <w:rsid w:val="001B04E3"/>
    <w:rsid w:val="001B0C35"/>
    <w:rsid w:val="001B16EB"/>
    <w:rsid w:val="001B188A"/>
    <w:rsid w:val="001B1A91"/>
    <w:rsid w:val="001B29B6"/>
    <w:rsid w:val="001B3314"/>
    <w:rsid w:val="001B3D1E"/>
    <w:rsid w:val="001B4692"/>
    <w:rsid w:val="001B4D62"/>
    <w:rsid w:val="001B4E3E"/>
    <w:rsid w:val="001B521B"/>
    <w:rsid w:val="001B5721"/>
    <w:rsid w:val="001B600B"/>
    <w:rsid w:val="001B6165"/>
    <w:rsid w:val="001B685A"/>
    <w:rsid w:val="001B6FC2"/>
    <w:rsid w:val="001B7AE8"/>
    <w:rsid w:val="001C05A8"/>
    <w:rsid w:val="001C27D4"/>
    <w:rsid w:val="001C28A1"/>
    <w:rsid w:val="001C31C3"/>
    <w:rsid w:val="001C31E9"/>
    <w:rsid w:val="001C3511"/>
    <w:rsid w:val="001C3513"/>
    <w:rsid w:val="001C3639"/>
    <w:rsid w:val="001C385B"/>
    <w:rsid w:val="001C3A38"/>
    <w:rsid w:val="001C4288"/>
    <w:rsid w:val="001C469E"/>
    <w:rsid w:val="001C4A30"/>
    <w:rsid w:val="001D12D3"/>
    <w:rsid w:val="001D200C"/>
    <w:rsid w:val="001D2019"/>
    <w:rsid w:val="001D2304"/>
    <w:rsid w:val="001D2A92"/>
    <w:rsid w:val="001D3E5C"/>
    <w:rsid w:val="001D4D28"/>
    <w:rsid w:val="001D4E20"/>
    <w:rsid w:val="001D4F49"/>
    <w:rsid w:val="001D7248"/>
    <w:rsid w:val="001D7610"/>
    <w:rsid w:val="001D79DC"/>
    <w:rsid w:val="001E00E2"/>
    <w:rsid w:val="001E01B9"/>
    <w:rsid w:val="001E080A"/>
    <w:rsid w:val="001E1C31"/>
    <w:rsid w:val="001E22BD"/>
    <w:rsid w:val="001E2AE7"/>
    <w:rsid w:val="001E3F3F"/>
    <w:rsid w:val="001E65A8"/>
    <w:rsid w:val="001E6739"/>
    <w:rsid w:val="001E7692"/>
    <w:rsid w:val="001F08E7"/>
    <w:rsid w:val="001F1B8D"/>
    <w:rsid w:val="001F3CC9"/>
    <w:rsid w:val="001F4538"/>
    <w:rsid w:val="001F555B"/>
    <w:rsid w:val="001F5E8D"/>
    <w:rsid w:val="001F6046"/>
    <w:rsid w:val="001F7D6E"/>
    <w:rsid w:val="00200B84"/>
    <w:rsid w:val="00202212"/>
    <w:rsid w:val="002033E6"/>
    <w:rsid w:val="00205734"/>
    <w:rsid w:val="0020594A"/>
    <w:rsid w:val="00205985"/>
    <w:rsid w:val="00205C07"/>
    <w:rsid w:val="00205D93"/>
    <w:rsid w:val="00207431"/>
    <w:rsid w:val="00207C43"/>
    <w:rsid w:val="002105A8"/>
    <w:rsid w:val="002109CE"/>
    <w:rsid w:val="00212846"/>
    <w:rsid w:val="00212E73"/>
    <w:rsid w:val="00213A73"/>
    <w:rsid w:val="00214C26"/>
    <w:rsid w:val="00217362"/>
    <w:rsid w:val="002179A4"/>
    <w:rsid w:val="002201C2"/>
    <w:rsid w:val="00220897"/>
    <w:rsid w:val="002208F7"/>
    <w:rsid w:val="00220936"/>
    <w:rsid w:val="002217DE"/>
    <w:rsid w:val="00222608"/>
    <w:rsid w:val="00222D3D"/>
    <w:rsid w:val="00222EF4"/>
    <w:rsid w:val="00223398"/>
    <w:rsid w:val="00223CCE"/>
    <w:rsid w:val="00223D44"/>
    <w:rsid w:val="00224A7E"/>
    <w:rsid w:val="00225E64"/>
    <w:rsid w:val="002261CD"/>
    <w:rsid w:val="00226C55"/>
    <w:rsid w:val="00226D8D"/>
    <w:rsid w:val="00227A11"/>
    <w:rsid w:val="00231D27"/>
    <w:rsid w:val="00232FB1"/>
    <w:rsid w:val="00233621"/>
    <w:rsid w:val="002342A9"/>
    <w:rsid w:val="00234A54"/>
    <w:rsid w:val="00234C47"/>
    <w:rsid w:val="002355B2"/>
    <w:rsid w:val="00235B21"/>
    <w:rsid w:val="00235C52"/>
    <w:rsid w:val="00235CDB"/>
    <w:rsid w:val="00236E64"/>
    <w:rsid w:val="0023732F"/>
    <w:rsid w:val="002377D4"/>
    <w:rsid w:val="00237C81"/>
    <w:rsid w:val="00237FB2"/>
    <w:rsid w:val="00240B2B"/>
    <w:rsid w:val="00240E36"/>
    <w:rsid w:val="002411C9"/>
    <w:rsid w:val="002411EC"/>
    <w:rsid w:val="002415B7"/>
    <w:rsid w:val="0024209C"/>
    <w:rsid w:val="00242819"/>
    <w:rsid w:val="00243783"/>
    <w:rsid w:val="00244E86"/>
    <w:rsid w:val="00245224"/>
    <w:rsid w:val="0024566F"/>
    <w:rsid w:val="00245F1A"/>
    <w:rsid w:val="0024658B"/>
    <w:rsid w:val="0024667E"/>
    <w:rsid w:val="00246CF6"/>
    <w:rsid w:val="00246F07"/>
    <w:rsid w:val="00250881"/>
    <w:rsid w:val="002508FD"/>
    <w:rsid w:val="00251427"/>
    <w:rsid w:val="002514FB"/>
    <w:rsid w:val="0025167E"/>
    <w:rsid w:val="002519CD"/>
    <w:rsid w:val="00253484"/>
    <w:rsid w:val="00254C0A"/>
    <w:rsid w:val="00254F7D"/>
    <w:rsid w:val="0025680C"/>
    <w:rsid w:val="002578DA"/>
    <w:rsid w:val="00261993"/>
    <w:rsid w:val="00261AAC"/>
    <w:rsid w:val="00261DF0"/>
    <w:rsid w:val="0026293A"/>
    <w:rsid w:val="002636D2"/>
    <w:rsid w:val="00263793"/>
    <w:rsid w:val="0026414B"/>
    <w:rsid w:val="00264628"/>
    <w:rsid w:val="00264DCB"/>
    <w:rsid w:val="00265396"/>
    <w:rsid w:val="00265826"/>
    <w:rsid w:val="00266428"/>
    <w:rsid w:val="002664EC"/>
    <w:rsid w:val="0026710D"/>
    <w:rsid w:val="002671F8"/>
    <w:rsid w:val="002678EA"/>
    <w:rsid w:val="002714CD"/>
    <w:rsid w:val="002714E5"/>
    <w:rsid w:val="00271C4E"/>
    <w:rsid w:val="00272207"/>
    <w:rsid w:val="00273B3B"/>
    <w:rsid w:val="00274197"/>
    <w:rsid w:val="00274412"/>
    <w:rsid w:val="0027454A"/>
    <w:rsid w:val="00274688"/>
    <w:rsid w:val="00274DF5"/>
    <w:rsid w:val="00276448"/>
    <w:rsid w:val="002767C0"/>
    <w:rsid w:val="0027689A"/>
    <w:rsid w:val="00276AEC"/>
    <w:rsid w:val="0028070E"/>
    <w:rsid w:val="002810B2"/>
    <w:rsid w:val="00282849"/>
    <w:rsid w:val="002833F8"/>
    <w:rsid w:val="0028356B"/>
    <w:rsid w:val="002835FE"/>
    <w:rsid w:val="00283940"/>
    <w:rsid w:val="00284418"/>
    <w:rsid w:val="00285473"/>
    <w:rsid w:val="002857C5"/>
    <w:rsid w:val="00287E24"/>
    <w:rsid w:val="00290648"/>
    <w:rsid w:val="00292823"/>
    <w:rsid w:val="0029284F"/>
    <w:rsid w:val="00293513"/>
    <w:rsid w:val="0029383C"/>
    <w:rsid w:val="00293AAF"/>
    <w:rsid w:val="00293CB8"/>
    <w:rsid w:val="00294B54"/>
    <w:rsid w:val="00294FD5"/>
    <w:rsid w:val="00295309"/>
    <w:rsid w:val="00295E94"/>
    <w:rsid w:val="002969B6"/>
    <w:rsid w:val="00296B85"/>
    <w:rsid w:val="00296C6F"/>
    <w:rsid w:val="00296CF3"/>
    <w:rsid w:val="00297089"/>
    <w:rsid w:val="00297753"/>
    <w:rsid w:val="00297758"/>
    <w:rsid w:val="002A0384"/>
    <w:rsid w:val="002A05F8"/>
    <w:rsid w:val="002A0691"/>
    <w:rsid w:val="002A1102"/>
    <w:rsid w:val="002A2554"/>
    <w:rsid w:val="002A2737"/>
    <w:rsid w:val="002A37D0"/>
    <w:rsid w:val="002A53C6"/>
    <w:rsid w:val="002A55E7"/>
    <w:rsid w:val="002A6A76"/>
    <w:rsid w:val="002A7295"/>
    <w:rsid w:val="002A7D0D"/>
    <w:rsid w:val="002B00EC"/>
    <w:rsid w:val="002B096B"/>
    <w:rsid w:val="002B0B6D"/>
    <w:rsid w:val="002B1FB9"/>
    <w:rsid w:val="002B2381"/>
    <w:rsid w:val="002B2559"/>
    <w:rsid w:val="002B3A68"/>
    <w:rsid w:val="002B3BFC"/>
    <w:rsid w:val="002B3C2D"/>
    <w:rsid w:val="002B408D"/>
    <w:rsid w:val="002B5C61"/>
    <w:rsid w:val="002B6518"/>
    <w:rsid w:val="002B677E"/>
    <w:rsid w:val="002B7A87"/>
    <w:rsid w:val="002B7AD0"/>
    <w:rsid w:val="002B7B34"/>
    <w:rsid w:val="002B7F46"/>
    <w:rsid w:val="002C0FCD"/>
    <w:rsid w:val="002C1490"/>
    <w:rsid w:val="002C2891"/>
    <w:rsid w:val="002C341B"/>
    <w:rsid w:val="002C518F"/>
    <w:rsid w:val="002C5224"/>
    <w:rsid w:val="002C5B26"/>
    <w:rsid w:val="002C6D33"/>
    <w:rsid w:val="002C6E55"/>
    <w:rsid w:val="002C7665"/>
    <w:rsid w:val="002C78F8"/>
    <w:rsid w:val="002D051C"/>
    <w:rsid w:val="002D07A5"/>
    <w:rsid w:val="002D0D4A"/>
    <w:rsid w:val="002D0EB7"/>
    <w:rsid w:val="002D4867"/>
    <w:rsid w:val="002D4A93"/>
    <w:rsid w:val="002D4B24"/>
    <w:rsid w:val="002D53DB"/>
    <w:rsid w:val="002D5919"/>
    <w:rsid w:val="002D72CF"/>
    <w:rsid w:val="002D786D"/>
    <w:rsid w:val="002D7A94"/>
    <w:rsid w:val="002D7B57"/>
    <w:rsid w:val="002E0D53"/>
    <w:rsid w:val="002E1677"/>
    <w:rsid w:val="002E18E6"/>
    <w:rsid w:val="002E25E9"/>
    <w:rsid w:val="002E3217"/>
    <w:rsid w:val="002E4DAC"/>
    <w:rsid w:val="002E5333"/>
    <w:rsid w:val="002E5529"/>
    <w:rsid w:val="002E57B1"/>
    <w:rsid w:val="002E6066"/>
    <w:rsid w:val="002E61E7"/>
    <w:rsid w:val="002E75A4"/>
    <w:rsid w:val="002F0B16"/>
    <w:rsid w:val="002F1454"/>
    <w:rsid w:val="002F214F"/>
    <w:rsid w:val="002F2684"/>
    <w:rsid w:val="002F3B50"/>
    <w:rsid w:val="002F4495"/>
    <w:rsid w:val="002F6E0B"/>
    <w:rsid w:val="002F7642"/>
    <w:rsid w:val="002F7CB2"/>
    <w:rsid w:val="003000B7"/>
    <w:rsid w:val="0030059E"/>
    <w:rsid w:val="003009A9"/>
    <w:rsid w:val="0030106D"/>
    <w:rsid w:val="003010BA"/>
    <w:rsid w:val="0030186A"/>
    <w:rsid w:val="00301FBC"/>
    <w:rsid w:val="00302822"/>
    <w:rsid w:val="00302F32"/>
    <w:rsid w:val="003046C3"/>
    <w:rsid w:val="0030530D"/>
    <w:rsid w:val="00305EE7"/>
    <w:rsid w:val="00306E60"/>
    <w:rsid w:val="00307CBC"/>
    <w:rsid w:val="003108F9"/>
    <w:rsid w:val="00312568"/>
    <w:rsid w:val="00313963"/>
    <w:rsid w:val="00313A50"/>
    <w:rsid w:val="00313BE0"/>
    <w:rsid w:val="003144D5"/>
    <w:rsid w:val="00314F15"/>
    <w:rsid w:val="00315CEF"/>
    <w:rsid w:val="003165CD"/>
    <w:rsid w:val="00316C44"/>
    <w:rsid w:val="00316E00"/>
    <w:rsid w:val="003179AE"/>
    <w:rsid w:val="00320182"/>
    <w:rsid w:val="00320435"/>
    <w:rsid w:val="0032171C"/>
    <w:rsid w:val="00322410"/>
    <w:rsid w:val="00322E1B"/>
    <w:rsid w:val="00324A5A"/>
    <w:rsid w:val="00325924"/>
    <w:rsid w:val="00325FE8"/>
    <w:rsid w:val="0032696B"/>
    <w:rsid w:val="0032706A"/>
    <w:rsid w:val="00327557"/>
    <w:rsid w:val="00327B15"/>
    <w:rsid w:val="00330974"/>
    <w:rsid w:val="00330D79"/>
    <w:rsid w:val="00331EBB"/>
    <w:rsid w:val="003321C7"/>
    <w:rsid w:val="00332B91"/>
    <w:rsid w:val="003332D3"/>
    <w:rsid w:val="003338CC"/>
    <w:rsid w:val="003341B1"/>
    <w:rsid w:val="0033474A"/>
    <w:rsid w:val="00334BA2"/>
    <w:rsid w:val="0033589C"/>
    <w:rsid w:val="0033636A"/>
    <w:rsid w:val="00340471"/>
    <w:rsid w:val="00340548"/>
    <w:rsid w:val="003405C2"/>
    <w:rsid w:val="00340D4E"/>
    <w:rsid w:val="003414D6"/>
    <w:rsid w:val="0034184A"/>
    <w:rsid w:val="00342136"/>
    <w:rsid w:val="0034215C"/>
    <w:rsid w:val="00342D91"/>
    <w:rsid w:val="00344197"/>
    <w:rsid w:val="00344C0A"/>
    <w:rsid w:val="003452D1"/>
    <w:rsid w:val="00345AAC"/>
    <w:rsid w:val="00346207"/>
    <w:rsid w:val="00346FD7"/>
    <w:rsid w:val="00347568"/>
    <w:rsid w:val="0035047C"/>
    <w:rsid w:val="003506C9"/>
    <w:rsid w:val="003511F5"/>
    <w:rsid w:val="00351264"/>
    <w:rsid w:val="0035190D"/>
    <w:rsid w:val="003522C2"/>
    <w:rsid w:val="00352C4D"/>
    <w:rsid w:val="00353147"/>
    <w:rsid w:val="003533CB"/>
    <w:rsid w:val="00354087"/>
    <w:rsid w:val="00354A24"/>
    <w:rsid w:val="003553B7"/>
    <w:rsid w:val="00355A0B"/>
    <w:rsid w:val="00355ABE"/>
    <w:rsid w:val="00356818"/>
    <w:rsid w:val="00356D85"/>
    <w:rsid w:val="00357332"/>
    <w:rsid w:val="003578E5"/>
    <w:rsid w:val="00357D51"/>
    <w:rsid w:val="00357FC1"/>
    <w:rsid w:val="00360340"/>
    <w:rsid w:val="00362974"/>
    <w:rsid w:val="003631B5"/>
    <w:rsid w:val="003636A5"/>
    <w:rsid w:val="003639F9"/>
    <w:rsid w:val="00363D95"/>
    <w:rsid w:val="003647D5"/>
    <w:rsid w:val="0036518A"/>
    <w:rsid w:val="003656D4"/>
    <w:rsid w:val="003657F3"/>
    <w:rsid w:val="00366143"/>
    <w:rsid w:val="003662EB"/>
    <w:rsid w:val="003666FD"/>
    <w:rsid w:val="0036705B"/>
    <w:rsid w:val="003672E1"/>
    <w:rsid w:val="00367914"/>
    <w:rsid w:val="00367DBB"/>
    <w:rsid w:val="00367DE9"/>
    <w:rsid w:val="003715FA"/>
    <w:rsid w:val="00371FF4"/>
    <w:rsid w:val="003724A8"/>
    <w:rsid w:val="00372848"/>
    <w:rsid w:val="00373191"/>
    <w:rsid w:val="00373342"/>
    <w:rsid w:val="003734DB"/>
    <w:rsid w:val="00374657"/>
    <w:rsid w:val="00374BE4"/>
    <w:rsid w:val="003757DD"/>
    <w:rsid w:val="00376BF2"/>
    <w:rsid w:val="00377279"/>
    <w:rsid w:val="003772B2"/>
    <w:rsid w:val="003775E7"/>
    <w:rsid w:val="00377C8E"/>
    <w:rsid w:val="00377DA5"/>
    <w:rsid w:val="003802DA"/>
    <w:rsid w:val="00380598"/>
    <w:rsid w:val="00382091"/>
    <w:rsid w:val="003835DA"/>
    <w:rsid w:val="00385658"/>
    <w:rsid w:val="003858AA"/>
    <w:rsid w:val="0038691D"/>
    <w:rsid w:val="0038792F"/>
    <w:rsid w:val="0039004D"/>
    <w:rsid w:val="00390087"/>
    <w:rsid w:val="003903DE"/>
    <w:rsid w:val="00390761"/>
    <w:rsid w:val="003909E4"/>
    <w:rsid w:val="003910A5"/>
    <w:rsid w:val="00391490"/>
    <w:rsid w:val="003920D6"/>
    <w:rsid w:val="00392575"/>
    <w:rsid w:val="00393782"/>
    <w:rsid w:val="0039385D"/>
    <w:rsid w:val="00393B87"/>
    <w:rsid w:val="00393B9A"/>
    <w:rsid w:val="003941FB"/>
    <w:rsid w:val="00395FCA"/>
    <w:rsid w:val="003960F7"/>
    <w:rsid w:val="0039623B"/>
    <w:rsid w:val="00396869"/>
    <w:rsid w:val="003968B2"/>
    <w:rsid w:val="00396ACA"/>
    <w:rsid w:val="00396F4D"/>
    <w:rsid w:val="003A02C1"/>
    <w:rsid w:val="003A0943"/>
    <w:rsid w:val="003A1645"/>
    <w:rsid w:val="003A1B93"/>
    <w:rsid w:val="003A1FD8"/>
    <w:rsid w:val="003A2778"/>
    <w:rsid w:val="003A2EE8"/>
    <w:rsid w:val="003A329A"/>
    <w:rsid w:val="003A3AB3"/>
    <w:rsid w:val="003A4D14"/>
    <w:rsid w:val="003A4E29"/>
    <w:rsid w:val="003A507E"/>
    <w:rsid w:val="003A5442"/>
    <w:rsid w:val="003A59B2"/>
    <w:rsid w:val="003A71F7"/>
    <w:rsid w:val="003A7E22"/>
    <w:rsid w:val="003B0238"/>
    <w:rsid w:val="003B0425"/>
    <w:rsid w:val="003B1214"/>
    <w:rsid w:val="003B2694"/>
    <w:rsid w:val="003B3272"/>
    <w:rsid w:val="003B432E"/>
    <w:rsid w:val="003B4C4E"/>
    <w:rsid w:val="003B4C99"/>
    <w:rsid w:val="003B5922"/>
    <w:rsid w:val="003B63D9"/>
    <w:rsid w:val="003B6B97"/>
    <w:rsid w:val="003B6C43"/>
    <w:rsid w:val="003B6DB8"/>
    <w:rsid w:val="003B79C5"/>
    <w:rsid w:val="003B7C73"/>
    <w:rsid w:val="003C1044"/>
    <w:rsid w:val="003C18A0"/>
    <w:rsid w:val="003C1CB6"/>
    <w:rsid w:val="003C1DAB"/>
    <w:rsid w:val="003C21E1"/>
    <w:rsid w:val="003C2257"/>
    <w:rsid w:val="003C2A0F"/>
    <w:rsid w:val="003C2A74"/>
    <w:rsid w:val="003C2E4B"/>
    <w:rsid w:val="003C3ACF"/>
    <w:rsid w:val="003C3DDD"/>
    <w:rsid w:val="003C3FE0"/>
    <w:rsid w:val="003C4378"/>
    <w:rsid w:val="003C4875"/>
    <w:rsid w:val="003C4E8A"/>
    <w:rsid w:val="003C5D0C"/>
    <w:rsid w:val="003D0F51"/>
    <w:rsid w:val="003D1998"/>
    <w:rsid w:val="003D301B"/>
    <w:rsid w:val="003D4E1D"/>
    <w:rsid w:val="003D501E"/>
    <w:rsid w:val="003D51F2"/>
    <w:rsid w:val="003D5D81"/>
    <w:rsid w:val="003D6258"/>
    <w:rsid w:val="003D6DF1"/>
    <w:rsid w:val="003D72DC"/>
    <w:rsid w:val="003D7734"/>
    <w:rsid w:val="003E0048"/>
    <w:rsid w:val="003E04E6"/>
    <w:rsid w:val="003E17BB"/>
    <w:rsid w:val="003E18E1"/>
    <w:rsid w:val="003E20F7"/>
    <w:rsid w:val="003E221C"/>
    <w:rsid w:val="003E2876"/>
    <w:rsid w:val="003E2909"/>
    <w:rsid w:val="003E2917"/>
    <w:rsid w:val="003E2D94"/>
    <w:rsid w:val="003E2DF7"/>
    <w:rsid w:val="003E2FAC"/>
    <w:rsid w:val="003E40A5"/>
    <w:rsid w:val="003E4240"/>
    <w:rsid w:val="003E57F5"/>
    <w:rsid w:val="003E5E24"/>
    <w:rsid w:val="003E6180"/>
    <w:rsid w:val="003E6B2F"/>
    <w:rsid w:val="003E6F0C"/>
    <w:rsid w:val="003F000B"/>
    <w:rsid w:val="003F02EB"/>
    <w:rsid w:val="003F042F"/>
    <w:rsid w:val="003F094E"/>
    <w:rsid w:val="003F0DFD"/>
    <w:rsid w:val="003F252C"/>
    <w:rsid w:val="003F403F"/>
    <w:rsid w:val="003F51D7"/>
    <w:rsid w:val="003F5308"/>
    <w:rsid w:val="003F7AC0"/>
    <w:rsid w:val="00400B7A"/>
    <w:rsid w:val="00400CE0"/>
    <w:rsid w:val="00401842"/>
    <w:rsid w:val="00402788"/>
    <w:rsid w:val="00402DFE"/>
    <w:rsid w:val="00403399"/>
    <w:rsid w:val="0040344E"/>
    <w:rsid w:val="004038D9"/>
    <w:rsid w:val="004039DD"/>
    <w:rsid w:val="00403C9C"/>
    <w:rsid w:val="004041E8"/>
    <w:rsid w:val="004046A8"/>
    <w:rsid w:val="00404DD2"/>
    <w:rsid w:val="004059F5"/>
    <w:rsid w:val="004103FD"/>
    <w:rsid w:val="00410530"/>
    <w:rsid w:val="004110B5"/>
    <w:rsid w:val="00412057"/>
    <w:rsid w:val="0041228D"/>
    <w:rsid w:val="00412748"/>
    <w:rsid w:val="00412CC4"/>
    <w:rsid w:val="00412DB0"/>
    <w:rsid w:val="00412EE5"/>
    <w:rsid w:val="00413042"/>
    <w:rsid w:val="00413696"/>
    <w:rsid w:val="004144F8"/>
    <w:rsid w:val="0041522F"/>
    <w:rsid w:val="004155E5"/>
    <w:rsid w:val="004156EA"/>
    <w:rsid w:val="00415EA4"/>
    <w:rsid w:val="00416AAC"/>
    <w:rsid w:val="004209A7"/>
    <w:rsid w:val="00420A2C"/>
    <w:rsid w:val="00420D1A"/>
    <w:rsid w:val="00421A39"/>
    <w:rsid w:val="004221F2"/>
    <w:rsid w:val="00422231"/>
    <w:rsid w:val="00422590"/>
    <w:rsid w:val="004229A8"/>
    <w:rsid w:val="00423413"/>
    <w:rsid w:val="0042355C"/>
    <w:rsid w:val="0042414B"/>
    <w:rsid w:val="00424D56"/>
    <w:rsid w:val="00425FD0"/>
    <w:rsid w:val="00426368"/>
    <w:rsid w:val="00426616"/>
    <w:rsid w:val="004305E6"/>
    <w:rsid w:val="0043195F"/>
    <w:rsid w:val="00431F55"/>
    <w:rsid w:val="00432B74"/>
    <w:rsid w:val="0043385F"/>
    <w:rsid w:val="004343C6"/>
    <w:rsid w:val="004344F9"/>
    <w:rsid w:val="00434E5A"/>
    <w:rsid w:val="004355AF"/>
    <w:rsid w:val="00436548"/>
    <w:rsid w:val="004366B7"/>
    <w:rsid w:val="00436747"/>
    <w:rsid w:val="004405C1"/>
    <w:rsid w:val="00440EFC"/>
    <w:rsid w:val="00440F37"/>
    <w:rsid w:val="00441643"/>
    <w:rsid w:val="0044198C"/>
    <w:rsid w:val="00442836"/>
    <w:rsid w:val="00443191"/>
    <w:rsid w:val="004438C9"/>
    <w:rsid w:val="00444036"/>
    <w:rsid w:val="0044443B"/>
    <w:rsid w:val="00444C4F"/>
    <w:rsid w:val="004456E5"/>
    <w:rsid w:val="00445FEF"/>
    <w:rsid w:val="0044617E"/>
    <w:rsid w:val="004461B5"/>
    <w:rsid w:val="0044710F"/>
    <w:rsid w:val="004478D4"/>
    <w:rsid w:val="00447EEA"/>
    <w:rsid w:val="00450042"/>
    <w:rsid w:val="0045013F"/>
    <w:rsid w:val="004507BE"/>
    <w:rsid w:val="00450F0D"/>
    <w:rsid w:val="0045142A"/>
    <w:rsid w:val="00451E3E"/>
    <w:rsid w:val="0045220C"/>
    <w:rsid w:val="00453A6F"/>
    <w:rsid w:val="00453D10"/>
    <w:rsid w:val="004541C4"/>
    <w:rsid w:val="00455C44"/>
    <w:rsid w:val="00456008"/>
    <w:rsid w:val="00457280"/>
    <w:rsid w:val="00457F42"/>
    <w:rsid w:val="00457FF4"/>
    <w:rsid w:val="004602D5"/>
    <w:rsid w:val="0046192C"/>
    <w:rsid w:val="00462911"/>
    <w:rsid w:val="00462A67"/>
    <w:rsid w:val="004630AB"/>
    <w:rsid w:val="00463AF8"/>
    <w:rsid w:val="00463F8C"/>
    <w:rsid w:val="00465BB5"/>
    <w:rsid w:val="00465EF9"/>
    <w:rsid w:val="004670CF"/>
    <w:rsid w:val="004672D4"/>
    <w:rsid w:val="0046785B"/>
    <w:rsid w:val="00470044"/>
    <w:rsid w:val="004705BF"/>
    <w:rsid w:val="004707F5"/>
    <w:rsid w:val="004720D7"/>
    <w:rsid w:val="00474AB8"/>
    <w:rsid w:val="00476209"/>
    <w:rsid w:val="00477EDF"/>
    <w:rsid w:val="00480318"/>
    <w:rsid w:val="00480E95"/>
    <w:rsid w:val="0048170C"/>
    <w:rsid w:val="00481A74"/>
    <w:rsid w:val="00481AD7"/>
    <w:rsid w:val="004821F8"/>
    <w:rsid w:val="00482331"/>
    <w:rsid w:val="00482390"/>
    <w:rsid w:val="00483828"/>
    <w:rsid w:val="0048409E"/>
    <w:rsid w:val="0048448F"/>
    <w:rsid w:val="004844A4"/>
    <w:rsid w:val="00484C73"/>
    <w:rsid w:val="0048667A"/>
    <w:rsid w:val="004869A9"/>
    <w:rsid w:val="00486BAC"/>
    <w:rsid w:val="00490824"/>
    <w:rsid w:val="004914B4"/>
    <w:rsid w:val="00491825"/>
    <w:rsid w:val="0049208B"/>
    <w:rsid w:val="00493453"/>
    <w:rsid w:val="00494111"/>
    <w:rsid w:val="00495737"/>
    <w:rsid w:val="004966BE"/>
    <w:rsid w:val="00496EDE"/>
    <w:rsid w:val="00497DDD"/>
    <w:rsid w:val="004A1439"/>
    <w:rsid w:val="004A3166"/>
    <w:rsid w:val="004A362B"/>
    <w:rsid w:val="004A3E54"/>
    <w:rsid w:val="004A459B"/>
    <w:rsid w:val="004A47DE"/>
    <w:rsid w:val="004A4A6F"/>
    <w:rsid w:val="004A4F48"/>
    <w:rsid w:val="004A6581"/>
    <w:rsid w:val="004A6A66"/>
    <w:rsid w:val="004A6B1C"/>
    <w:rsid w:val="004A6CB2"/>
    <w:rsid w:val="004A6E7E"/>
    <w:rsid w:val="004A7262"/>
    <w:rsid w:val="004A7E00"/>
    <w:rsid w:val="004B0284"/>
    <w:rsid w:val="004B0D2A"/>
    <w:rsid w:val="004B1085"/>
    <w:rsid w:val="004B1353"/>
    <w:rsid w:val="004B1528"/>
    <w:rsid w:val="004B182A"/>
    <w:rsid w:val="004B1BC9"/>
    <w:rsid w:val="004B1FA8"/>
    <w:rsid w:val="004B2036"/>
    <w:rsid w:val="004B23F5"/>
    <w:rsid w:val="004B2517"/>
    <w:rsid w:val="004B265C"/>
    <w:rsid w:val="004B2B30"/>
    <w:rsid w:val="004B3524"/>
    <w:rsid w:val="004B5B00"/>
    <w:rsid w:val="004B5C8C"/>
    <w:rsid w:val="004B7873"/>
    <w:rsid w:val="004B7A81"/>
    <w:rsid w:val="004C056C"/>
    <w:rsid w:val="004C0A5F"/>
    <w:rsid w:val="004C192A"/>
    <w:rsid w:val="004C1A21"/>
    <w:rsid w:val="004C1C0D"/>
    <w:rsid w:val="004C1F8E"/>
    <w:rsid w:val="004C2A54"/>
    <w:rsid w:val="004C2F1F"/>
    <w:rsid w:val="004C3B17"/>
    <w:rsid w:val="004C489C"/>
    <w:rsid w:val="004C6CC9"/>
    <w:rsid w:val="004D00E3"/>
    <w:rsid w:val="004D01A7"/>
    <w:rsid w:val="004D07E3"/>
    <w:rsid w:val="004D0D11"/>
    <w:rsid w:val="004D2CE3"/>
    <w:rsid w:val="004D2D73"/>
    <w:rsid w:val="004D39CD"/>
    <w:rsid w:val="004D5108"/>
    <w:rsid w:val="004D5305"/>
    <w:rsid w:val="004D6132"/>
    <w:rsid w:val="004D623B"/>
    <w:rsid w:val="004D749E"/>
    <w:rsid w:val="004D774C"/>
    <w:rsid w:val="004E0103"/>
    <w:rsid w:val="004E03ED"/>
    <w:rsid w:val="004E1667"/>
    <w:rsid w:val="004E19DB"/>
    <w:rsid w:val="004E1F6A"/>
    <w:rsid w:val="004E25F0"/>
    <w:rsid w:val="004E386C"/>
    <w:rsid w:val="004E402E"/>
    <w:rsid w:val="004E4088"/>
    <w:rsid w:val="004E5117"/>
    <w:rsid w:val="004E54CA"/>
    <w:rsid w:val="004E6790"/>
    <w:rsid w:val="004E6ACA"/>
    <w:rsid w:val="004E6E34"/>
    <w:rsid w:val="004F122F"/>
    <w:rsid w:val="004F16E8"/>
    <w:rsid w:val="004F178F"/>
    <w:rsid w:val="004F269F"/>
    <w:rsid w:val="004F3D96"/>
    <w:rsid w:val="004F4081"/>
    <w:rsid w:val="004F4B9E"/>
    <w:rsid w:val="004F4D6F"/>
    <w:rsid w:val="004F5063"/>
    <w:rsid w:val="004F5141"/>
    <w:rsid w:val="004F57F9"/>
    <w:rsid w:val="004F73BF"/>
    <w:rsid w:val="004F73FF"/>
    <w:rsid w:val="004F746F"/>
    <w:rsid w:val="00500656"/>
    <w:rsid w:val="00500A9E"/>
    <w:rsid w:val="00500E20"/>
    <w:rsid w:val="005011E7"/>
    <w:rsid w:val="00501282"/>
    <w:rsid w:val="00502D8D"/>
    <w:rsid w:val="00503F1C"/>
    <w:rsid w:val="00504134"/>
    <w:rsid w:val="00504337"/>
    <w:rsid w:val="00504803"/>
    <w:rsid w:val="00505387"/>
    <w:rsid w:val="005073D8"/>
    <w:rsid w:val="00507504"/>
    <w:rsid w:val="00507D8E"/>
    <w:rsid w:val="00507E68"/>
    <w:rsid w:val="00507F93"/>
    <w:rsid w:val="005110FE"/>
    <w:rsid w:val="0051133F"/>
    <w:rsid w:val="005113E6"/>
    <w:rsid w:val="005120F6"/>
    <w:rsid w:val="00513037"/>
    <w:rsid w:val="0051337A"/>
    <w:rsid w:val="00514858"/>
    <w:rsid w:val="005148E7"/>
    <w:rsid w:val="00514926"/>
    <w:rsid w:val="0051544E"/>
    <w:rsid w:val="0051596A"/>
    <w:rsid w:val="00515C4B"/>
    <w:rsid w:val="00516AC2"/>
    <w:rsid w:val="00516B1E"/>
    <w:rsid w:val="005172CC"/>
    <w:rsid w:val="005212D8"/>
    <w:rsid w:val="00521E58"/>
    <w:rsid w:val="0052234E"/>
    <w:rsid w:val="00522518"/>
    <w:rsid w:val="005234D3"/>
    <w:rsid w:val="00523B0F"/>
    <w:rsid w:val="00523B31"/>
    <w:rsid w:val="00524401"/>
    <w:rsid w:val="00525A65"/>
    <w:rsid w:val="00527624"/>
    <w:rsid w:val="0052762C"/>
    <w:rsid w:val="005302D1"/>
    <w:rsid w:val="00531638"/>
    <w:rsid w:val="00531A92"/>
    <w:rsid w:val="00531F4F"/>
    <w:rsid w:val="0053205F"/>
    <w:rsid w:val="005323DE"/>
    <w:rsid w:val="005324EE"/>
    <w:rsid w:val="0053269E"/>
    <w:rsid w:val="005329B5"/>
    <w:rsid w:val="00532B46"/>
    <w:rsid w:val="005330FF"/>
    <w:rsid w:val="005333E6"/>
    <w:rsid w:val="00533970"/>
    <w:rsid w:val="0053407E"/>
    <w:rsid w:val="0053419E"/>
    <w:rsid w:val="0053424E"/>
    <w:rsid w:val="00534E16"/>
    <w:rsid w:val="00535DA8"/>
    <w:rsid w:val="005366AF"/>
    <w:rsid w:val="00536D49"/>
    <w:rsid w:val="00537856"/>
    <w:rsid w:val="00541A9E"/>
    <w:rsid w:val="00541E12"/>
    <w:rsid w:val="00542A3E"/>
    <w:rsid w:val="005437D2"/>
    <w:rsid w:val="005442AD"/>
    <w:rsid w:val="00544633"/>
    <w:rsid w:val="00544EB4"/>
    <w:rsid w:val="005451E8"/>
    <w:rsid w:val="0054583C"/>
    <w:rsid w:val="0054681F"/>
    <w:rsid w:val="0055085D"/>
    <w:rsid w:val="00551863"/>
    <w:rsid w:val="00551B43"/>
    <w:rsid w:val="005521D8"/>
    <w:rsid w:val="00552C0D"/>
    <w:rsid w:val="00553FE7"/>
    <w:rsid w:val="00555DB1"/>
    <w:rsid w:val="00555E8A"/>
    <w:rsid w:val="005571B9"/>
    <w:rsid w:val="00560E40"/>
    <w:rsid w:val="005610DC"/>
    <w:rsid w:val="0056170F"/>
    <w:rsid w:val="0056183D"/>
    <w:rsid w:val="00561E10"/>
    <w:rsid w:val="00562086"/>
    <w:rsid w:val="005625FD"/>
    <w:rsid w:val="0056381B"/>
    <w:rsid w:val="00564BC3"/>
    <w:rsid w:val="0056501B"/>
    <w:rsid w:val="005650D7"/>
    <w:rsid w:val="005660E4"/>
    <w:rsid w:val="0056654E"/>
    <w:rsid w:val="00566A2C"/>
    <w:rsid w:val="00567153"/>
    <w:rsid w:val="00567EF2"/>
    <w:rsid w:val="0057141B"/>
    <w:rsid w:val="005723FB"/>
    <w:rsid w:val="005726BB"/>
    <w:rsid w:val="005737DD"/>
    <w:rsid w:val="00573D68"/>
    <w:rsid w:val="005747A5"/>
    <w:rsid w:val="00574971"/>
    <w:rsid w:val="00574AEE"/>
    <w:rsid w:val="005759E6"/>
    <w:rsid w:val="005759E8"/>
    <w:rsid w:val="00577F7D"/>
    <w:rsid w:val="0058038E"/>
    <w:rsid w:val="00580E2E"/>
    <w:rsid w:val="0058184F"/>
    <w:rsid w:val="00581AE1"/>
    <w:rsid w:val="005826EA"/>
    <w:rsid w:val="005827D2"/>
    <w:rsid w:val="005831EB"/>
    <w:rsid w:val="00584850"/>
    <w:rsid w:val="005849C7"/>
    <w:rsid w:val="00584F0E"/>
    <w:rsid w:val="005861B2"/>
    <w:rsid w:val="00586C9F"/>
    <w:rsid w:val="0058701B"/>
    <w:rsid w:val="00587314"/>
    <w:rsid w:val="005879A3"/>
    <w:rsid w:val="00587DD2"/>
    <w:rsid w:val="005900F1"/>
    <w:rsid w:val="0059051B"/>
    <w:rsid w:val="0059059D"/>
    <w:rsid w:val="005908B7"/>
    <w:rsid w:val="00591EA9"/>
    <w:rsid w:val="0059205C"/>
    <w:rsid w:val="0059252D"/>
    <w:rsid w:val="00593790"/>
    <w:rsid w:val="00593E57"/>
    <w:rsid w:val="00594349"/>
    <w:rsid w:val="005948E1"/>
    <w:rsid w:val="00595080"/>
    <w:rsid w:val="0059639D"/>
    <w:rsid w:val="00596B49"/>
    <w:rsid w:val="005979C1"/>
    <w:rsid w:val="005A020C"/>
    <w:rsid w:val="005A0447"/>
    <w:rsid w:val="005A060D"/>
    <w:rsid w:val="005A1BB3"/>
    <w:rsid w:val="005A2356"/>
    <w:rsid w:val="005A30F8"/>
    <w:rsid w:val="005A3A43"/>
    <w:rsid w:val="005A3DD2"/>
    <w:rsid w:val="005A3FA5"/>
    <w:rsid w:val="005A48C7"/>
    <w:rsid w:val="005A5372"/>
    <w:rsid w:val="005A5B01"/>
    <w:rsid w:val="005A6114"/>
    <w:rsid w:val="005A6175"/>
    <w:rsid w:val="005A6A77"/>
    <w:rsid w:val="005A6DAB"/>
    <w:rsid w:val="005A6EE9"/>
    <w:rsid w:val="005A7DB3"/>
    <w:rsid w:val="005B0953"/>
    <w:rsid w:val="005B1084"/>
    <w:rsid w:val="005B1621"/>
    <w:rsid w:val="005B16D0"/>
    <w:rsid w:val="005B1DBE"/>
    <w:rsid w:val="005B20A8"/>
    <w:rsid w:val="005B2E8D"/>
    <w:rsid w:val="005B3360"/>
    <w:rsid w:val="005B4073"/>
    <w:rsid w:val="005B4F01"/>
    <w:rsid w:val="005B53CA"/>
    <w:rsid w:val="005B580B"/>
    <w:rsid w:val="005B5E9C"/>
    <w:rsid w:val="005B61D6"/>
    <w:rsid w:val="005B63E3"/>
    <w:rsid w:val="005B63FB"/>
    <w:rsid w:val="005B6C69"/>
    <w:rsid w:val="005C04DF"/>
    <w:rsid w:val="005C29BF"/>
    <w:rsid w:val="005C2ECD"/>
    <w:rsid w:val="005C38AE"/>
    <w:rsid w:val="005C491F"/>
    <w:rsid w:val="005C4D39"/>
    <w:rsid w:val="005C5DBD"/>
    <w:rsid w:val="005C6579"/>
    <w:rsid w:val="005C68FA"/>
    <w:rsid w:val="005C6B0B"/>
    <w:rsid w:val="005C76AB"/>
    <w:rsid w:val="005D056C"/>
    <w:rsid w:val="005D0704"/>
    <w:rsid w:val="005D0A72"/>
    <w:rsid w:val="005D0DF0"/>
    <w:rsid w:val="005D1584"/>
    <w:rsid w:val="005D4866"/>
    <w:rsid w:val="005D5DC3"/>
    <w:rsid w:val="005D6023"/>
    <w:rsid w:val="005D7493"/>
    <w:rsid w:val="005E02E4"/>
    <w:rsid w:val="005E0958"/>
    <w:rsid w:val="005E0C24"/>
    <w:rsid w:val="005E0F6B"/>
    <w:rsid w:val="005E1085"/>
    <w:rsid w:val="005E1C8A"/>
    <w:rsid w:val="005E2412"/>
    <w:rsid w:val="005E2C47"/>
    <w:rsid w:val="005E329E"/>
    <w:rsid w:val="005E3942"/>
    <w:rsid w:val="005E3D23"/>
    <w:rsid w:val="005E5D1D"/>
    <w:rsid w:val="005E6828"/>
    <w:rsid w:val="005E71E6"/>
    <w:rsid w:val="005E7873"/>
    <w:rsid w:val="005E7BAD"/>
    <w:rsid w:val="005F00C7"/>
    <w:rsid w:val="005F05B4"/>
    <w:rsid w:val="005F07A2"/>
    <w:rsid w:val="005F080D"/>
    <w:rsid w:val="005F0D04"/>
    <w:rsid w:val="005F1108"/>
    <w:rsid w:val="005F20DC"/>
    <w:rsid w:val="005F2975"/>
    <w:rsid w:val="005F388B"/>
    <w:rsid w:val="005F4063"/>
    <w:rsid w:val="005F4DE6"/>
    <w:rsid w:val="005F5483"/>
    <w:rsid w:val="005F630E"/>
    <w:rsid w:val="005F6408"/>
    <w:rsid w:val="005F6F57"/>
    <w:rsid w:val="00600A2E"/>
    <w:rsid w:val="00600CFF"/>
    <w:rsid w:val="00601058"/>
    <w:rsid w:val="006010D2"/>
    <w:rsid w:val="006011BC"/>
    <w:rsid w:val="0060195A"/>
    <w:rsid w:val="00601E99"/>
    <w:rsid w:val="00602473"/>
    <w:rsid w:val="00602612"/>
    <w:rsid w:val="00602889"/>
    <w:rsid w:val="006028AC"/>
    <w:rsid w:val="0060297B"/>
    <w:rsid w:val="00603CA0"/>
    <w:rsid w:val="0060426F"/>
    <w:rsid w:val="00604393"/>
    <w:rsid w:val="006048D4"/>
    <w:rsid w:val="00604993"/>
    <w:rsid w:val="00604C09"/>
    <w:rsid w:val="00604C24"/>
    <w:rsid w:val="006073D9"/>
    <w:rsid w:val="00607E97"/>
    <w:rsid w:val="00611190"/>
    <w:rsid w:val="00611373"/>
    <w:rsid w:val="006114D8"/>
    <w:rsid w:val="00611523"/>
    <w:rsid w:val="00611C42"/>
    <w:rsid w:val="00611E91"/>
    <w:rsid w:val="006122CE"/>
    <w:rsid w:val="006129A4"/>
    <w:rsid w:val="00612CE6"/>
    <w:rsid w:val="006133EC"/>
    <w:rsid w:val="006142DC"/>
    <w:rsid w:val="006143F5"/>
    <w:rsid w:val="0061447A"/>
    <w:rsid w:val="006150D0"/>
    <w:rsid w:val="00615188"/>
    <w:rsid w:val="00615889"/>
    <w:rsid w:val="00615EA8"/>
    <w:rsid w:val="0061699B"/>
    <w:rsid w:val="00617217"/>
    <w:rsid w:val="00617570"/>
    <w:rsid w:val="00617C14"/>
    <w:rsid w:val="00620CA9"/>
    <w:rsid w:val="006212A5"/>
    <w:rsid w:val="006216B9"/>
    <w:rsid w:val="006229F5"/>
    <w:rsid w:val="00623798"/>
    <w:rsid w:val="00623924"/>
    <w:rsid w:val="00624D8E"/>
    <w:rsid w:val="006261AB"/>
    <w:rsid w:val="006261EC"/>
    <w:rsid w:val="0062648F"/>
    <w:rsid w:val="00626C9F"/>
    <w:rsid w:val="006279CA"/>
    <w:rsid w:val="00627CE5"/>
    <w:rsid w:val="00631872"/>
    <w:rsid w:val="00631C2A"/>
    <w:rsid w:val="00632ED5"/>
    <w:rsid w:val="006331AE"/>
    <w:rsid w:val="006336C2"/>
    <w:rsid w:val="006336F5"/>
    <w:rsid w:val="00634275"/>
    <w:rsid w:val="006348C7"/>
    <w:rsid w:val="006367CF"/>
    <w:rsid w:val="00636881"/>
    <w:rsid w:val="0064002E"/>
    <w:rsid w:val="00640E7D"/>
    <w:rsid w:val="00641DA9"/>
    <w:rsid w:val="00643586"/>
    <w:rsid w:val="00643743"/>
    <w:rsid w:val="0064398E"/>
    <w:rsid w:val="00643E25"/>
    <w:rsid w:val="006440F4"/>
    <w:rsid w:val="0064450E"/>
    <w:rsid w:val="00644AA3"/>
    <w:rsid w:val="00644F33"/>
    <w:rsid w:val="00644F76"/>
    <w:rsid w:val="00644FB1"/>
    <w:rsid w:val="00645CD7"/>
    <w:rsid w:val="00646A39"/>
    <w:rsid w:val="00646B02"/>
    <w:rsid w:val="00647308"/>
    <w:rsid w:val="00647353"/>
    <w:rsid w:val="006476AB"/>
    <w:rsid w:val="00647D59"/>
    <w:rsid w:val="00647EE9"/>
    <w:rsid w:val="0065045C"/>
    <w:rsid w:val="006504C5"/>
    <w:rsid w:val="00650EB9"/>
    <w:rsid w:val="00650F89"/>
    <w:rsid w:val="00651824"/>
    <w:rsid w:val="006523B9"/>
    <w:rsid w:val="00652C69"/>
    <w:rsid w:val="00652ED9"/>
    <w:rsid w:val="0065396B"/>
    <w:rsid w:val="00654EEA"/>
    <w:rsid w:val="006551EA"/>
    <w:rsid w:val="00655AB8"/>
    <w:rsid w:val="00655F11"/>
    <w:rsid w:val="006568AB"/>
    <w:rsid w:val="006569C6"/>
    <w:rsid w:val="006602B5"/>
    <w:rsid w:val="006603D4"/>
    <w:rsid w:val="00660FB1"/>
    <w:rsid w:val="0066130A"/>
    <w:rsid w:val="006628A7"/>
    <w:rsid w:val="00662CC2"/>
    <w:rsid w:val="00662D82"/>
    <w:rsid w:val="00663009"/>
    <w:rsid w:val="00664715"/>
    <w:rsid w:val="00665408"/>
    <w:rsid w:val="00666A21"/>
    <w:rsid w:val="00667518"/>
    <w:rsid w:val="00667750"/>
    <w:rsid w:val="006702E9"/>
    <w:rsid w:val="00670431"/>
    <w:rsid w:val="00672A70"/>
    <w:rsid w:val="00672E90"/>
    <w:rsid w:val="006736E0"/>
    <w:rsid w:val="00673A4A"/>
    <w:rsid w:val="00674351"/>
    <w:rsid w:val="00674807"/>
    <w:rsid w:val="00675601"/>
    <w:rsid w:val="00675B8B"/>
    <w:rsid w:val="0067746C"/>
    <w:rsid w:val="00680952"/>
    <w:rsid w:val="0068132F"/>
    <w:rsid w:val="00681E5B"/>
    <w:rsid w:val="0068279B"/>
    <w:rsid w:val="00682FAA"/>
    <w:rsid w:val="0068378D"/>
    <w:rsid w:val="0068383C"/>
    <w:rsid w:val="00683FB2"/>
    <w:rsid w:val="00684150"/>
    <w:rsid w:val="0068496A"/>
    <w:rsid w:val="00684A46"/>
    <w:rsid w:val="00684A4A"/>
    <w:rsid w:val="00684E1E"/>
    <w:rsid w:val="006864A3"/>
    <w:rsid w:val="00686B82"/>
    <w:rsid w:val="00686D46"/>
    <w:rsid w:val="0068788F"/>
    <w:rsid w:val="00690B0E"/>
    <w:rsid w:val="00691ADC"/>
    <w:rsid w:val="00691CE2"/>
    <w:rsid w:val="00692A88"/>
    <w:rsid w:val="00693C89"/>
    <w:rsid w:val="00694EC5"/>
    <w:rsid w:val="00696480"/>
    <w:rsid w:val="00696708"/>
    <w:rsid w:val="00697325"/>
    <w:rsid w:val="006979FF"/>
    <w:rsid w:val="006A1372"/>
    <w:rsid w:val="006A1D0B"/>
    <w:rsid w:val="006A1F36"/>
    <w:rsid w:val="006A3110"/>
    <w:rsid w:val="006A3B75"/>
    <w:rsid w:val="006A40BF"/>
    <w:rsid w:val="006A442D"/>
    <w:rsid w:val="006A4752"/>
    <w:rsid w:val="006A4ECE"/>
    <w:rsid w:val="006A5272"/>
    <w:rsid w:val="006A578B"/>
    <w:rsid w:val="006A5C7F"/>
    <w:rsid w:val="006A7623"/>
    <w:rsid w:val="006B0106"/>
    <w:rsid w:val="006B0EC4"/>
    <w:rsid w:val="006B1292"/>
    <w:rsid w:val="006B16C3"/>
    <w:rsid w:val="006B23C9"/>
    <w:rsid w:val="006B247E"/>
    <w:rsid w:val="006B3201"/>
    <w:rsid w:val="006B42DD"/>
    <w:rsid w:val="006B464B"/>
    <w:rsid w:val="006B4967"/>
    <w:rsid w:val="006B4FD6"/>
    <w:rsid w:val="006B66D7"/>
    <w:rsid w:val="006B6FF5"/>
    <w:rsid w:val="006C0ABF"/>
    <w:rsid w:val="006C0DDF"/>
    <w:rsid w:val="006C1C01"/>
    <w:rsid w:val="006C27EE"/>
    <w:rsid w:val="006C3357"/>
    <w:rsid w:val="006C346C"/>
    <w:rsid w:val="006C3C4B"/>
    <w:rsid w:val="006C40DD"/>
    <w:rsid w:val="006C4344"/>
    <w:rsid w:val="006C4379"/>
    <w:rsid w:val="006C4558"/>
    <w:rsid w:val="006C50FC"/>
    <w:rsid w:val="006C5475"/>
    <w:rsid w:val="006C5E4F"/>
    <w:rsid w:val="006C60CB"/>
    <w:rsid w:val="006C72B2"/>
    <w:rsid w:val="006D026E"/>
    <w:rsid w:val="006D179D"/>
    <w:rsid w:val="006D1854"/>
    <w:rsid w:val="006D2AD8"/>
    <w:rsid w:val="006D2CE4"/>
    <w:rsid w:val="006D4400"/>
    <w:rsid w:val="006D4895"/>
    <w:rsid w:val="006D5718"/>
    <w:rsid w:val="006D5748"/>
    <w:rsid w:val="006D7004"/>
    <w:rsid w:val="006D7220"/>
    <w:rsid w:val="006E03A9"/>
    <w:rsid w:val="006E08E6"/>
    <w:rsid w:val="006E0B35"/>
    <w:rsid w:val="006E1681"/>
    <w:rsid w:val="006E2964"/>
    <w:rsid w:val="006E2A60"/>
    <w:rsid w:val="006E2B20"/>
    <w:rsid w:val="006E3A33"/>
    <w:rsid w:val="006E3D23"/>
    <w:rsid w:val="006E4D28"/>
    <w:rsid w:val="006E4D57"/>
    <w:rsid w:val="006E5846"/>
    <w:rsid w:val="006E5D64"/>
    <w:rsid w:val="006E6198"/>
    <w:rsid w:val="006F1968"/>
    <w:rsid w:val="006F1977"/>
    <w:rsid w:val="006F2EB3"/>
    <w:rsid w:val="006F366E"/>
    <w:rsid w:val="006F3CF2"/>
    <w:rsid w:val="006F45F3"/>
    <w:rsid w:val="006F5AF6"/>
    <w:rsid w:val="006F5DD5"/>
    <w:rsid w:val="006F5E54"/>
    <w:rsid w:val="006F60E9"/>
    <w:rsid w:val="006F72A0"/>
    <w:rsid w:val="0070088C"/>
    <w:rsid w:val="00701411"/>
    <w:rsid w:val="007019C0"/>
    <w:rsid w:val="00702462"/>
    <w:rsid w:val="00703003"/>
    <w:rsid w:val="00703973"/>
    <w:rsid w:val="00704A69"/>
    <w:rsid w:val="00704A8E"/>
    <w:rsid w:val="00704C6D"/>
    <w:rsid w:val="00704CE9"/>
    <w:rsid w:val="00704D64"/>
    <w:rsid w:val="007055EF"/>
    <w:rsid w:val="00706754"/>
    <w:rsid w:val="0070689F"/>
    <w:rsid w:val="00706F6B"/>
    <w:rsid w:val="00707150"/>
    <w:rsid w:val="00710854"/>
    <w:rsid w:val="00711AF0"/>
    <w:rsid w:val="00712B79"/>
    <w:rsid w:val="0071340A"/>
    <w:rsid w:val="007136E0"/>
    <w:rsid w:val="00713BA5"/>
    <w:rsid w:val="00713EFF"/>
    <w:rsid w:val="00714377"/>
    <w:rsid w:val="00715EF1"/>
    <w:rsid w:val="00715F14"/>
    <w:rsid w:val="007163A5"/>
    <w:rsid w:val="00716734"/>
    <w:rsid w:val="00716AA6"/>
    <w:rsid w:val="00716C27"/>
    <w:rsid w:val="00717A5E"/>
    <w:rsid w:val="00717AEF"/>
    <w:rsid w:val="00720289"/>
    <w:rsid w:val="007207DE"/>
    <w:rsid w:val="00720E33"/>
    <w:rsid w:val="007215C9"/>
    <w:rsid w:val="00721661"/>
    <w:rsid w:val="007220EA"/>
    <w:rsid w:val="007221FB"/>
    <w:rsid w:val="007227DB"/>
    <w:rsid w:val="007233E9"/>
    <w:rsid w:val="00723671"/>
    <w:rsid w:val="007236E1"/>
    <w:rsid w:val="00723F60"/>
    <w:rsid w:val="00724000"/>
    <w:rsid w:val="00724FDC"/>
    <w:rsid w:val="00725974"/>
    <w:rsid w:val="00725A17"/>
    <w:rsid w:val="00726804"/>
    <w:rsid w:val="007272AA"/>
    <w:rsid w:val="007273CF"/>
    <w:rsid w:val="007278FD"/>
    <w:rsid w:val="007306F5"/>
    <w:rsid w:val="007326F8"/>
    <w:rsid w:val="007331FF"/>
    <w:rsid w:val="007335D6"/>
    <w:rsid w:val="00733F2F"/>
    <w:rsid w:val="00734685"/>
    <w:rsid w:val="0073486B"/>
    <w:rsid w:val="00734D84"/>
    <w:rsid w:val="007350DD"/>
    <w:rsid w:val="007355AC"/>
    <w:rsid w:val="00737847"/>
    <w:rsid w:val="00740B65"/>
    <w:rsid w:val="00740C06"/>
    <w:rsid w:val="00740CFC"/>
    <w:rsid w:val="00740D01"/>
    <w:rsid w:val="0074132E"/>
    <w:rsid w:val="007417BD"/>
    <w:rsid w:val="00741845"/>
    <w:rsid w:val="00741AE6"/>
    <w:rsid w:val="00741CDC"/>
    <w:rsid w:val="00741E74"/>
    <w:rsid w:val="0074217D"/>
    <w:rsid w:val="00742A99"/>
    <w:rsid w:val="007430E5"/>
    <w:rsid w:val="007440CE"/>
    <w:rsid w:val="00744452"/>
    <w:rsid w:val="00746767"/>
    <w:rsid w:val="00746F4E"/>
    <w:rsid w:val="00747743"/>
    <w:rsid w:val="0074778A"/>
    <w:rsid w:val="0074788A"/>
    <w:rsid w:val="0075011B"/>
    <w:rsid w:val="00750151"/>
    <w:rsid w:val="00750533"/>
    <w:rsid w:val="007506CE"/>
    <w:rsid w:val="007507AB"/>
    <w:rsid w:val="00751E47"/>
    <w:rsid w:val="00751EA2"/>
    <w:rsid w:val="007522CF"/>
    <w:rsid w:val="007546EA"/>
    <w:rsid w:val="00754E30"/>
    <w:rsid w:val="007558E7"/>
    <w:rsid w:val="007561AD"/>
    <w:rsid w:val="007577B0"/>
    <w:rsid w:val="007577FA"/>
    <w:rsid w:val="007579A6"/>
    <w:rsid w:val="00757B09"/>
    <w:rsid w:val="00757E4A"/>
    <w:rsid w:val="0076047B"/>
    <w:rsid w:val="00761A92"/>
    <w:rsid w:val="007622E2"/>
    <w:rsid w:val="007625C3"/>
    <w:rsid w:val="007628A4"/>
    <w:rsid w:val="00762981"/>
    <w:rsid w:val="00762D34"/>
    <w:rsid w:val="00763857"/>
    <w:rsid w:val="00764A39"/>
    <w:rsid w:val="00764B4E"/>
    <w:rsid w:val="00765E90"/>
    <w:rsid w:val="007667FF"/>
    <w:rsid w:val="007670DE"/>
    <w:rsid w:val="00767C00"/>
    <w:rsid w:val="00767D1D"/>
    <w:rsid w:val="00770086"/>
    <w:rsid w:val="007705A2"/>
    <w:rsid w:val="007722DC"/>
    <w:rsid w:val="00772731"/>
    <w:rsid w:val="0077354E"/>
    <w:rsid w:val="00774CDF"/>
    <w:rsid w:val="007758D0"/>
    <w:rsid w:val="007762C5"/>
    <w:rsid w:val="00776428"/>
    <w:rsid w:val="007769A0"/>
    <w:rsid w:val="00777D1B"/>
    <w:rsid w:val="007811C3"/>
    <w:rsid w:val="007823D1"/>
    <w:rsid w:val="00782987"/>
    <w:rsid w:val="00782E24"/>
    <w:rsid w:val="007845D0"/>
    <w:rsid w:val="007851B5"/>
    <w:rsid w:val="00785C58"/>
    <w:rsid w:val="00785F64"/>
    <w:rsid w:val="00786ABF"/>
    <w:rsid w:val="00786CAE"/>
    <w:rsid w:val="007876E4"/>
    <w:rsid w:val="00787938"/>
    <w:rsid w:val="00787EB5"/>
    <w:rsid w:val="00787FB6"/>
    <w:rsid w:val="007901B9"/>
    <w:rsid w:val="00791C0B"/>
    <w:rsid w:val="00792171"/>
    <w:rsid w:val="00793248"/>
    <w:rsid w:val="007964CB"/>
    <w:rsid w:val="0079670E"/>
    <w:rsid w:val="00796A69"/>
    <w:rsid w:val="00797D53"/>
    <w:rsid w:val="00797E2E"/>
    <w:rsid w:val="007A03B4"/>
    <w:rsid w:val="007A04D9"/>
    <w:rsid w:val="007A1088"/>
    <w:rsid w:val="007A11BE"/>
    <w:rsid w:val="007A16F5"/>
    <w:rsid w:val="007A1863"/>
    <w:rsid w:val="007A1B98"/>
    <w:rsid w:val="007A2007"/>
    <w:rsid w:val="007A29CD"/>
    <w:rsid w:val="007A2AFA"/>
    <w:rsid w:val="007A3044"/>
    <w:rsid w:val="007A3348"/>
    <w:rsid w:val="007A4BAC"/>
    <w:rsid w:val="007A79C9"/>
    <w:rsid w:val="007A79CE"/>
    <w:rsid w:val="007A7E46"/>
    <w:rsid w:val="007A7F47"/>
    <w:rsid w:val="007A7F88"/>
    <w:rsid w:val="007B057C"/>
    <w:rsid w:val="007B09D2"/>
    <w:rsid w:val="007B0B61"/>
    <w:rsid w:val="007B2001"/>
    <w:rsid w:val="007B46F8"/>
    <w:rsid w:val="007B566B"/>
    <w:rsid w:val="007B56B2"/>
    <w:rsid w:val="007B5DAD"/>
    <w:rsid w:val="007B67EE"/>
    <w:rsid w:val="007B6D15"/>
    <w:rsid w:val="007B711D"/>
    <w:rsid w:val="007B7755"/>
    <w:rsid w:val="007B7E2E"/>
    <w:rsid w:val="007C01B6"/>
    <w:rsid w:val="007C0433"/>
    <w:rsid w:val="007C086E"/>
    <w:rsid w:val="007C1E21"/>
    <w:rsid w:val="007C35A2"/>
    <w:rsid w:val="007C4013"/>
    <w:rsid w:val="007D04A8"/>
    <w:rsid w:val="007D2351"/>
    <w:rsid w:val="007D26DF"/>
    <w:rsid w:val="007D2707"/>
    <w:rsid w:val="007D2FE2"/>
    <w:rsid w:val="007D3D03"/>
    <w:rsid w:val="007D3FDB"/>
    <w:rsid w:val="007D4534"/>
    <w:rsid w:val="007D7875"/>
    <w:rsid w:val="007E03C8"/>
    <w:rsid w:val="007E09CE"/>
    <w:rsid w:val="007E3D34"/>
    <w:rsid w:val="007E40C5"/>
    <w:rsid w:val="007E510C"/>
    <w:rsid w:val="007E5C98"/>
    <w:rsid w:val="007E60AA"/>
    <w:rsid w:val="007E66D1"/>
    <w:rsid w:val="007E673C"/>
    <w:rsid w:val="007E7778"/>
    <w:rsid w:val="007F07D4"/>
    <w:rsid w:val="007F0E13"/>
    <w:rsid w:val="007F0E71"/>
    <w:rsid w:val="007F1359"/>
    <w:rsid w:val="007F1C1B"/>
    <w:rsid w:val="007F1CF9"/>
    <w:rsid w:val="007F1EAC"/>
    <w:rsid w:val="007F2357"/>
    <w:rsid w:val="007F35B3"/>
    <w:rsid w:val="007F3A50"/>
    <w:rsid w:val="007F548C"/>
    <w:rsid w:val="007F5555"/>
    <w:rsid w:val="007F66B0"/>
    <w:rsid w:val="007F7B39"/>
    <w:rsid w:val="0080002E"/>
    <w:rsid w:val="008002FE"/>
    <w:rsid w:val="00800DB1"/>
    <w:rsid w:val="00801812"/>
    <w:rsid w:val="00801A5D"/>
    <w:rsid w:val="00802F71"/>
    <w:rsid w:val="008030AD"/>
    <w:rsid w:val="0080337F"/>
    <w:rsid w:val="00803698"/>
    <w:rsid w:val="0080427D"/>
    <w:rsid w:val="00804C34"/>
    <w:rsid w:val="00805086"/>
    <w:rsid w:val="008057F4"/>
    <w:rsid w:val="0080767B"/>
    <w:rsid w:val="008108EC"/>
    <w:rsid w:val="00811792"/>
    <w:rsid w:val="008146CC"/>
    <w:rsid w:val="008152C4"/>
    <w:rsid w:val="008156B8"/>
    <w:rsid w:val="00815AA6"/>
    <w:rsid w:val="00815BC9"/>
    <w:rsid w:val="00815C74"/>
    <w:rsid w:val="00816844"/>
    <w:rsid w:val="00816A4D"/>
    <w:rsid w:val="00816D4E"/>
    <w:rsid w:val="008202E2"/>
    <w:rsid w:val="00821260"/>
    <w:rsid w:val="008219A4"/>
    <w:rsid w:val="00821A10"/>
    <w:rsid w:val="00823511"/>
    <w:rsid w:val="00823A65"/>
    <w:rsid w:val="00823E95"/>
    <w:rsid w:val="00824084"/>
    <w:rsid w:val="00824314"/>
    <w:rsid w:val="00824D81"/>
    <w:rsid w:val="00825017"/>
    <w:rsid w:val="00825791"/>
    <w:rsid w:val="00826571"/>
    <w:rsid w:val="008265F5"/>
    <w:rsid w:val="00826F03"/>
    <w:rsid w:val="0082799F"/>
    <w:rsid w:val="00827D6E"/>
    <w:rsid w:val="008305C9"/>
    <w:rsid w:val="00831965"/>
    <w:rsid w:val="00832429"/>
    <w:rsid w:val="00832837"/>
    <w:rsid w:val="00832A7F"/>
    <w:rsid w:val="00832D2F"/>
    <w:rsid w:val="00832ED5"/>
    <w:rsid w:val="008337A3"/>
    <w:rsid w:val="0083387A"/>
    <w:rsid w:val="00833C19"/>
    <w:rsid w:val="00833D5A"/>
    <w:rsid w:val="00836065"/>
    <w:rsid w:val="0083676F"/>
    <w:rsid w:val="0084067C"/>
    <w:rsid w:val="00840BD9"/>
    <w:rsid w:val="00840D5A"/>
    <w:rsid w:val="008422E0"/>
    <w:rsid w:val="00842C0D"/>
    <w:rsid w:val="00842C76"/>
    <w:rsid w:val="00844933"/>
    <w:rsid w:val="008452E3"/>
    <w:rsid w:val="008453F3"/>
    <w:rsid w:val="00845514"/>
    <w:rsid w:val="008457FE"/>
    <w:rsid w:val="00845C26"/>
    <w:rsid w:val="00846226"/>
    <w:rsid w:val="00846CEF"/>
    <w:rsid w:val="00846F37"/>
    <w:rsid w:val="00847B4D"/>
    <w:rsid w:val="00850CF1"/>
    <w:rsid w:val="00851423"/>
    <w:rsid w:val="0085266B"/>
    <w:rsid w:val="00853E07"/>
    <w:rsid w:val="00854EC8"/>
    <w:rsid w:val="00855288"/>
    <w:rsid w:val="00855623"/>
    <w:rsid w:val="008556BC"/>
    <w:rsid w:val="008557C7"/>
    <w:rsid w:val="008565BE"/>
    <w:rsid w:val="00856718"/>
    <w:rsid w:val="00856B54"/>
    <w:rsid w:val="00857D76"/>
    <w:rsid w:val="0086010E"/>
    <w:rsid w:val="00860423"/>
    <w:rsid w:val="008607C4"/>
    <w:rsid w:val="00860852"/>
    <w:rsid w:val="00860B53"/>
    <w:rsid w:val="008611BF"/>
    <w:rsid w:val="008615A1"/>
    <w:rsid w:val="008617FF"/>
    <w:rsid w:val="00862514"/>
    <w:rsid w:val="00862756"/>
    <w:rsid w:val="00862EE9"/>
    <w:rsid w:val="008635CB"/>
    <w:rsid w:val="0086371E"/>
    <w:rsid w:val="008646AB"/>
    <w:rsid w:val="00864B81"/>
    <w:rsid w:val="00865034"/>
    <w:rsid w:val="00865476"/>
    <w:rsid w:val="00865A3F"/>
    <w:rsid w:val="00866907"/>
    <w:rsid w:val="00866C0A"/>
    <w:rsid w:val="00867EBE"/>
    <w:rsid w:val="008702DB"/>
    <w:rsid w:val="008705D1"/>
    <w:rsid w:val="00870CDE"/>
    <w:rsid w:val="008723D2"/>
    <w:rsid w:val="00873804"/>
    <w:rsid w:val="00873995"/>
    <w:rsid w:val="00874215"/>
    <w:rsid w:val="00875037"/>
    <w:rsid w:val="0087531E"/>
    <w:rsid w:val="0087539D"/>
    <w:rsid w:val="008759D1"/>
    <w:rsid w:val="008766E9"/>
    <w:rsid w:val="00876BE6"/>
    <w:rsid w:val="008779C1"/>
    <w:rsid w:val="00881123"/>
    <w:rsid w:val="00881200"/>
    <w:rsid w:val="008813FB"/>
    <w:rsid w:val="00881B7A"/>
    <w:rsid w:val="008825F7"/>
    <w:rsid w:val="00882950"/>
    <w:rsid w:val="00883173"/>
    <w:rsid w:val="00883428"/>
    <w:rsid w:val="00883E7F"/>
    <w:rsid w:val="008842A0"/>
    <w:rsid w:val="00884314"/>
    <w:rsid w:val="008852CC"/>
    <w:rsid w:val="00885874"/>
    <w:rsid w:val="00886782"/>
    <w:rsid w:val="008869DF"/>
    <w:rsid w:val="00886E90"/>
    <w:rsid w:val="00887079"/>
    <w:rsid w:val="008871E6"/>
    <w:rsid w:val="00887B28"/>
    <w:rsid w:val="00890941"/>
    <w:rsid w:val="00891064"/>
    <w:rsid w:val="008915F4"/>
    <w:rsid w:val="00891A17"/>
    <w:rsid w:val="008921D5"/>
    <w:rsid w:val="00892E7E"/>
    <w:rsid w:val="00892F2B"/>
    <w:rsid w:val="008930C9"/>
    <w:rsid w:val="00895404"/>
    <w:rsid w:val="00895EA1"/>
    <w:rsid w:val="008960CC"/>
    <w:rsid w:val="008977FD"/>
    <w:rsid w:val="008A071B"/>
    <w:rsid w:val="008A09DA"/>
    <w:rsid w:val="008A09FE"/>
    <w:rsid w:val="008A0A4A"/>
    <w:rsid w:val="008A0FC2"/>
    <w:rsid w:val="008A10D1"/>
    <w:rsid w:val="008A15DA"/>
    <w:rsid w:val="008A1C19"/>
    <w:rsid w:val="008A22AB"/>
    <w:rsid w:val="008A2341"/>
    <w:rsid w:val="008A251C"/>
    <w:rsid w:val="008A35BC"/>
    <w:rsid w:val="008A37E1"/>
    <w:rsid w:val="008A3CFC"/>
    <w:rsid w:val="008A4A41"/>
    <w:rsid w:val="008A575E"/>
    <w:rsid w:val="008A715C"/>
    <w:rsid w:val="008B1D5A"/>
    <w:rsid w:val="008B314A"/>
    <w:rsid w:val="008B3223"/>
    <w:rsid w:val="008B3E98"/>
    <w:rsid w:val="008B431C"/>
    <w:rsid w:val="008B4B54"/>
    <w:rsid w:val="008B54B3"/>
    <w:rsid w:val="008B5895"/>
    <w:rsid w:val="008B5FF8"/>
    <w:rsid w:val="008B7A11"/>
    <w:rsid w:val="008C0621"/>
    <w:rsid w:val="008C0A8A"/>
    <w:rsid w:val="008C0FFF"/>
    <w:rsid w:val="008C17C7"/>
    <w:rsid w:val="008C1F3D"/>
    <w:rsid w:val="008C203C"/>
    <w:rsid w:val="008C31D5"/>
    <w:rsid w:val="008C489C"/>
    <w:rsid w:val="008C4E6B"/>
    <w:rsid w:val="008C5BAD"/>
    <w:rsid w:val="008C5E6C"/>
    <w:rsid w:val="008C6113"/>
    <w:rsid w:val="008C6EA9"/>
    <w:rsid w:val="008C6F2A"/>
    <w:rsid w:val="008C72A1"/>
    <w:rsid w:val="008D01D7"/>
    <w:rsid w:val="008D04D3"/>
    <w:rsid w:val="008D15DA"/>
    <w:rsid w:val="008D2BB9"/>
    <w:rsid w:val="008D3822"/>
    <w:rsid w:val="008D42CD"/>
    <w:rsid w:val="008D46A8"/>
    <w:rsid w:val="008D6318"/>
    <w:rsid w:val="008D6C54"/>
    <w:rsid w:val="008D716F"/>
    <w:rsid w:val="008D71DF"/>
    <w:rsid w:val="008D7435"/>
    <w:rsid w:val="008E03B0"/>
    <w:rsid w:val="008E27FC"/>
    <w:rsid w:val="008E35A5"/>
    <w:rsid w:val="008E3A3A"/>
    <w:rsid w:val="008E457A"/>
    <w:rsid w:val="008E4A35"/>
    <w:rsid w:val="008E4D8B"/>
    <w:rsid w:val="008E7132"/>
    <w:rsid w:val="008E733F"/>
    <w:rsid w:val="008E7365"/>
    <w:rsid w:val="008E7D53"/>
    <w:rsid w:val="008F0607"/>
    <w:rsid w:val="008F07BB"/>
    <w:rsid w:val="008F0AD0"/>
    <w:rsid w:val="008F0BC7"/>
    <w:rsid w:val="008F1F71"/>
    <w:rsid w:val="008F3764"/>
    <w:rsid w:val="008F37D0"/>
    <w:rsid w:val="008F39C7"/>
    <w:rsid w:val="008F40B2"/>
    <w:rsid w:val="008F5414"/>
    <w:rsid w:val="008F55D4"/>
    <w:rsid w:val="008F588D"/>
    <w:rsid w:val="008F5C46"/>
    <w:rsid w:val="008F6104"/>
    <w:rsid w:val="008F77E8"/>
    <w:rsid w:val="0090123A"/>
    <w:rsid w:val="00901F01"/>
    <w:rsid w:val="00901FC0"/>
    <w:rsid w:val="00902267"/>
    <w:rsid w:val="00902526"/>
    <w:rsid w:val="0090366C"/>
    <w:rsid w:val="00903A31"/>
    <w:rsid w:val="00903EB8"/>
    <w:rsid w:val="0090425C"/>
    <w:rsid w:val="00905834"/>
    <w:rsid w:val="00906637"/>
    <w:rsid w:val="00906A8F"/>
    <w:rsid w:val="00906AE0"/>
    <w:rsid w:val="00906FFC"/>
    <w:rsid w:val="0091146D"/>
    <w:rsid w:val="00911D39"/>
    <w:rsid w:val="00911F6C"/>
    <w:rsid w:val="00912856"/>
    <w:rsid w:val="00912E57"/>
    <w:rsid w:val="009132D6"/>
    <w:rsid w:val="00913398"/>
    <w:rsid w:val="00913DCD"/>
    <w:rsid w:val="00913F71"/>
    <w:rsid w:val="00914BD8"/>
    <w:rsid w:val="00914D8D"/>
    <w:rsid w:val="00914F70"/>
    <w:rsid w:val="009152CE"/>
    <w:rsid w:val="00915396"/>
    <w:rsid w:val="009155FE"/>
    <w:rsid w:val="009159E1"/>
    <w:rsid w:val="0091692E"/>
    <w:rsid w:val="00916A70"/>
    <w:rsid w:val="00916FBE"/>
    <w:rsid w:val="00917A03"/>
    <w:rsid w:val="00922D2C"/>
    <w:rsid w:val="0092302A"/>
    <w:rsid w:val="0092342D"/>
    <w:rsid w:val="00923DD5"/>
    <w:rsid w:val="00924931"/>
    <w:rsid w:val="00924B7A"/>
    <w:rsid w:val="009255B3"/>
    <w:rsid w:val="009256AB"/>
    <w:rsid w:val="009256CD"/>
    <w:rsid w:val="00925B59"/>
    <w:rsid w:val="00925DF3"/>
    <w:rsid w:val="00926133"/>
    <w:rsid w:val="0092619B"/>
    <w:rsid w:val="009261E8"/>
    <w:rsid w:val="0092686D"/>
    <w:rsid w:val="00926AE1"/>
    <w:rsid w:val="009272B0"/>
    <w:rsid w:val="009303E7"/>
    <w:rsid w:val="00930691"/>
    <w:rsid w:val="00930E99"/>
    <w:rsid w:val="00931086"/>
    <w:rsid w:val="00931557"/>
    <w:rsid w:val="00931620"/>
    <w:rsid w:val="00931735"/>
    <w:rsid w:val="00931FB2"/>
    <w:rsid w:val="00933589"/>
    <w:rsid w:val="009338D0"/>
    <w:rsid w:val="00933EB3"/>
    <w:rsid w:val="0093428E"/>
    <w:rsid w:val="0093483A"/>
    <w:rsid w:val="00935C70"/>
    <w:rsid w:val="00936589"/>
    <w:rsid w:val="009369FC"/>
    <w:rsid w:val="00937CBC"/>
    <w:rsid w:val="00937E74"/>
    <w:rsid w:val="009413A8"/>
    <w:rsid w:val="009417B0"/>
    <w:rsid w:val="00941DC5"/>
    <w:rsid w:val="00941E03"/>
    <w:rsid w:val="00941E91"/>
    <w:rsid w:val="0094241D"/>
    <w:rsid w:val="00942684"/>
    <w:rsid w:val="00943751"/>
    <w:rsid w:val="009441B9"/>
    <w:rsid w:val="00944902"/>
    <w:rsid w:val="00944957"/>
    <w:rsid w:val="0094517E"/>
    <w:rsid w:val="00946150"/>
    <w:rsid w:val="00946CFB"/>
    <w:rsid w:val="00946E8F"/>
    <w:rsid w:val="009473A7"/>
    <w:rsid w:val="0095014B"/>
    <w:rsid w:val="00950239"/>
    <w:rsid w:val="0095033E"/>
    <w:rsid w:val="0095087C"/>
    <w:rsid w:val="00950BE2"/>
    <w:rsid w:val="00950E53"/>
    <w:rsid w:val="00950EEC"/>
    <w:rsid w:val="00951B7F"/>
    <w:rsid w:val="00951D94"/>
    <w:rsid w:val="00952150"/>
    <w:rsid w:val="00953196"/>
    <w:rsid w:val="009537EB"/>
    <w:rsid w:val="00954509"/>
    <w:rsid w:val="009546FA"/>
    <w:rsid w:val="00954765"/>
    <w:rsid w:val="009556C1"/>
    <w:rsid w:val="0095661A"/>
    <w:rsid w:val="00956CB7"/>
    <w:rsid w:val="0095755A"/>
    <w:rsid w:val="009575D0"/>
    <w:rsid w:val="00957BE6"/>
    <w:rsid w:val="0096001A"/>
    <w:rsid w:val="00960846"/>
    <w:rsid w:val="00961618"/>
    <w:rsid w:val="009619DB"/>
    <w:rsid w:val="009623A9"/>
    <w:rsid w:val="009624BC"/>
    <w:rsid w:val="00962E0F"/>
    <w:rsid w:val="00962E8D"/>
    <w:rsid w:val="009630DE"/>
    <w:rsid w:val="00965983"/>
    <w:rsid w:val="00965FAE"/>
    <w:rsid w:val="00970625"/>
    <w:rsid w:val="00970EBB"/>
    <w:rsid w:val="0097150C"/>
    <w:rsid w:val="00971B43"/>
    <w:rsid w:val="00971D73"/>
    <w:rsid w:val="009724E5"/>
    <w:rsid w:val="00973151"/>
    <w:rsid w:val="009735B5"/>
    <w:rsid w:val="009749F8"/>
    <w:rsid w:val="00974C67"/>
    <w:rsid w:val="00974EA5"/>
    <w:rsid w:val="00975D76"/>
    <w:rsid w:val="0097677B"/>
    <w:rsid w:val="0097695F"/>
    <w:rsid w:val="00976D2F"/>
    <w:rsid w:val="00977B6A"/>
    <w:rsid w:val="0098035A"/>
    <w:rsid w:val="009803F0"/>
    <w:rsid w:val="009805A9"/>
    <w:rsid w:val="0098172F"/>
    <w:rsid w:val="00982A66"/>
    <w:rsid w:val="00982FBC"/>
    <w:rsid w:val="009834E8"/>
    <w:rsid w:val="009844EC"/>
    <w:rsid w:val="009848D0"/>
    <w:rsid w:val="00984BA6"/>
    <w:rsid w:val="00984E5D"/>
    <w:rsid w:val="009855E7"/>
    <w:rsid w:val="00986634"/>
    <w:rsid w:val="0098664F"/>
    <w:rsid w:val="009873B8"/>
    <w:rsid w:val="00987DD4"/>
    <w:rsid w:val="0099015A"/>
    <w:rsid w:val="00990462"/>
    <w:rsid w:val="00990EFF"/>
    <w:rsid w:val="0099105E"/>
    <w:rsid w:val="009913B5"/>
    <w:rsid w:val="00992020"/>
    <w:rsid w:val="0099274A"/>
    <w:rsid w:val="009933BD"/>
    <w:rsid w:val="009934A5"/>
    <w:rsid w:val="00993EA1"/>
    <w:rsid w:val="00995545"/>
    <w:rsid w:val="009957A4"/>
    <w:rsid w:val="00995EB8"/>
    <w:rsid w:val="00995F43"/>
    <w:rsid w:val="00995FB6"/>
    <w:rsid w:val="009A038B"/>
    <w:rsid w:val="009A095D"/>
    <w:rsid w:val="009A1176"/>
    <w:rsid w:val="009A1E45"/>
    <w:rsid w:val="009A230B"/>
    <w:rsid w:val="009A2947"/>
    <w:rsid w:val="009A2D3B"/>
    <w:rsid w:val="009A32A3"/>
    <w:rsid w:val="009A3448"/>
    <w:rsid w:val="009A3E1C"/>
    <w:rsid w:val="009A3F12"/>
    <w:rsid w:val="009A4880"/>
    <w:rsid w:val="009A4E68"/>
    <w:rsid w:val="009A573D"/>
    <w:rsid w:val="009A5F22"/>
    <w:rsid w:val="009A5F47"/>
    <w:rsid w:val="009A729C"/>
    <w:rsid w:val="009A7A8A"/>
    <w:rsid w:val="009B0565"/>
    <w:rsid w:val="009B121B"/>
    <w:rsid w:val="009B1A1E"/>
    <w:rsid w:val="009B245C"/>
    <w:rsid w:val="009B337F"/>
    <w:rsid w:val="009B3FC3"/>
    <w:rsid w:val="009B4CA2"/>
    <w:rsid w:val="009B5372"/>
    <w:rsid w:val="009B596C"/>
    <w:rsid w:val="009B6AD1"/>
    <w:rsid w:val="009B6B3B"/>
    <w:rsid w:val="009B7AD0"/>
    <w:rsid w:val="009B7B2E"/>
    <w:rsid w:val="009C05DF"/>
    <w:rsid w:val="009C0965"/>
    <w:rsid w:val="009C143C"/>
    <w:rsid w:val="009C283D"/>
    <w:rsid w:val="009C3110"/>
    <w:rsid w:val="009C350B"/>
    <w:rsid w:val="009C3C51"/>
    <w:rsid w:val="009C40F2"/>
    <w:rsid w:val="009C4217"/>
    <w:rsid w:val="009C48F9"/>
    <w:rsid w:val="009C5E6F"/>
    <w:rsid w:val="009C643A"/>
    <w:rsid w:val="009C6768"/>
    <w:rsid w:val="009C6878"/>
    <w:rsid w:val="009C6A33"/>
    <w:rsid w:val="009C741C"/>
    <w:rsid w:val="009C7B53"/>
    <w:rsid w:val="009C7C35"/>
    <w:rsid w:val="009D046F"/>
    <w:rsid w:val="009D0A8A"/>
    <w:rsid w:val="009D1941"/>
    <w:rsid w:val="009D20B4"/>
    <w:rsid w:val="009D2B13"/>
    <w:rsid w:val="009D334F"/>
    <w:rsid w:val="009D42DE"/>
    <w:rsid w:val="009D5A10"/>
    <w:rsid w:val="009D6ADA"/>
    <w:rsid w:val="009D6DF3"/>
    <w:rsid w:val="009D77C0"/>
    <w:rsid w:val="009E0004"/>
    <w:rsid w:val="009E081A"/>
    <w:rsid w:val="009E17CA"/>
    <w:rsid w:val="009E1BB4"/>
    <w:rsid w:val="009E1E58"/>
    <w:rsid w:val="009E5EBB"/>
    <w:rsid w:val="009E626E"/>
    <w:rsid w:val="009E7A67"/>
    <w:rsid w:val="009E7CBB"/>
    <w:rsid w:val="009E7F72"/>
    <w:rsid w:val="009F024F"/>
    <w:rsid w:val="009F07C6"/>
    <w:rsid w:val="009F0BCA"/>
    <w:rsid w:val="009F0F3A"/>
    <w:rsid w:val="009F10B8"/>
    <w:rsid w:val="009F1EB9"/>
    <w:rsid w:val="009F217F"/>
    <w:rsid w:val="009F2817"/>
    <w:rsid w:val="009F2DB2"/>
    <w:rsid w:val="009F31CC"/>
    <w:rsid w:val="009F3530"/>
    <w:rsid w:val="009F3894"/>
    <w:rsid w:val="009F3A26"/>
    <w:rsid w:val="009F4062"/>
    <w:rsid w:val="009F4A93"/>
    <w:rsid w:val="009F4C00"/>
    <w:rsid w:val="009F4FF2"/>
    <w:rsid w:val="009F5755"/>
    <w:rsid w:val="009F6321"/>
    <w:rsid w:val="009F73B4"/>
    <w:rsid w:val="00A001BC"/>
    <w:rsid w:val="00A00DBE"/>
    <w:rsid w:val="00A011DD"/>
    <w:rsid w:val="00A01418"/>
    <w:rsid w:val="00A02A8A"/>
    <w:rsid w:val="00A03444"/>
    <w:rsid w:val="00A04042"/>
    <w:rsid w:val="00A04281"/>
    <w:rsid w:val="00A04326"/>
    <w:rsid w:val="00A06788"/>
    <w:rsid w:val="00A07502"/>
    <w:rsid w:val="00A077BA"/>
    <w:rsid w:val="00A07C3D"/>
    <w:rsid w:val="00A11236"/>
    <w:rsid w:val="00A11608"/>
    <w:rsid w:val="00A1162E"/>
    <w:rsid w:val="00A1168B"/>
    <w:rsid w:val="00A11D48"/>
    <w:rsid w:val="00A127B4"/>
    <w:rsid w:val="00A12800"/>
    <w:rsid w:val="00A13904"/>
    <w:rsid w:val="00A14B2B"/>
    <w:rsid w:val="00A15053"/>
    <w:rsid w:val="00A156C7"/>
    <w:rsid w:val="00A158FF"/>
    <w:rsid w:val="00A22192"/>
    <w:rsid w:val="00A22B5B"/>
    <w:rsid w:val="00A24201"/>
    <w:rsid w:val="00A24651"/>
    <w:rsid w:val="00A2495E"/>
    <w:rsid w:val="00A24F1B"/>
    <w:rsid w:val="00A26424"/>
    <w:rsid w:val="00A30331"/>
    <w:rsid w:val="00A314B2"/>
    <w:rsid w:val="00A33180"/>
    <w:rsid w:val="00A33611"/>
    <w:rsid w:val="00A33C5F"/>
    <w:rsid w:val="00A33D7D"/>
    <w:rsid w:val="00A3479A"/>
    <w:rsid w:val="00A350D7"/>
    <w:rsid w:val="00A3549D"/>
    <w:rsid w:val="00A35595"/>
    <w:rsid w:val="00A35DC9"/>
    <w:rsid w:val="00A3621F"/>
    <w:rsid w:val="00A369EB"/>
    <w:rsid w:val="00A37D6C"/>
    <w:rsid w:val="00A40141"/>
    <w:rsid w:val="00A40398"/>
    <w:rsid w:val="00A411F3"/>
    <w:rsid w:val="00A4146C"/>
    <w:rsid w:val="00A41D1E"/>
    <w:rsid w:val="00A428F7"/>
    <w:rsid w:val="00A43209"/>
    <w:rsid w:val="00A43311"/>
    <w:rsid w:val="00A44829"/>
    <w:rsid w:val="00A44CBD"/>
    <w:rsid w:val="00A453C3"/>
    <w:rsid w:val="00A4577C"/>
    <w:rsid w:val="00A46A00"/>
    <w:rsid w:val="00A47303"/>
    <w:rsid w:val="00A500C9"/>
    <w:rsid w:val="00A50AF1"/>
    <w:rsid w:val="00A51878"/>
    <w:rsid w:val="00A51DDA"/>
    <w:rsid w:val="00A520A6"/>
    <w:rsid w:val="00A52192"/>
    <w:rsid w:val="00A534FC"/>
    <w:rsid w:val="00A55134"/>
    <w:rsid w:val="00A56DA9"/>
    <w:rsid w:val="00A57049"/>
    <w:rsid w:val="00A57F53"/>
    <w:rsid w:val="00A6012A"/>
    <w:rsid w:val="00A60927"/>
    <w:rsid w:val="00A60BF7"/>
    <w:rsid w:val="00A615EF"/>
    <w:rsid w:val="00A62601"/>
    <w:rsid w:val="00A63DE9"/>
    <w:rsid w:val="00A64021"/>
    <w:rsid w:val="00A643B4"/>
    <w:rsid w:val="00A64EEA"/>
    <w:rsid w:val="00A650A2"/>
    <w:rsid w:val="00A6537F"/>
    <w:rsid w:val="00A656D1"/>
    <w:rsid w:val="00A65844"/>
    <w:rsid w:val="00A66661"/>
    <w:rsid w:val="00A6738B"/>
    <w:rsid w:val="00A67969"/>
    <w:rsid w:val="00A67B72"/>
    <w:rsid w:val="00A703C7"/>
    <w:rsid w:val="00A707B5"/>
    <w:rsid w:val="00A70FEF"/>
    <w:rsid w:val="00A71503"/>
    <w:rsid w:val="00A73305"/>
    <w:rsid w:val="00A73B46"/>
    <w:rsid w:val="00A75186"/>
    <w:rsid w:val="00A765E4"/>
    <w:rsid w:val="00A76A22"/>
    <w:rsid w:val="00A7716D"/>
    <w:rsid w:val="00A81163"/>
    <w:rsid w:val="00A814AB"/>
    <w:rsid w:val="00A81518"/>
    <w:rsid w:val="00A81DF2"/>
    <w:rsid w:val="00A82623"/>
    <w:rsid w:val="00A8355B"/>
    <w:rsid w:val="00A83BAE"/>
    <w:rsid w:val="00A84DA2"/>
    <w:rsid w:val="00A85720"/>
    <w:rsid w:val="00A85751"/>
    <w:rsid w:val="00A86F8E"/>
    <w:rsid w:val="00A87130"/>
    <w:rsid w:val="00A87236"/>
    <w:rsid w:val="00A9047F"/>
    <w:rsid w:val="00A90504"/>
    <w:rsid w:val="00A9234B"/>
    <w:rsid w:val="00A923B6"/>
    <w:rsid w:val="00A9402C"/>
    <w:rsid w:val="00A94E0C"/>
    <w:rsid w:val="00A94FE4"/>
    <w:rsid w:val="00A95397"/>
    <w:rsid w:val="00A954E5"/>
    <w:rsid w:val="00A95634"/>
    <w:rsid w:val="00A9610E"/>
    <w:rsid w:val="00A96250"/>
    <w:rsid w:val="00A96F47"/>
    <w:rsid w:val="00A97FA3"/>
    <w:rsid w:val="00AA0D4F"/>
    <w:rsid w:val="00AA12F4"/>
    <w:rsid w:val="00AA1816"/>
    <w:rsid w:val="00AA1A66"/>
    <w:rsid w:val="00AA211F"/>
    <w:rsid w:val="00AA2BF8"/>
    <w:rsid w:val="00AA2EDD"/>
    <w:rsid w:val="00AA2F39"/>
    <w:rsid w:val="00AA37F9"/>
    <w:rsid w:val="00AA3E7F"/>
    <w:rsid w:val="00AA4222"/>
    <w:rsid w:val="00AA4BEF"/>
    <w:rsid w:val="00AA5CD4"/>
    <w:rsid w:val="00AA676E"/>
    <w:rsid w:val="00AB03FE"/>
    <w:rsid w:val="00AB0C3C"/>
    <w:rsid w:val="00AB0FAA"/>
    <w:rsid w:val="00AB1096"/>
    <w:rsid w:val="00AB10AB"/>
    <w:rsid w:val="00AB2E69"/>
    <w:rsid w:val="00AB3081"/>
    <w:rsid w:val="00AB3DDC"/>
    <w:rsid w:val="00AB4949"/>
    <w:rsid w:val="00AB4EF3"/>
    <w:rsid w:val="00AB526A"/>
    <w:rsid w:val="00AB55DB"/>
    <w:rsid w:val="00AB5BF8"/>
    <w:rsid w:val="00AB666B"/>
    <w:rsid w:val="00AB756F"/>
    <w:rsid w:val="00AB7DB2"/>
    <w:rsid w:val="00AC00ED"/>
    <w:rsid w:val="00AC05DB"/>
    <w:rsid w:val="00AC0D0D"/>
    <w:rsid w:val="00AC16B9"/>
    <w:rsid w:val="00AC2010"/>
    <w:rsid w:val="00AC2396"/>
    <w:rsid w:val="00AC2882"/>
    <w:rsid w:val="00AC2D77"/>
    <w:rsid w:val="00AC3383"/>
    <w:rsid w:val="00AC3631"/>
    <w:rsid w:val="00AC395A"/>
    <w:rsid w:val="00AC426F"/>
    <w:rsid w:val="00AC42A0"/>
    <w:rsid w:val="00AC43CE"/>
    <w:rsid w:val="00AC4832"/>
    <w:rsid w:val="00AC4BC8"/>
    <w:rsid w:val="00AC4EBD"/>
    <w:rsid w:val="00AC5330"/>
    <w:rsid w:val="00AC62D5"/>
    <w:rsid w:val="00AD13B8"/>
    <w:rsid w:val="00AD1B37"/>
    <w:rsid w:val="00AD1F14"/>
    <w:rsid w:val="00AD3598"/>
    <w:rsid w:val="00AD3785"/>
    <w:rsid w:val="00AD4376"/>
    <w:rsid w:val="00AD4666"/>
    <w:rsid w:val="00AD4D7B"/>
    <w:rsid w:val="00AD58ED"/>
    <w:rsid w:val="00AD615A"/>
    <w:rsid w:val="00AD62C2"/>
    <w:rsid w:val="00AD71CF"/>
    <w:rsid w:val="00AE084B"/>
    <w:rsid w:val="00AE2B19"/>
    <w:rsid w:val="00AE2E22"/>
    <w:rsid w:val="00AE2E5C"/>
    <w:rsid w:val="00AE3F39"/>
    <w:rsid w:val="00AE45B9"/>
    <w:rsid w:val="00AE4EA7"/>
    <w:rsid w:val="00AE57FC"/>
    <w:rsid w:val="00AE65D1"/>
    <w:rsid w:val="00AE7351"/>
    <w:rsid w:val="00AE7B08"/>
    <w:rsid w:val="00AF223B"/>
    <w:rsid w:val="00AF2C62"/>
    <w:rsid w:val="00AF2C8F"/>
    <w:rsid w:val="00AF3276"/>
    <w:rsid w:val="00AF4472"/>
    <w:rsid w:val="00AF6D99"/>
    <w:rsid w:val="00B0028A"/>
    <w:rsid w:val="00B00630"/>
    <w:rsid w:val="00B022C5"/>
    <w:rsid w:val="00B0278D"/>
    <w:rsid w:val="00B02875"/>
    <w:rsid w:val="00B02C17"/>
    <w:rsid w:val="00B03115"/>
    <w:rsid w:val="00B0379B"/>
    <w:rsid w:val="00B040AC"/>
    <w:rsid w:val="00B04AE3"/>
    <w:rsid w:val="00B04D2A"/>
    <w:rsid w:val="00B04E26"/>
    <w:rsid w:val="00B05EDB"/>
    <w:rsid w:val="00B05F15"/>
    <w:rsid w:val="00B06384"/>
    <w:rsid w:val="00B06D4D"/>
    <w:rsid w:val="00B07007"/>
    <w:rsid w:val="00B07AF1"/>
    <w:rsid w:val="00B107CA"/>
    <w:rsid w:val="00B11DE6"/>
    <w:rsid w:val="00B12591"/>
    <w:rsid w:val="00B13036"/>
    <w:rsid w:val="00B13078"/>
    <w:rsid w:val="00B13210"/>
    <w:rsid w:val="00B13486"/>
    <w:rsid w:val="00B13D6E"/>
    <w:rsid w:val="00B14A0D"/>
    <w:rsid w:val="00B14F9B"/>
    <w:rsid w:val="00B170E1"/>
    <w:rsid w:val="00B2028A"/>
    <w:rsid w:val="00B20422"/>
    <w:rsid w:val="00B20470"/>
    <w:rsid w:val="00B204C7"/>
    <w:rsid w:val="00B2196C"/>
    <w:rsid w:val="00B2237C"/>
    <w:rsid w:val="00B24F33"/>
    <w:rsid w:val="00B25052"/>
    <w:rsid w:val="00B25CF6"/>
    <w:rsid w:val="00B2695E"/>
    <w:rsid w:val="00B271BC"/>
    <w:rsid w:val="00B2730E"/>
    <w:rsid w:val="00B306F2"/>
    <w:rsid w:val="00B307A9"/>
    <w:rsid w:val="00B30E30"/>
    <w:rsid w:val="00B32EA8"/>
    <w:rsid w:val="00B332CF"/>
    <w:rsid w:val="00B33DD4"/>
    <w:rsid w:val="00B34169"/>
    <w:rsid w:val="00B34754"/>
    <w:rsid w:val="00B347AC"/>
    <w:rsid w:val="00B34930"/>
    <w:rsid w:val="00B34AFD"/>
    <w:rsid w:val="00B35122"/>
    <w:rsid w:val="00B35397"/>
    <w:rsid w:val="00B35486"/>
    <w:rsid w:val="00B40028"/>
    <w:rsid w:val="00B400AE"/>
    <w:rsid w:val="00B40C85"/>
    <w:rsid w:val="00B41034"/>
    <w:rsid w:val="00B413E6"/>
    <w:rsid w:val="00B41690"/>
    <w:rsid w:val="00B416F1"/>
    <w:rsid w:val="00B41FDF"/>
    <w:rsid w:val="00B43166"/>
    <w:rsid w:val="00B448C1"/>
    <w:rsid w:val="00B44A17"/>
    <w:rsid w:val="00B45B73"/>
    <w:rsid w:val="00B46BD5"/>
    <w:rsid w:val="00B47C1F"/>
    <w:rsid w:val="00B503D3"/>
    <w:rsid w:val="00B51031"/>
    <w:rsid w:val="00B51A8C"/>
    <w:rsid w:val="00B51AB8"/>
    <w:rsid w:val="00B521B7"/>
    <w:rsid w:val="00B536F4"/>
    <w:rsid w:val="00B53A4C"/>
    <w:rsid w:val="00B54390"/>
    <w:rsid w:val="00B55BF2"/>
    <w:rsid w:val="00B55D62"/>
    <w:rsid w:val="00B56DE1"/>
    <w:rsid w:val="00B577C4"/>
    <w:rsid w:val="00B61173"/>
    <w:rsid w:val="00B622DE"/>
    <w:rsid w:val="00B6245B"/>
    <w:rsid w:val="00B63556"/>
    <w:rsid w:val="00B63641"/>
    <w:rsid w:val="00B64479"/>
    <w:rsid w:val="00B64F1D"/>
    <w:rsid w:val="00B658DE"/>
    <w:rsid w:val="00B65B33"/>
    <w:rsid w:val="00B670CE"/>
    <w:rsid w:val="00B67F4B"/>
    <w:rsid w:val="00B70299"/>
    <w:rsid w:val="00B71272"/>
    <w:rsid w:val="00B71A80"/>
    <w:rsid w:val="00B73258"/>
    <w:rsid w:val="00B74E9F"/>
    <w:rsid w:val="00B7561C"/>
    <w:rsid w:val="00B75B5E"/>
    <w:rsid w:val="00B75E27"/>
    <w:rsid w:val="00B76252"/>
    <w:rsid w:val="00B7634E"/>
    <w:rsid w:val="00B7643D"/>
    <w:rsid w:val="00B76E96"/>
    <w:rsid w:val="00B80452"/>
    <w:rsid w:val="00B81867"/>
    <w:rsid w:val="00B81BB3"/>
    <w:rsid w:val="00B82555"/>
    <w:rsid w:val="00B827E4"/>
    <w:rsid w:val="00B83D81"/>
    <w:rsid w:val="00B83FA6"/>
    <w:rsid w:val="00B84022"/>
    <w:rsid w:val="00B855BE"/>
    <w:rsid w:val="00B87590"/>
    <w:rsid w:val="00B87779"/>
    <w:rsid w:val="00B87EC7"/>
    <w:rsid w:val="00B87EEC"/>
    <w:rsid w:val="00B90C37"/>
    <w:rsid w:val="00B90F66"/>
    <w:rsid w:val="00B92C5A"/>
    <w:rsid w:val="00B936F5"/>
    <w:rsid w:val="00B93C2E"/>
    <w:rsid w:val="00B95026"/>
    <w:rsid w:val="00B964DE"/>
    <w:rsid w:val="00B96E2C"/>
    <w:rsid w:val="00B97B60"/>
    <w:rsid w:val="00B97CA0"/>
    <w:rsid w:val="00B97DAB"/>
    <w:rsid w:val="00BA105F"/>
    <w:rsid w:val="00BA20D4"/>
    <w:rsid w:val="00BA242D"/>
    <w:rsid w:val="00BA2B73"/>
    <w:rsid w:val="00BA3E65"/>
    <w:rsid w:val="00BA5245"/>
    <w:rsid w:val="00BA5C22"/>
    <w:rsid w:val="00BA66AE"/>
    <w:rsid w:val="00BA6CD1"/>
    <w:rsid w:val="00BA6DC9"/>
    <w:rsid w:val="00BA7A67"/>
    <w:rsid w:val="00BB001D"/>
    <w:rsid w:val="00BB059A"/>
    <w:rsid w:val="00BB0780"/>
    <w:rsid w:val="00BB1970"/>
    <w:rsid w:val="00BB2E90"/>
    <w:rsid w:val="00BB2F51"/>
    <w:rsid w:val="00BB3B33"/>
    <w:rsid w:val="00BB46C6"/>
    <w:rsid w:val="00BB4BC1"/>
    <w:rsid w:val="00BB53E6"/>
    <w:rsid w:val="00BB5795"/>
    <w:rsid w:val="00BB58A9"/>
    <w:rsid w:val="00BC03C2"/>
    <w:rsid w:val="00BC08CB"/>
    <w:rsid w:val="00BC1024"/>
    <w:rsid w:val="00BC10E7"/>
    <w:rsid w:val="00BC20AB"/>
    <w:rsid w:val="00BC3E19"/>
    <w:rsid w:val="00BC4185"/>
    <w:rsid w:val="00BC57D2"/>
    <w:rsid w:val="00BC5899"/>
    <w:rsid w:val="00BC61DC"/>
    <w:rsid w:val="00BD04D8"/>
    <w:rsid w:val="00BD0B1F"/>
    <w:rsid w:val="00BD13B1"/>
    <w:rsid w:val="00BD149B"/>
    <w:rsid w:val="00BD1905"/>
    <w:rsid w:val="00BD19B4"/>
    <w:rsid w:val="00BD206F"/>
    <w:rsid w:val="00BD2234"/>
    <w:rsid w:val="00BD2693"/>
    <w:rsid w:val="00BD5866"/>
    <w:rsid w:val="00BD597E"/>
    <w:rsid w:val="00BD6296"/>
    <w:rsid w:val="00BD6DBF"/>
    <w:rsid w:val="00BD6E2F"/>
    <w:rsid w:val="00BD6F12"/>
    <w:rsid w:val="00BD713F"/>
    <w:rsid w:val="00BD72C5"/>
    <w:rsid w:val="00BD7FDA"/>
    <w:rsid w:val="00BE0713"/>
    <w:rsid w:val="00BE0B24"/>
    <w:rsid w:val="00BE0F0F"/>
    <w:rsid w:val="00BE1494"/>
    <w:rsid w:val="00BE14A8"/>
    <w:rsid w:val="00BE14C6"/>
    <w:rsid w:val="00BE1619"/>
    <w:rsid w:val="00BE321F"/>
    <w:rsid w:val="00BE3A88"/>
    <w:rsid w:val="00BE40CE"/>
    <w:rsid w:val="00BE469E"/>
    <w:rsid w:val="00BE6315"/>
    <w:rsid w:val="00BE681C"/>
    <w:rsid w:val="00BE6A4C"/>
    <w:rsid w:val="00BE6E38"/>
    <w:rsid w:val="00BE6F9C"/>
    <w:rsid w:val="00BE762F"/>
    <w:rsid w:val="00BF00A3"/>
    <w:rsid w:val="00BF09D9"/>
    <w:rsid w:val="00BF0AC3"/>
    <w:rsid w:val="00BF1D48"/>
    <w:rsid w:val="00BF1E34"/>
    <w:rsid w:val="00BF21D9"/>
    <w:rsid w:val="00BF2B51"/>
    <w:rsid w:val="00BF356A"/>
    <w:rsid w:val="00BF4664"/>
    <w:rsid w:val="00BF5C36"/>
    <w:rsid w:val="00BF5D48"/>
    <w:rsid w:val="00BF648B"/>
    <w:rsid w:val="00BF6678"/>
    <w:rsid w:val="00BF6A9F"/>
    <w:rsid w:val="00BF6D92"/>
    <w:rsid w:val="00BF7373"/>
    <w:rsid w:val="00BF7748"/>
    <w:rsid w:val="00C00A6E"/>
    <w:rsid w:val="00C01A96"/>
    <w:rsid w:val="00C01B67"/>
    <w:rsid w:val="00C02AA8"/>
    <w:rsid w:val="00C02C23"/>
    <w:rsid w:val="00C02E9F"/>
    <w:rsid w:val="00C03B75"/>
    <w:rsid w:val="00C041A9"/>
    <w:rsid w:val="00C04C0D"/>
    <w:rsid w:val="00C04EE8"/>
    <w:rsid w:val="00C0596B"/>
    <w:rsid w:val="00C05B36"/>
    <w:rsid w:val="00C05CD3"/>
    <w:rsid w:val="00C060C9"/>
    <w:rsid w:val="00C060D8"/>
    <w:rsid w:val="00C062DE"/>
    <w:rsid w:val="00C06814"/>
    <w:rsid w:val="00C07009"/>
    <w:rsid w:val="00C07DEB"/>
    <w:rsid w:val="00C10432"/>
    <w:rsid w:val="00C108C8"/>
    <w:rsid w:val="00C11181"/>
    <w:rsid w:val="00C112F9"/>
    <w:rsid w:val="00C11402"/>
    <w:rsid w:val="00C1226B"/>
    <w:rsid w:val="00C12CA2"/>
    <w:rsid w:val="00C12F59"/>
    <w:rsid w:val="00C13A40"/>
    <w:rsid w:val="00C1526F"/>
    <w:rsid w:val="00C15526"/>
    <w:rsid w:val="00C15A9D"/>
    <w:rsid w:val="00C16069"/>
    <w:rsid w:val="00C164EA"/>
    <w:rsid w:val="00C1691F"/>
    <w:rsid w:val="00C176B8"/>
    <w:rsid w:val="00C17F29"/>
    <w:rsid w:val="00C200D2"/>
    <w:rsid w:val="00C212B8"/>
    <w:rsid w:val="00C21D31"/>
    <w:rsid w:val="00C227B6"/>
    <w:rsid w:val="00C22AEE"/>
    <w:rsid w:val="00C22C16"/>
    <w:rsid w:val="00C23D39"/>
    <w:rsid w:val="00C24789"/>
    <w:rsid w:val="00C25371"/>
    <w:rsid w:val="00C266F2"/>
    <w:rsid w:val="00C26BEE"/>
    <w:rsid w:val="00C2701C"/>
    <w:rsid w:val="00C27127"/>
    <w:rsid w:val="00C27E99"/>
    <w:rsid w:val="00C31273"/>
    <w:rsid w:val="00C31C88"/>
    <w:rsid w:val="00C31D91"/>
    <w:rsid w:val="00C31FD6"/>
    <w:rsid w:val="00C322A4"/>
    <w:rsid w:val="00C32976"/>
    <w:rsid w:val="00C32F1B"/>
    <w:rsid w:val="00C33C98"/>
    <w:rsid w:val="00C33FFD"/>
    <w:rsid w:val="00C343E9"/>
    <w:rsid w:val="00C34920"/>
    <w:rsid w:val="00C34BFA"/>
    <w:rsid w:val="00C35AF5"/>
    <w:rsid w:val="00C35FDD"/>
    <w:rsid w:val="00C36751"/>
    <w:rsid w:val="00C36B82"/>
    <w:rsid w:val="00C36C83"/>
    <w:rsid w:val="00C36CBC"/>
    <w:rsid w:val="00C37303"/>
    <w:rsid w:val="00C377AC"/>
    <w:rsid w:val="00C377FE"/>
    <w:rsid w:val="00C37E96"/>
    <w:rsid w:val="00C40A51"/>
    <w:rsid w:val="00C41097"/>
    <w:rsid w:val="00C42A63"/>
    <w:rsid w:val="00C42E6D"/>
    <w:rsid w:val="00C43BC6"/>
    <w:rsid w:val="00C44171"/>
    <w:rsid w:val="00C44D29"/>
    <w:rsid w:val="00C46002"/>
    <w:rsid w:val="00C466D8"/>
    <w:rsid w:val="00C4671E"/>
    <w:rsid w:val="00C46DF2"/>
    <w:rsid w:val="00C46E56"/>
    <w:rsid w:val="00C46F3F"/>
    <w:rsid w:val="00C4731D"/>
    <w:rsid w:val="00C475F0"/>
    <w:rsid w:val="00C4774A"/>
    <w:rsid w:val="00C479AC"/>
    <w:rsid w:val="00C50301"/>
    <w:rsid w:val="00C506A2"/>
    <w:rsid w:val="00C5091D"/>
    <w:rsid w:val="00C50EB0"/>
    <w:rsid w:val="00C51770"/>
    <w:rsid w:val="00C54037"/>
    <w:rsid w:val="00C54DBB"/>
    <w:rsid w:val="00C54FF7"/>
    <w:rsid w:val="00C55067"/>
    <w:rsid w:val="00C55E31"/>
    <w:rsid w:val="00C5645A"/>
    <w:rsid w:val="00C56870"/>
    <w:rsid w:val="00C6144F"/>
    <w:rsid w:val="00C61BC4"/>
    <w:rsid w:val="00C62E27"/>
    <w:rsid w:val="00C63358"/>
    <w:rsid w:val="00C63983"/>
    <w:rsid w:val="00C64B42"/>
    <w:rsid w:val="00C65F8B"/>
    <w:rsid w:val="00C66793"/>
    <w:rsid w:val="00C6732D"/>
    <w:rsid w:val="00C70458"/>
    <w:rsid w:val="00C706EE"/>
    <w:rsid w:val="00C71591"/>
    <w:rsid w:val="00C71786"/>
    <w:rsid w:val="00C73300"/>
    <w:rsid w:val="00C73C6A"/>
    <w:rsid w:val="00C7430A"/>
    <w:rsid w:val="00C74D45"/>
    <w:rsid w:val="00C75339"/>
    <w:rsid w:val="00C75414"/>
    <w:rsid w:val="00C772B4"/>
    <w:rsid w:val="00C774B0"/>
    <w:rsid w:val="00C80729"/>
    <w:rsid w:val="00C80AA5"/>
    <w:rsid w:val="00C81391"/>
    <w:rsid w:val="00C825FB"/>
    <w:rsid w:val="00C827FE"/>
    <w:rsid w:val="00C8303A"/>
    <w:rsid w:val="00C83E8F"/>
    <w:rsid w:val="00C83F72"/>
    <w:rsid w:val="00C8415C"/>
    <w:rsid w:val="00C848FB"/>
    <w:rsid w:val="00C84B37"/>
    <w:rsid w:val="00C8539D"/>
    <w:rsid w:val="00C86365"/>
    <w:rsid w:val="00C8666C"/>
    <w:rsid w:val="00C867CC"/>
    <w:rsid w:val="00C86838"/>
    <w:rsid w:val="00C86967"/>
    <w:rsid w:val="00C86D53"/>
    <w:rsid w:val="00C86D6F"/>
    <w:rsid w:val="00C90A1E"/>
    <w:rsid w:val="00C90CD1"/>
    <w:rsid w:val="00C914C6"/>
    <w:rsid w:val="00C93EDB"/>
    <w:rsid w:val="00C946D0"/>
    <w:rsid w:val="00C94840"/>
    <w:rsid w:val="00C95AFC"/>
    <w:rsid w:val="00C96573"/>
    <w:rsid w:val="00C9668C"/>
    <w:rsid w:val="00C96AC5"/>
    <w:rsid w:val="00CA0084"/>
    <w:rsid w:val="00CA0CBB"/>
    <w:rsid w:val="00CA1474"/>
    <w:rsid w:val="00CA32F3"/>
    <w:rsid w:val="00CA3B27"/>
    <w:rsid w:val="00CA3FFC"/>
    <w:rsid w:val="00CA4AEF"/>
    <w:rsid w:val="00CA6883"/>
    <w:rsid w:val="00CA7A75"/>
    <w:rsid w:val="00CB0425"/>
    <w:rsid w:val="00CB049E"/>
    <w:rsid w:val="00CB06B5"/>
    <w:rsid w:val="00CB06BE"/>
    <w:rsid w:val="00CB0C83"/>
    <w:rsid w:val="00CB1FD0"/>
    <w:rsid w:val="00CB2377"/>
    <w:rsid w:val="00CB24FC"/>
    <w:rsid w:val="00CB2660"/>
    <w:rsid w:val="00CB4975"/>
    <w:rsid w:val="00CB4C2B"/>
    <w:rsid w:val="00CB4DC6"/>
    <w:rsid w:val="00CB570E"/>
    <w:rsid w:val="00CB588C"/>
    <w:rsid w:val="00CB698A"/>
    <w:rsid w:val="00CB6BC3"/>
    <w:rsid w:val="00CB76BB"/>
    <w:rsid w:val="00CC055E"/>
    <w:rsid w:val="00CC0EF0"/>
    <w:rsid w:val="00CC134B"/>
    <w:rsid w:val="00CC1C42"/>
    <w:rsid w:val="00CC1E9B"/>
    <w:rsid w:val="00CC1F49"/>
    <w:rsid w:val="00CC2D81"/>
    <w:rsid w:val="00CC6717"/>
    <w:rsid w:val="00CC7A45"/>
    <w:rsid w:val="00CC7ABA"/>
    <w:rsid w:val="00CD042D"/>
    <w:rsid w:val="00CD19D7"/>
    <w:rsid w:val="00CD20EA"/>
    <w:rsid w:val="00CD32B9"/>
    <w:rsid w:val="00CD3A38"/>
    <w:rsid w:val="00CD3C59"/>
    <w:rsid w:val="00CD3E5D"/>
    <w:rsid w:val="00CD42BB"/>
    <w:rsid w:val="00CD4ECA"/>
    <w:rsid w:val="00CD5710"/>
    <w:rsid w:val="00CD57C4"/>
    <w:rsid w:val="00CD5B8A"/>
    <w:rsid w:val="00CD685A"/>
    <w:rsid w:val="00CD73F4"/>
    <w:rsid w:val="00CE035D"/>
    <w:rsid w:val="00CE0D3A"/>
    <w:rsid w:val="00CE1FFC"/>
    <w:rsid w:val="00CE243E"/>
    <w:rsid w:val="00CE28D1"/>
    <w:rsid w:val="00CE3661"/>
    <w:rsid w:val="00CE3CA3"/>
    <w:rsid w:val="00CE3D56"/>
    <w:rsid w:val="00CE404D"/>
    <w:rsid w:val="00CE4071"/>
    <w:rsid w:val="00CE4C68"/>
    <w:rsid w:val="00CE630E"/>
    <w:rsid w:val="00CE6F95"/>
    <w:rsid w:val="00CE6FDE"/>
    <w:rsid w:val="00CE745F"/>
    <w:rsid w:val="00CF0BFD"/>
    <w:rsid w:val="00CF1591"/>
    <w:rsid w:val="00CF1D94"/>
    <w:rsid w:val="00CF29CE"/>
    <w:rsid w:val="00CF2AE9"/>
    <w:rsid w:val="00CF33AF"/>
    <w:rsid w:val="00CF386D"/>
    <w:rsid w:val="00CF482C"/>
    <w:rsid w:val="00CF490F"/>
    <w:rsid w:val="00CF4FA9"/>
    <w:rsid w:val="00CF636A"/>
    <w:rsid w:val="00CF78B5"/>
    <w:rsid w:val="00CF7E34"/>
    <w:rsid w:val="00D025B7"/>
    <w:rsid w:val="00D03BC6"/>
    <w:rsid w:val="00D03E4C"/>
    <w:rsid w:val="00D0409C"/>
    <w:rsid w:val="00D0592A"/>
    <w:rsid w:val="00D0706A"/>
    <w:rsid w:val="00D07706"/>
    <w:rsid w:val="00D078D2"/>
    <w:rsid w:val="00D101EB"/>
    <w:rsid w:val="00D10F33"/>
    <w:rsid w:val="00D11C85"/>
    <w:rsid w:val="00D12EDF"/>
    <w:rsid w:val="00D13079"/>
    <w:rsid w:val="00D13663"/>
    <w:rsid w:val="00D13C7E"/>
    <w:rsid w:val="00D141B2"/>
    <w:rsid w:val="00D14D72"/>
    <w:rsid w:val="00D152C3"/>
    <w:rsid w:val="00D152D0"/>
    <w:rsid w:val="00D153E7"/>
    <w:rsid w:val="00D15F60"/>
    <w:rsid w:val="00D1654C"/>
    <w:rsid w:val="00D16D12"/>
    <w:rsid w:val="00D16D9A"/>
    <w:rsid w:val="00D16EDE"/>
    <w:rsid w:val="00D17B2D"/>
    <w:rsid w:val="00D203EF"/>
    <w:rsid w:val="00D20C1E"/>
    <w:rsid w:val="00D21E9E"/>
    <w:rsid w:val="00D22266"/>
    <w:rsid w:val="00D22A69"/>
    <w:rsid w:val="00D22A9D"/>
    <w:rsid w:val="00D23086"/>
    <w:rsid w:val="00D24C12"/>
    <w:rsid w:val="00D256AC"/>
    <w:rsid w:val="00D256C4"/>
    <w:rsid w:val="00D26EB0"/>
    <w:rsid w:val="00D27786"/>
    <w:rsid w:val="00D27E03"/>
    <w:rsid w:val="00D30229"/>
    <w:rsid w:val="00D308B3"/>
    <w:rsid w:val="00D31481"/>
    <w:rsid w:val="00D3210C"/>
    <w:rsid w:val="00D321DD"/>
    <w:rsid w:val="00D32D85"/>
    <w:rsid w:val="00D335B2"/>
    <w:rsid w:val="00D33C31"/>
    <w:rsid w:val="00D343D4"/>
    <w:rsid w:val="00D34505"/>
    <w:rsid w:val="00D35F31"/>
    <w:rsid w:val="00D3728E"/>
    <w:rsid w:val="00D37AC0"/>
    <w:rsid w:val="00D40B76"/>
    <w:rsid w:val="00D41E93"/>
    <w:rsid w:val="00D429F6"/>
    <w:rsid w:val="00D42A12"/>
    <w:rsid w:val="00D42EC5"/>
    <w:rsid w:val="00D43F2E"/>
    <w:rsid w:val="00D44050"/>
    <w:rsid w:val="00D45A49"/>
    <w:rsid w:val="00D45E66"/>
    <w:rsid w:val="00D47641"/>
    <w:rsid w:val="00D50403"/>
    <w:rsid w:val="00D50728"/>
    <w:rsid w:val="00D50FB1"/>
    <w:rsid w:val="00D50FBD"/>
    <w:rsid w:val="00D511EB"/>
    <w:rsid w:val="00D512FA"/>
    <w:rsid w:val="00D517E8"/>
    <w:rsid w:val="00D52260"/>
    <w:rsid w:val="00D5447C"/>
    <w:rsid w:val="00D54563"/>
    <w:rsid w:val="00D5655F"/>
    <w:rsid w:val="00D565D9"/>
    <w:rsid w:val="00D57204"/>
    <w:rsid w:val="00D57A9A"/>
    <w:rsid w:val="00D60003"/>
    <w:rsid w:val="00D62128"/>
    <w:rsid w:val="00D6337A"/>
    <w:rsid w:val="00D633FC"/>
    <w:rsid w:val="00D6389D"/>
    <w:rsid w:val="00D638CD"/>
    <w:rsid w:val="00D646B5"/>
    <w:rsid w:val="00D65206"/>
    <w:rsid w:val="00D660AC"/>
    <w:rsid w:val="00D6651A"/>
    <w:rsid w:val="00D66762"/>
    <w:rsid w:val="00D704F7"/>
    <w:rsid w:val="00D708A7"/>
    <w:rsid w:val="00D710E9"/>
    <w:rsid w:val="00D719A9"/>
    <w:rsid w:val="00D73649"/>
    <w:rsid w:val="00D743AC"/>
    <w:rsid w:val="00D7537E"/>
    <w:rsid w:val="00D7545E"/>
    <w:rsid w:val="00D75DBD"/>
    <w:rsid w:val="00D75DCC"/>
    <w:rsid w:val="00D76578"/>
    <w:rsid w:val="00D76C28"/>
    <w:rsid w:val="00D76E7A"/>
    <w:rsid w:val="00D77BE2"/>
    <w:rsid w:val="00D8050D"/>
    <w:rsid w:val="00D80989"/>
    <w:rsid w:val="00D8103E"/>
    <w:rsid w:val="00D81549"/>
    <w:rsid w:val="00D81776"/>
    <w:rsid w:val="00D81A76"/>
    <w:rsid w:val="00D81D43"/>
    <w:rsid w:val="00D83CDD"/>
    <w:rsid w:val="00D84363"/>
    <w:rsid w:val="00D84DE4"/>
    <w:rsid w:val="00D851B0"/>
    <w:rsid w:val="00D85B71"/>
    <w:rsid w:val="00D85E83"/>
    <w:rsid w:val="00D87014"/>
    <w:rsid w:val="00D87143"/>
    <w:rsid w:val="00D8764F"/>
    <w:rsid w:val="00D87FAB"/>
    <w:rsid w:val="00D912F9"/>
    <w:rsid w:val="00D91A90"/>
    <w:rsid w:val="00D91AE0"/>
    <w:rsid w:val="00D91C05"/>
    <w:rsid w:val="00D92DB2"/>
    <w:rsid w:val="00D93D00"/>
    <w:rsid w:val="00D95427"/>
    <w:rsid w:val="00D960D8"/>
    <w:rsid w:val="00D964D0"/>
    <w:rsid w:val="00D97B79"/>
    <w:rsid w:val="00D97C66"/>
    <w:rsid w:val="00D97C6E"/>
    <w:rsid w:val="00D97C99"/>
    <w:rsid w:val="00DA18A1"/>
    <w:rsid w:val="00DA1FB1"/>
    <w:rsid w:val="00DA2E25"/>
    <w:rsid w:val="00DA344A"/>
    <w:rsid w:val="00DA3912"/>
    <w:rsid w:val="00DA3EA9"/>
    <w:rsid w:val="00DA4794"/>
    <w:rsid w:val="00DA4809"/>
    <w:rsid w:val="00DA55EC"/>
    <w:rsid w:val="00DA6263"/>
    <w:rsid w:val="00DA680B"/>
    <w:rsid w:val="00DA68C8"/>
    <w:rsid w:val="00DA6CAD"/>
    <w:rsid w:val="00DA7CA1"/>
    <w:rsid w:val="00DB0D2A"/>
    <w:rsid w:val="00DB19DE"/>
    <w:rsid w:val="00DB2337"/>
    <w:rsid w:val="00DB3556"/>
    <w:rsid w:val="00DB3C6D"/>
    <w:rsid w:val="00DB592F"/>
    <w:rsid w:val="00DB5AA0"/>
    <w:rsid w:val="00DB5D85"/>
    <w:rsid w:val="00DB62FB"/>
    <w:rsid w:val="00DC0986"/>
    <w:rsid w:val="00DC0E7B"/>
    <w:rsid w:val="00DC117F"/>
    <w:rsid w:val="00DC1374"/>
    <w:rsid w:val="00DC1BDD"/>
    <w:rsid w:val="00DC1E00"/>
    <w:rsid w:val="00DC21BE"/>
    <w:rsid w:val="00DC21D8"/>
    <w:rsid w:val="00DC2A97"/>
    <w:rsid w:val="00DC3600"/>
    <w:rsid w:val="00DC4091"/>
    <w:rsid w:val="00DC42A9"/>
    <w:rsid w:val="00DC47D5"/>
    <w:rsid w:val="00DC53FB"/>
    <w:rsid w:val="00DC7117"/>
    <w:rsid w:val="00DD0702"/>
    <w:rsid w:val="00DD0BC9"/>
    <w:rsid w:val="00DD17E4"/>
    <w:rsid w:val="00DD2980"/>
    <w:rsid w:val="00DD2EE2"/>
    <w:rsid w:val="00DD31A3"/>
    <w:rsid w:val="00DD38CA"/>
    <w:rsid w:val="00DD5AEA"/>
    <w:rsid w:val="00DD5BDD"/>
    <w:rsid w:val="00DD60FE"/>
    <w:rsid w:val="00DD611A"/>
    <w:rsid w:val="00DE0AFD"/>
    <w:rsid w:val="00DE123E"/>
    <w:rsid w:val="00DE12A3"/>
    <w:rsid w:val="00DE24E4"/>
    <w:rsid w:val="00DE2B92"/>
    <w:rsid w:val="00DE2C7F"/>
    <w:rsid w:val="00DE3050"/>
    <w:rsid w:val="00DE3598"/>
    <w:rsid w:val="00DE39F7"/>
    <w:rsid w:val="00DE4C1D"/>
    <w:rsid w:val="00DE4D2E"/>
    <w:rsid w:val="00DE520E"/>
    <w:rsid w:val="00DE53C6"/>
    <w:rsid w:val="00DF0021"/>
    <w:rsid w:val="00DF0748"/>
    <w:rsid w:val="00DF0D9F"/>
    <w:rsid w:val="00DF0F2A"/>
    <w:rsid w:val="00DF103E"/>
    <w:rsid w:val="00DF1573"/>
    <w:rsid w:val="00DF1C42"/>
    <w:rsid w:val="00DF3352"/>
    <w:rsid w:val="00DF358B"/>
    <w:rsid w:val="00DF4CEF"/>
    <w:rsid w:val="00DF5628"/>
    <w:rsid w:val="00DF5E62"/>
    <w:rsid w:val="00DF6437"/>
    <w:rsid w:val="00DF67F4"/>
    <w:rsid w:val="00DF6A41"/>
    <w:rsid w:val="00DF6BDB"/>
    <w:rsid w:val="00E0007E"/>
    <w:rsid w:val="00E0008F"/>
    <w:rsid w:val="00E016E7"/>
    <w:rsid w:val="00E02363"/>
    <w:rsid w:val="00E02B37"/>
    <w:rsid w:val="00E02C97"/>
    <w:rsid w:val="00E02ED6"/>
    <w:rsid w:val="00E03D29"/>
    <w:rsid w:val="00E03F84"/>
    <w:rsid w:val="00E04814"/>
    <w:rsid w:val="00E04AED"/>
    <w:rsid w:val="00E068E4"/>
    <w:rsid w:val="00E103C5"/>
    <w:rsid w:val="00E10F25"/>
    <w:rsid w:val="00E11EF1"/>
    <w:rsid w:val="00E11F40"/>
    <w:rsid w:val="00E1220B"/>
    <w:rsid w:val="00E1230B"/>
    <w:rsid w:val="00E12667"/>
    <w:rsid w:val="00E128EA"/>
    <w:rsid w:val="00E13042"/>
    <w:rsid w:val="00E1307D"/>
    <w:rsid w:val="00E130CC"/>
    <w:rsid w:val="00E13DB7"/>
    <w:rsid w:val="00E1433A"/>
    <w:rsid w:val="00E14860"/>
    <w:rsid w:val="00E14ECF"/>
    <w:rsid w:val="00E16117"/>
    <w:rsid w:val="00E1757D"/>
    <w:rsid w:val="00E20F4A"/>
    <w:rsid w:val="00E2184A"/>
    <w:rsid w:val="00E21FC9"/>
    <w:rsid w:val="00E2231B"/>
    <w:rsid w:val="00E227CE"/>
    <w:rsid w:val="00E2450F"/>
    <w:rsid w:val="00E24C79"/>
    <w:rsid w:val="00E24E2E"/>
    <w:rsid w:val="00E25C89"/>
    <w:rsid w:val="00E260C1"/>
    <w:rsid w:val="00E262E1"/>
    <w:rsid w:val="00E26759"/>
    <w:rsid w:val="00E26D4D"/>
    <w:rsid w:val="00E27108"/>
    <w:rsid w:val="00E27422"/>
    <w:rsid w:val="00E27669"/>
    <w:rsid w:val="00E27B84"/>
    <w:rsid w:val="00E315B5"/>
    <w:rsid w:val="00E31D60"/>
    <w:rsid w:val="00E32138"/>
    <w:rsid w:val="00E32395"/>
    <w:rsid w:val="00E33439"/>
    <w:rsid w:val="00E33541"/>
    <w:rsid w:val="00E33781"/>
    <w:rsid w:val="00E35E15"/>
    <w:rsid w:val="00E3688F"/>
    <w:rsid w:val="00E368CD"/>
    <w:rsid w:val="00E36AD1"/>
    <w:rsid w:val="00E36F3C"/>
    <w:rsid w:val="00E3733A"/>
    <w:rsid w:val="00E40A7B"/>
    <w:rsid w:val="00E40C1F"/>
    <w:rsid w:val="00E41207"/>
    <w:rsid w:val="00E41E41"/>
    <w:rsid w:val="00E422EA"/>
    <w:rsid w:val="00E42AF3"/>
    <w:rsid w:val="00E42EA0"/>
    <w:rsid w:val="00E4579E"/>
    <w:rsid w:val="00E46071"/>
    <w:rsid w:val="00E46486"/>
    <w:rsid w:val="00E4691E"/>
    <w:rsid w:val="00E46B21"/>
    <w:rsid w:val="00E47113"/>
    <w:rsid w:val="00E47ACE"/>
    <w:rsid w:val="00E50B3E"/>
    <w:rsid w:val="00E50CE2"/>
    <w:rsid w:val="00E50F18"/>
    <w:rsid w:val="00E53006"/>
    <w:rsid w:val="00E53E54"/>
    <w:rsid w:val="00E54247"/>
    <w:rsid w:val="00E54A4A"/>
    <w:rsid w:val="00E54C40"/>
    <w:rsid w:val="00E5530C"/>
    <w:rsid w:val="00E561F0"/>
    <w:rsid w:val="00E56368"/>
    <w:rsid w:val="00E56A9D"/>
    <w:rsid w:val="00E57146"/>
    <w:rsid w:val="00E5797E"/>
    <w:rsid w:val="00E603CC"/>
    <w:rsid w:val="00E60557"/>
    <w:rsid w:val="00E61B5A"/>
    <w:rsid w:val="00E61E9C"/>
    <w:rsid w:val="00E6269F"/>
    <w:rsid w:val="00E627CE"/>
    <w:rsid w:val="00E629CE"/>
    <w:rsid w:val="00E62BEC"/>
    <w:rsid w:val="00E62E2F"/>
    <w:rsid w:val="00E63070"/>
    <w:rsid w:val="00E63A18"/>
    <w:rsid w:val="00E64943"/>
    <w:rsid w:val="00E64B45"/>
    <w:rsid w:val="00E66420"/>
    <w:rsid w:val="00E66ED2"/>
    <w:rsid w:val="00E66F30"/>
    <w:rsid w:val="00E70814"/>
    <w:rsid w:val="00E70B5F"/>
    <w:rsid w:val="00E711B9"/>
    <w:rsid w:val="00E712B5"/>
    <w:rsid w:val="00E7184E"/>
    <w:rsid w:val="00E71D9E"/>
    <w:rsid w:val="00E739DB"/>
    <w:rsid w:val="00E74A8A"/>
    <w:rsid w:val="00E75BC9"/>
    <w:rsid w:val="00E76306"/>
    <w:rsid w:val="00E76646"/>
    <w:rsid w:val="00E77349"/>
    <w:rsid w:val="00E773D2"/>
    <w:rsid w:val="00E77568"/>
    <w:rsid w:val="00E779DB"/>
    <w:rsid w:val="00E77F00"/>
    <w:rsid w:val="00E77FBB"/>
    <w:rsid w:val="00E81238"/>
    <w:rsid w:val="00E812BD"/>
    <w:rsid w:val="00E82117"/>
    <w:rsid w:val="00E82D50"/>
    <w:rsid w:val="00E83010"/>
    <w:rsid w:val="00E83A9E"/>
    <w:rsid w:val="00E8449B"/>
    <w:rsid w:val="00E847E7"/>
    <w:rsid w:val="00E85DE5"/>
    <w:rsid w:val="00E860BF"/>
    <w:rsid w:val="00E86390"/>
    <w:rsid w:val="00E86B3A"/>
    <w:rsid w:val="00E879B2"/>
    <w:rsid w:val="00E90122"/>
    <w:rsid w:val="00E9091D"/>
    <w:rsid w:val="00E90D80"/>
    <w:rsid w:val="00E912B2"/>
    <w:rsid w:val="00E92420"/>
    <w:rsid w:val="00E92F05"/>
    <w:rsid w:val="00E9336F"/>
    <w:rsid w:val="00E938E8"/>
    <w:rsid w:val="00E956CB"/>
    <w:rsid w:val="00E959F5"/>
    <w:rsid w:val="00E9706F"/>
    <w:rsid w:val="00EA08C2"/>
    <w:rsid w:val="00EA0DDC"/>
    <w:rsid w:val="00EA15FC"/>
    <w:rsid w:val="00EA2B7F"/>
    <w:rsid w:val="00EA313A"/>
    <w:rsid w:val="00EA3254"/>
    <w:rsid w:val="00EA4166"/>
    <w:rsid w:val="00EA4589"/>
    <w:rsid w:val="00EA4ABF"/>
    <w:rsid w:val="00EA4F54"/>
    <w:rsid w:val="00EA557A"/>
    <w:rsid w:val="00EA590D"/>
    <w:rsid w:val="00EA68EB"/>
    <w:rsid w:val="00EA69B9"/>
    <w:rsid w:val="00EA7839"/>
    <w:rsid w:val="00EB0463"/>
    <w:rsid w:val="00EB0485"/>
    <w:rsid w:val="00EB1DB1"/>
    <w:rsid w:val="00EB2646"/>
    <w:rsid w:val="00EB2BE2"/>
    <w:rsid w:val="00EB3396"/>
    <w:rsid w:val="00EB3CD4"/>
    <w:rsid w:val="00EB3FC6"/>
    <w:rsid w:val="00EB4D0F"/>
    <w:rsid w:val="00EB4D3C"/>
    <w:rsid w:val="00EB5442"/>
    <w:rsid w:val="00EB54AA"/>
    <w:rsid w:val="00EB70C1"/>
    <w:rsid w:val="00EC0A0A"/>
    <w:rsid w:val="00EC0C7D"/>
    <w:rsid w:val="00EC0EC6"/>
    <w:rsid w:val="00EC26D9"/>
    <w:rsid w:val="00EC4515"/>
    <w:rsid w:val="00EC49D1"/>
    <w:rsid w:val="00EC5AFC"/>
    <w:rsid w:val="00EC6A58"/>
    <w:rsid w:val="00EC6BC9"/>
    <w:rsid w:val="00EC6CF1"/>
    <w:rsid w:val="00EC6D82"/>
    <w:rsid w:val="00EC7554"/>
    <w:rsid w:val="00ED0113"/>
    <w:rsid w:val="00ED0A0A"/>
    <w:rsid w:val="00ED0DE8"/>
    <w:rsid w:val="00ED1634"/>
    <w:rsid w:val="00ED1AE6"/>
    <w:rsid w:val="00ED2D03"/>
    <w:rsid w:val="00ED38BC"/>
    <w:rsid w:val="00ED4F67"/>
    <w:rsid w:val="00ED500D"/>
    <w:rsid w:val="00ED509D"/>
    <w:rsid w:val="00ED5C94"/>
    <w:rsid w:val="00ED5D52"/>
    <w:rsid w:val="00ED5E4E"/>
    <w:rsid w:val="00ED63D5"/>
    <w:rsid w:val="00ED67DB"/>
    <w:rsid w:val="00ED7146"/>
    <w:rsid w:val="00ED72AB"/>
    <w:rsid w:val="00ED7FF8"/>
    <w:rsid w:val="00EE1034"/>
    <w:rsid w:val="00EE12D9"/>
    <w:rsid w:val="00EE130E"/>
    <w:rsid w:val="00EE1659"/>
    <w:rsid w:val="00EE1C95"/>
    <w:rsid w:val="00EE1DAD"/>
    <w:rsid w:val="00EE2150"/>
    <w:rsid w:val="00EE23B6"/>
    <w:rsid w:val="00EE38BF"/>
    <w:rsid w:val="00EE46F9"/>
    <w:rsid w:val="00EE586B"/>
    <w:rsid w:val="00EE5A0F"/>
    <w:rsid w:val="00EE684F"/>
    <w:rsid w:val="00EE6F25"/>
    <w:rsid w:val="00EE6FC0"/>
    <w:rsid w:val="00EE7ABA"/>
    <w:rsid w:val="00EE7CDC"/>
    <w:rsid w:val="00EE7DBA"/>
    <w:rsid w:val="00EF0DDB"/>
    <w:rsid w:val="00EF0DE0"/>
    <w:rsid w:val="00EF1349"/>
    <w:rsid w:val="00EF3DFF"/>
    <w:rsid w:val="00EF3E3C"/>
    <w:rsid w:val="00EF4215"/>
    <w:rsid w:val="00EF4BD5"/>
    <w:rsid w:val="00EF4D92"/>
    <w:rsid w:val="00EF4E3D"/>
    <w:rsid w:val="00EF5248"/>
    <w:rsid w:val="00EF6398"/>
    <w:rsid w:val="00F00680"/>
    <w:rsid w:val="00F00EDA"/>
    <w:rsid w:val="00F01352"/>
    <w:rsid w:val="00F01E20"/>
    <w:rsid w:val="00F02586"/>
    <w:rsid w:val="00F031A3"/>
    <w:rsid w:val="00F03634"/>
    <w:rsid w:val="00F03E8B"/>
    <w:rsid w:val="00F04B08"/>
    <w:rsid w:val="00F05044"/>
    <w:rsid w:val="00F06C24"/>
    <w:rsid w:val="00F076D8"/>
    <w:rsid w:val="00F1133C"/>
    <w:rsid w:val="00F11D0F"/>
    <w:rsid w:val="00F11DEE"/>
    <w:rsid w:val="00F12E92"/>
    <w:rsid w:val="00F13BAB"/>
    <w:rsid w:val="00F14F08"/>
    <w:rsid w:val="00F156CA"/>
    <w:rsid w:val="00F158E4"/>
    <w:rsid w:val="00F163CE"/>
    <w:rsid w:val="00F16431"/>
    <w:rsid w:val="00F16674"/>
    <w:rsid w:val="00F1733D"/>
    <w:rsid w:val="00F179B1"/>
    <w:rsid w:val="00F211D7"/>
    <w:rsid w:val="00F21A39"/>
    <w:rsid w:val="00F21A77"/>
    <w:rsid w:val="00F220D2"/>
    <w:rsid w:val="00F223B3"/>
    <w:rsid w:val="00F22DA0"/>
    <w:rsid w:val="00F22ED6"/>
    <w:rsid w:val="00F23C8D"/>
    <w:rsid w:val="00F242CE"/>
    <w:rsid w:val="00F258F8"/>
    <w:rsid w:val="00F26640"/>
    <w:rsid w:val="00F26C92"/>
    <w:rsid w:val="00F26E26"/>
    <w:rsid w:val="00F30054"/>
    <w:rsid w:val="00F31A17"/>
    <w:rsid w:val="00F320C6"/>
    <w:rsid w:val="00F327A0"/>
    <w:rsid w:val="00F32B76"/>
    <w:rsid w:val="00F331C5"/>
    <w:rsid w:val="00F33D67"/>
    <w:rsid w:val="00F417BE"/>
    <w:rsid w:val="00F420C8"/>
    <w:rsid w:val="00F42198"/>
    <w:rsid w:val="00F4235B"/>
    <w:rsid w:val="00F42446"/>
    <w:rsid w:val="00F44055"/>
    <w:rsid w:val="00F4420A"/>
    <w:rsid w:val="00F44820"/>
    <w:rsid w:val="00F4518D"/>
    <w:rsid w:val="00F4527B"/>
    <w:rsid w:val="00F46252"/>
    <w:rsid w:val="00F46915"/>
    <w:rsid w:val="00F476B6"/>
    <w:rsid w:val="00F47DFE"/>
    <w:rsid w:val="00F50CF7"/>
    <w:rsid w:val="00F511A5"/>
    <w:rsid w:val="00F516BA"/>
    <w:rsid w:val="00F5172B"/>
    <w:rsid w:val="00F51CBF"/>
    <w:rsid w:val="00F5359C"/>
    <w:rsid w:val="00F54142"/>
    <w:rsid w:val="00F54423"/>
    <w:rsid w:val="00F544B3"/>
    <w:rsid w:val="00F54522"/>
    <w:rsid w:val="00F54F9C"/>
    <w:rsid w:val="00F56D91"/>
    <w:rsid w:val="00F5723F"/>
    <w:rsid w:val="00F57418"/>
    <w:rsid w:val="00F57FC1"/>
    <w:rsid w:val="00F60185"/>
    <w:rsid w:val="00F604F4"/>
    <w:rsid w:val="00F6059F"/>
    <w:rsid w:val="00F61ECD"/>
    <w:rsid w:val="00F6273D"/>
    <w:rsid w:val="00F632E5"/>
    <w:rsid w:val="00F635F6"/>
    <w:rsid w:val="00F6456D"/>
    <w:rsid w:val="00F64CC3"/>
    <w:rsid w:val="00F65756"/>
    <w:rsid w:val="00F65A43"/>
    <w:rsid w:val="00F65E6C"/>
    <w:rsid w:val="00F66703"/>
    <w:rsid w:val="00F66AD1"/>
    <w:rsid w:val="00F67169"/>
    <w:rsid w:val="00F67356"/>
    <w:rsid w:val="00F67BCE"/>
    <w:rsid w:val="00F67F9C"/>
    <w:rsid w:val="00F71E06"/>
    <w:rsid w:val="00F71E82"/>
    <w:rsid w:val="00F72270"/>
    <w:rsid w:val="00F72417"/>
    <w:rsid w:val="00F72BCD"/>
    <w:rsid w:val="00F74F92"/>
    <w:rsid w:val="00F75C45"/>
    <w:rsid w:val="00F762D9"/>
    <w:rsid w:val="00F766A3"/>
    <w:rsid w:val="00F77634"/>
    <w:rsid w:val="00F802ED"/>
    <w:rsid w:val="00F80E22"/>
    <w:rsid w:val="00F81170"/>
    <w:rsid w:val="00F81931"/>
    <w:rsid w:val="00F8286E"/>
    <w:rsid w:val="00F83473"/>
    <w:rsid w:val="00F83591"/>
    <w:rsid w:val="00F836F5"/>
    <w:rsid w:val="00F83E75"/>
    <w:rsid w:val="00F84053"/>
    <w:rsid w:val="00F85219"/>
    <w:rsid w:val="00F8563F"/>
    <w:rsid w:val="00F85FA5"/>
    <w:rsid w:val="00F86E87"/>
    <w:rsid w:val="00F87480"/>
    <w:rsid w:val="00F87BA9"/>
    <w:rsid w:val="00F87C73"/>
    <w:rsid w:val="00F87D1E"/>
    <w:rsid w:val="00F90CD9"/>
    <w:rsid w:val="00F9140C"/>
    <w:rsid w:val="00F922D7"/>
    <w:rsid w:val="00F936D0"/>
    <w:rsid w:val="00F93958"/>
    <w:rsid w:val="00F940EC"/>
    <w:rsid w:val="00F9571B"/>
    <w:rsid w:val="00F957BB"/>
    <w:rsid w:val="00F96122"/>
    <w:rsid w:val="00F97AE7"/>
    <w:rsid w:val="00FA101A"/>
    <w:rsid w:val="00FA1BC0"/>
    <w:rsid w:val="00FA1C04"/>
    <w:rsid w:val="00FA1CEC"/>
    <w:rsid w:val="00FA1D07"/>
    <w:rsid w:val="00FA2303"/>
    <w:rsid w:val="00FA2A3C"/>
    <w:rsid w:val="00FA2DB1"/>
    <w:rsid w:val="00FA44EF"/>
    <w:rsid w:val="00FA4823"/>
    <w:rsid w:val="00FA4D2F"/>
    <w:rsid w:val="00FA611F"/>
    <w:rsid w:val="00FA6E6E"/>
    <w:rsid w:val="00FA74F1"/>
    <w:rsid w:val="00FA7736"/>
    <w:rsid w:val="00FB053A"/>
    <w:rsid w:val="00FB080D"/>
    <w:rsid w:val="00FB169C"/>
    <w:rsid w:val="00FB1E19"/>
    <w:rsid w:val="00FB2229"/>
    <w:rsid w:val="00FB24BF"/>
    <w:rsid w:val="00FB24E5"/>
    <w:rsid w:val="00FB2563"/>
    <w:rsid w:val="00FB28A6"/>
    <w:rsid w:val="00FB2EB0"/>
    <w:rsid w:val="00FB4383"/>
    <w:rsid w:val="00FB456A"/>
    <w:rsid w:val="00FB4C4B"/>
    <w:rsid w:val="00FB4E46"/>
    <w:rsid w:val="00FB5D5A"/>
    <w:rsid w:val="00FB74EC"/>
    <w:rsid w:val="00FC1F20"/>
    <w:rsid w:val="00FC2839"/>
    <w:rsid w:val="00FC3F84"/>
    <w:rsid w:val="00FC4BC9"/>
    <w:rsid w:val="00FC4DEA"/>
    <w:rsid w:val="00FC53B6"/>
    <w:rsid w:val="00FC643B"/>
    <w:rsid w:val="00FC6CC8"/>
    <w:rsid w:val="00FC7AA5"/>
    <w:rsid w:val="00FC7D24"/>
    <w:rsid w:val="00FD010B"/>
    <w:rsid w:val="00FD11E3"/>
    <w:rsid w:val="00FD1E6B"/>
    <w:rsid w:val="00FD3835"/>
    <w:rsid w:val="00FD3B9F"/>
    <w:rsid w:val="00FD408E"/>
    <w:rsid w:val="00FD455A"/>
    <w:rsid w:val="00FD5CAE"/>
    <w:rsid w:val="00FD60C7"/>
    <w:rsid w:val="00FD61E3"/>
    <w:rsid w:val="00FD633F"/>
    <w:rsid w:val="00FD736E"/>
    <w:rsid w:val="00FD75AF"/>
    <w:rsid w:val="00FD7B5F"/>
    <w:rsid w:val="00FE0109"/>
    <w:rsid w:val="00FE02F3"/>
    <w:rsid w:val="00FE05B2"/>
    <w:rsid w:val="00FE0A0E"/>
    <w:rsid w:val="00FE0BC0"/>
    <w:rsid w:val="00FE0DAA"/>
    <w:rsid w:val="00FE0DF8"/>
    <w:rsid w:val="00FE1764"/>
    <w:rsid w:val="00FE187C"/>
    <w:rsid w:val="00FE1BBC"/>
    <w:rsid w:val="00FE1E76"/>
    <w:rsid w:val="00FE342D"/>
    <w:rsid w:val="00FE37DA"/>
    <w:rsid w:val="00FE3945"/>
    <w:rsid w:val="00FE3A59"/>
    <w:rsid w:val="00FE49F5"/>
    <w:rsid w:val="00FE5864"/>
    <w:rsid w:val="00FE6B03"/>
    <w:rsid w:val="00FE6B30"/>
    <w:rsid w:val="00FE6B72"/>
    <w:rsid w:val="00FE6EA9"/>
    <w:rsid w:val="00FE6FA9"/>
    <w:rsid w:val="00FE7F1F"/>
    <w:rsid w:val="00FF0305"/>
    <w:rsid w:val="00FF0B76"/>
    <w:rsid w:val="00FF0E00"/>
    <w:rsid w:val="00FF148C"/>
    <w:rsid w:val="00FF1905"/>
    <w:rsid w:val="00FF2783"/>
    <w:rsid w:val="00FF2C6E"/>
    <w:rsid w:val="00FF31B4"/>
    <w:rsid w:val="00FF3B7F"/>
    <w:rsid w:val="00FF467E"/>
    <w:rsid w:val="00FF46B3"/>
    <w:rsid w:val="00FF56B1"/>
    <w:rsid w:val="00FF5C4C"/>
    <w:rsid w:val="00FF6212"/>
    <w:rsid w:val="00FF6751"/>
    <w:rsid w:val="00FF67DA"/>
    <w:rsid w:val="00FF6837"/>
    <w:rsid w:val="00FF7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02473"/>
    <w:pPr>
      <w:spacing w:before="60" w:after="60"/>
      <w:ind w:left="1080" w:hanging="360"/>
    </w:pPr>
    <w:rPr>
      <w:szCs w:val="24"/>
    </w:rPr>
  </w:style>
  <w:style w:type="paragraph" w:styleId="Heading1">
    <w:name w:val="heading 1"/>
    <w:basedOn w:val="Normal"/>
    <w:next w:val="Normal"/>
    <w:link w:val="Heading1Char1"/>
    <w:uiPriority w:val="99"/>
    <w:qFormat/>
    <w:rsid w:val="002B3A68"/>
    <w:pPr>
      <w:widowControl w:val="0"/>
      <w:numPr>
        <w:numId w:val="4"/>
      </w:numPr>
      <w:suppressLineNumbers/>
      <w:suppressAutoHyphens/>
      <w:spacing w:before="0"/>
      <w:outlineLvl w:val="0"/>
    </w:pPr>
    <w:rPr>
      <w:rFonts w:ascii="Times New Roman Bold" w:hAnsi="Times New Roman Bold" w:cs="Arial"/>
      <w:b/>
      <w:bCs/>
      <w:color w:val="0033CC"/>
      <w:kern w:val="32"/>
      <w:sz w:val="28"/>
      <w:szCs w:val="28"/>
    </w:rPr>
  </w:style>
  <w:style w:type="paragraph" w:styleId="Heading2">
    <w:name w:val="heading 2"/>
    <w:basedOn w:val="Normal"/>
    <w:next w:val="Normal"/>
    <w:link w:val="Heading2Char"/>
    <w:uiPriority w:val="99"/>
    <w:qFormat/>
    <w:rsid w:val="00DE39F7"/>
    <w:pPr>
      <w:widowControl w:val="0"/>
      <w:numPr>
        <w:ilvl w:val="1"/>
        <w:numId w:val="4"/>
      </w:numPr>
      <w:suppressLineNumbers/>
      <w:tabs>
        <w:tab w:val="left" w:pos="900"/>
      </w:tabs>
      <w:suppressAutoHyphens/>
      <w:spacing w:before="120" w:after="0"/>
      <w:outlineLvl w:val="1"/>
    </w:pPr>
    <w:rPr>
      <w:rFonts w:cs="Arial"/>
      <w:b/>
      <w:bCs/>
      <w:iCs/>
      <w:color w:val="0070C0"/>
      <w:sz w:val="28"/>
      <w:szCs w:val="28"/>
    </w:rPr>
  </w:style>
  <w:style w:type="paragraph" w:styleId="Heading3">
    <w:name w:val="heading 3"/>
    <w:basedOn w:val="Normal"/>
    <w:next w:val="Normal"/>
    <w:link w:val="Heading3Char"/>
    <w:uiPriority w:val="99"/>
    <w:qFormat/>
    <w:rsid w:val="00602473"/>
    <w:pPr>
      <w:keepNext/>
      <w:numPr>
        <w:ilvl w:val="2"/>
        <w:numId w:val="4"/>
      </w:numPr>
      <w:spacing w:before="240"/>
      <w:outlineLvl w:val="2"/>
    </w:pPr>
    <w:rPr>
      <w:rFonts w:ascii="Arial" w:hAnsi="Arial" w:cs="Arial"/>
      <w:b/>
      <w:bCs/>
      <w:sz w:val="26"/>
      <w:szCs w:val="26"/>
    </w:rPr>
  </w:style>
  <w:style w:type="paragraph" w:styleId="Heading4">
    <w:name w:val="heading 4"/>
    <w:basedOn w:val="Normal"/>
    <w:next w:val="Normal"/>
    <w:link w:val="Heading4Char"/>
    <w:uiPriority w:val="99"/>
    <w:qFormat/>
    <w:rsid w:val="00602473"/>
    <w:pPr>
      <w:keepNext/>
      <w:numPr>
        <w:ilvl w:val="3"/>
        <w:numId w:val="4"/>
      </w:numPr>
      <w:spacing w:before="240"/>
      <w:outlineLvl w:val="3"/>
    </w:pPr>
    <w:rPr>
      <w:b/>
      <w:bCs/>
      <w:color w:val="E36C0A"/>
      <w:sz w:val="24"/>
    </w:rPr>
  </w:style>
  <w:style w:type="paragraph" w:styleId="Heading5">
    <w:name w:val="heading 5"/>
    <w:basedOn w:val="Normal"/>
    <w:next w:val="Normal"/>
    <w:link w:val="Heading5Char"/>
    <w:uiPriority w:val="99"/>
    <w:qFormat/>
    <w:rsid w:val="00602473"/>
    <w:pPr>
      <w:keepNext/>
      <w:numPr>
        <w:ilvl w:val="4"/>
        <w:numId w:val="4"/>
      </w:numPr>
      <w:spacing w:before="240"/>
      <w:outlineLvl w:val="4"/>
    </w:pPr>
    <w:rPr>
      <w:b/>
      <w:bCs/>
      <w:color w:val="0070C0"/>
      <w:sz w:val="24"/>
    </w:rPr>
  </w:style>
  <w:style w:type="paragraph" w:styleId="Heading6">
    <w:name w:val="heading 6"/>
    <w:basedOn w:val="Normal"/>
    <w:next w:val="Normal"/>
    <w:link w:val="Heading6Char"/>
    <w:uiPriority w:val="99"/>
    <w:qFormat/>
    <w:rsid w:val="002B3A68"/>
    <w:pPr>
      <w:keepNext/>
      <w:numPr>
        <w:ilvl w:val="5"/>
        <w:numId w:val="4"/>
      </w:numPr>
      <w:outlineLvl w:val="5"/>
    </w:pPr>
    <w:rPr>
      <w:u w:val="single"/>
    </w:rPr>
  </w:style>
  <w:style w:type="paragraph" w:styleId="Heading7">
    <w:name w:val="heading 7"/>
    <w:basedOn w:val="Normal"/>
    <w:next w:val="Normal"/>
    <w:link w:val="Heading7Char"/>
    <w:uiPriority w:val="99"/>
    <w:qFormat/>
    <w:rsid w:val="002B3A68"/>
    <w:pPr>
      <w:keepNext/>
      <w:numPr>
        <w:ilvl w:val="6"/>
        <w:numId w:val="4"/>
      </w:numPr>
      <w:outlineLvl w:val="6"/>
    </w:pPr>
    <w:rPr>
      <w:b/>
    </w:rPr>
  </w:style>
  <w:style w:type="paragraph" w:styleId="Heading8">
    <w:name w:val="heading 8"/>
    <w:basedOn w:val="Normal"/>
    <w:next w:val="Normal"/>
    <w:link w:val="Heading8Char"/>
    <w:uiPriority w:val="99"/>
    <w:qFormat/>
    <w:rsid w:val="002B3A68"/>
    <w:pPr>
      <w:keepNext/>
      <w:numPr>
        <w:ilvl w:val="7"/>
        <w:numId w:val="4"/>
      </w:numPr>
      <w:outlineLvl w:val="7"/>
    </w:pPr>
    <w:rPr>
      <w:b/>
      <w:bCs/>
      <w:sz w:val="32"/>
    </w:rPr>
  </w:style>
  <w:style w:type="paragraph" w:styleId="Heading9">
    <w:name w:val="heading 9"/>
    <w:basedOn w:val="Normal"/>
    <w:next w:val="Normal"/>
    <w:link w:val="Heading9Char"/>
    <w:uiPriority w:val="99"/>
    <w:qFormat/>
    <w:rsid w:val="002B3A68"/>
    <w:pPr>
      <w:numPr>
        <w:ilvl w:val="8"/>
        <w:numId w:val="4"/>
      </w:numPr>
      <w:spacing w:before="24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9"/>
    <w:locked/>
    <w:rsid w:val="00C80AA5"/>
    <w:rPr>
      <w:rFonts w:ascii="Cambria" w:hAnsi="Cambria" w:cs="Times New Roman"/>
      <w:b/>
      <w:bCs/>
      <w:kern w:val="32"/>
      <w:sz w:val="32"/>
      <w:szCs w:val="32"/>
    </w:rPr>
  </w:style>
  <w:style w:type="character" w:customStyle="1" w:styleId="Heading2Char">
    <w:name w:val="Heading 2 Char"/>
    <w:basedOn w:val="DefaultParagraphFont"/>
    <w:link w:val="Heading2"/>
    <w:uiPriority w:val="99"/>
    <w:locked/>
    <w:rsid w:val="00DE39F7"/>
    <w:rPr>
      <w:rFonts w:cs="Arial"/>
      <w:b/>
      <w:bCs/>
      <w:iCs/>
      <w:color w:val="0070C0"/>
      <w:sz w:val="28"/>
      <w:szCs w:val="28"/>
    </w:rPr>
  </w:style>
  <w:style w:type="character" w:customStyle="1" w:styleId="Heading3Char">
    <w:name w:val="Heading 3 Char"/>
    <w:basedOn w:val="DefaultParagraphFont"/>
    <w:link w:val="Heading3"/>
    <w:uiPriority w:val="99"/>
    <w:locked/>
    <w:rsid w:val="00B75B5E"/>
    <w:rPr>
      <w:rFonts w:ascii="Arial" w:hAnsi="Arial" w:cs="Arial"/>
      <w:b/>
      <w:bCs/>
      <w:sz w:val="26"/>
      <w:szCs w:val="26"/>
    </w:rPr>
  </w:style>
  <w:style w:type="character" w:customStyle="1" w:styleId="Heading4Char">
    <w:name w:val="Heading 4 Char"/>
    <w:basedOn w:val="DefaultParagraphFont"/>
    <w:link w:val="Heading4"/>
    <w:uiPriority w:val="99"/>
    <w:locked/>
    <w:rsid w:val="00602473"/>
    <w:rPr>
      <w:b/>
      <w:bCs/>
      <w:color w:val="E36C0A"/>
      <w:sz w:val="24"/>
      <w:szCs w:val="24"/>
    </w:rPr>
  </w:style>
  <w:style w:type="character" w:customStyle="1" w:styleId="Heading5Char">
    <w:name w:val="Heading 5 Char"/>
    <w:basedOn w:val="DefaultParagraphFont"/>
    <w:link w:val="Heading5"/>
    <w:uiPriority w:val="99"/>
    <w:locked/>
    <w:rsid w:val="00B75B5E"/>
    <w:rPr>
      <w:b/>
      <w:bCs/>
      <w:color w:val="0070C0"/>
      <w:sz w:val="24"/>
      <w:szCs w:val="24"/>
    </w:rPr>
  </w:style>
  <w:style w:type="character" w:customStyle="1" w:styleId="Heading6Char">
    <w:name w:val="Heading 6 Char"/>
    <w:basedOn w:val="DefaultParagraphFont"/>
    <w:link w:val="Heading6"/>
    <w:uiPriority w:val="99"/>
    <w:locked/>
    <w:rsid w:val="002B3A68"/>
    <w:rPr>
      <w:szCs w:val="24"/>
      <w:u w:val="single"/>
    </w:rPr>
  </w:style>
  <w:style w:type="character" w:customStyle="1" w:styleId="Heading7Char">
    <w:name w:val="Heading 7 Char"/>
    <w:basedOn w:val="DefaultParagraphFont"/>
    <w:link w:val="Heading7"/>
    <w:uiPriority w:val="99"/>
    <w:locked/>
    <w:rsid w:val="002B3A68"/>
    <w:rPr>
      <w:b/>
      <w:szCs w:val="24"/>
    </w:rPr>
  </w:style>
  <w:style w:type="character" w:customStyle="1" w:styleId="Heading8Char">
    <w:name w:val="Heading 8 Char"/>
    <w:basedOn w:val="DefaultParagraphFont"/>
    <w:link w:val="Heading8"/>
    <w:uiPriority w:val="99"/>
    <w:locked/>
    <w:rsid w:val="002B3A68"/>
    <w:rPr>
      <w:b/>
      <w:bCs/>
      <w:sz w:val="32"/>
      <w:szCs w:val="24"/>
    </w:rPr>
  </w:style>
  <w:style w:type="character" w:customStyle="1" w:styleId="Heading9Char">
    <w:name w:val="Heading 9 Char"/>
    <w:basedOn w:val="DefaultParagraphFont"/>
    <w:link w:val="Heading9"/>
    <w:uiPriority w:val="99"/>
    <w:locked/>
    <w:rsid w:val="002B3A68"/>
    <w:rPr>
      <w:rFonts w:ascii="Arial" w:hAnsi="Arial" w:cs="Arial"/>
      <w:szCs w:val="24"/>
    </w:rPr>
  </w:style>
  <w:style w:type="character" w:customStyle="1" w:styleId="Heading1Char1">
    <w:name w:val="Heading 1 Char1"/>
    <w:basedOn w:val="DefaultParagraphFont"/>
    <w:link w:val="Heading1"/>
    <w:uiPriority w:val="99"/>
    <w:locked/>
    <w:rsid w:val="002B3A68"/>
    <w:rPr>
      <w:rFonts w:ascii="Times New Roman Bold" w:hAnsi="Times New Roman Bold" w:cs="Arial"/>
      <w:b/>
      <w:bCs/>
      <w:color w:val="0033CC"/>
      <w:kern w:val="32"/>
      <w:sz w:val="28"/>
      <w:szCs w:val="28"/>
    </w:rPr>
  </w:style>
  <w:style w:type="paragraph" w:styleId="Header">
    <w:name w:val="header"/>
    <w:basedOn w:val="Normal"/>
    <w:link w:val="HeaderChar"/>
    <w:uiPriority w:val="99"/>
    <w:rsid w:val="00602473"/>
    <w:pPr>
      <w:tabs>
        <w:tab w:val="center" w:pos="4320"/>
        <w:tab w:val="right" w:pos="8640"/>
      </w:tabs>
    </w:pPr>
  </w:style>
  <w:style w:type="character" w:customStyle="1" w:styleId="HeaderChar">
    <w:name w:val="Header Char"/>
    <w:basedOn w:val="DefaultParagraphFont"/>
    <w:link w:val="Header"/>
    <w:uiPriority w:val="99"/>
    <w:semiHidden/>
    <w:locked/>
    <w:rsid w:val="00B75B5E"/>
    <w:rPr>
      <w:rFonts w:cs="Times New Roman"/>
      <w:sz w:val="24"/>
      <w:szCs w:val="24"/>
    </w:rPr>
  </w:style>
  <w:style w:type="paragraph" w:styleId="Footer">
    <w:name w:val="footer"/>
    <w:basedOn w:val="Normal"/>
    <w:link w:val="FooterChar"/>
    <w:uiPriority w:val="99"/>
    <w:rsid w:val="00602473"/>
    <w:pPr>
      <w:tabs>
        <w:tab w:val="center" w:pos="4320"/>
        <w:tab w:val="right" w:pos="8640"/>
      </w:tabs>
    </w:pPr>
  </w:style>
  <w:style w:type="character" w:customStyle="1" w:styleId="FooterChar">
    <w:name w:val="Footer Char"/>
    <w:basedOn w:val="DefaultParagraphFont"/>
    <w:link w:val="Footer"/>
    <w:uiPriority w:val="99"/>
    <w:locked/>
    <w:rsid w:val="00602473"/>
    <w:rPr>
      <w:rFonts w:cs="Times New Roman"/>
      <w:sz w:val="24"/>
      <w:szCs w:val="24"/>
      <w:lang w:val="en-US" w:eastAsia="en-US" w:bidi="ar-SA"/>
    </w:rPr>
  </w:style>
  <w:style w:type="paragraph" w:styleId="BodyText">
    <w:name w:val="Body Text"/>
    <w:basedOn w:val="Normal"/>
    <w:link w:val="BodyTextChar"/>
    <w:uiPriority w:val="99"/>
    <w:rsid w:val="00602473"/>
    <w:pPr>
      <w:spacing w:after="120"/>
    </w:pPr>
  </w:style>
  <w:style w:type="character" w:customStyle="1" w:styleId="BodyTextChar">
    <w:name w:val="Body Text Char"/>
    <w:basedOn w:val="DefaultParagraphFont"/>
    <w:link w:val="BodyText"/>
    <w:uiPriority w:val="99"/>
    <w:semiHidden/>
    <w:locked/>
    <w:rsid w:val="00B75B5E"/>
    <w:rPr>
      <w:rFonts w:cs="Times New Roman"/>
      <w:sz w:val="24"/>
      <w:szCs w:val="24"/>
    </w:rPr>
  </w:style>
  <w:style w:type="paragraph" w:customStyle="1" w:styleId="TableTextLeft">
    <w:name w:val="Table Text Left"/>
    <w:basedOn w:val="Normal"/>
    <w:uiPriority w:val="99"/>
    <w:rsid w:val="00602473"/>
    <w:pPr>
      <w:widowControl w:val="0"/>
      <w:spacing w:before="0" w:after="0" w:line="240" w:lineRule="atLeast"/>
      <w:ind w:left="0"/>
    </w:pPr>
  </w:style>
  <w:style w:type="character" w:styleId="PageNumber">
    <w:name w:val="page number"/>
    <w:basedOn w:val="DefaultParagraphFont"/>
    <w:uiPriority w:val="99"/>
    <w:rsid w:val="00602473"/>
    <w:rPr>
      <w:rFonts w:cs="Times New Roman"/>
    </w:rPr>
  </w:style>
  <w:style w:type="paragraph" w:styleId="BodyTextIndent2">
    <w:name w:val="Body Text Indent 2"/>
    <w:basedOn w:val="Normal"/>
    <w:link w:val="BodyTextIndent2Char"/>
    <w:uiPriority w:val="99"/>
    <w:rsid w:val="00602473"/>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B75B5E"/>
    <w:rPr>
      <w:rFonts w:cs="Times New Roman"/>
      <w:sz w:val="24"/>
      <w:szCs w:val="24"/>
    </w:rPr>
  </w:style>
  <w:style w:type="paragraph" w:customStyle="1" w:styleId="Body2">
    <w:name w:val="Body2"/>
    <w:basedOn w:val="Normal"/>
    <w:link w:val="Body2Char"/>
    <w:uiPriority w:val="99"/>
    <w:rsid w:val="00602473"/>
    <w:pPr>
      <w:widowControl w:val="0"/>
      <w:spacing w:before="120" w:after="0"/>
      <w:ind w:left="720" w:firstLine="0"/>
    </w:pPr>
  </w:style>
  <w:style w:type="character" w:customStyle="1" w:styleId="Body2Char">
    <w:name w:val="Body2 Char"/>
    <w:basedOn w:val="DefaultParagraphFont"/>
    <w:link w:val="Body2"/>
    <w:uiPriority w:val="99"/>
    <w:locked/>
    <w:rsid w:val="00602473"/>
    <w:rPr>
      <w:rFonts w:cs="Times New Roman"/>
      <w:sz w:val="24"/>
      <w:szCs w:val="24"/>
      <w:lang w:val="en-US" w:eastAsia="en-US" w:bidi="ar-SA"/>
    </w:rPr>
  </w:style>
  <w:style w:type="paragraph" w:customStyle="1" w:styleId="Body">
    <w:name w:val="Body"/>
    <w:basedOn w:val="Normal"/>
    <w:link w:val="BodyChar"/>
    <w:uiPriority w:val="99"/>
    <w:rsid w:val="00602473"/>
    <w:pPr>
      <w:widowControl w:val="0"/>
      <w:spacing w:before="120" w:after="0"/>
      <w:ind w:left="0" w:firstLine="0"/>
    </w:pPr>
    <w:rPr>
      <w:noProof/>
    </w:rPr>
  </w:style>
  <w:style w:type="character" w:customStyle="1" w:styleId="BodyChar">
    <w:name w:val="Body Char"/>
    <w:basedOn w:val="DefaultParagraphFont"/>
    <w:link w:val="Body"/>
    <w:uiPriority w:val="99"/>
    <w:locked/>
    <w:rsid w:val="00602473"/>
    <w:rPr>
      <w:rFonts w:cs="Times New Roman"/>
      <w:noProof/>
      <w:sz w:val="24"/>
      <w:szCs w:val="24"/>
      <w:lang w:val="en-US" w:eastAsia="en-US" w:bidi="ar-SA"/>
    </w:rPr>
  </w:style>
  <w:style w:type="character" w:styleId="Strong">
    <w:name w:val="Strong"/>
    <w:basedOn w:val="DefaultParagraphFont"/>
    <w:uiPriority w:val="99"/>
    <w:qFormat/>
    <w:rsid w:val="00602473"/>
    <w:rPr>
      <w:rFonts w:cs="Times New Roman"/>
      <w:b/>
      <w:bCs/>
      <w:sz w:val="28"/>
      <w:szCs w:val="28"/>
    </w:rPr>
  </w:style>
  <w:style w:type="paragraph" w:customStyle="1" w:styleId="Stong2">
    <w:name w:val="Stong2"/>
    <w:basedOn w:val="Normal"/>
    <w:link w:val="Stong2Char"/>
    <w:uiPriority w:val="99"/>
    <w:rsid w:val="00602473"/>
    <w:pPr>
      <w:ind w:left="0"/>
    </w:pPr>
    <w:rPr>
      <w:sz w:val="24"/>
    </w:rPr>
  </w:style>
  <w:style w:type="character" w:customStyle="1" w:styleId="Stong2Char">
    <w:name w:val="Stong2 Char"/>
    <w:basedOn w:val="DefaultParagraphFont"/>
    <w:link w:val="Stong2"/>
    <w:uiPriority w:val="99"/>
    <w:locked/>
    <w:rsid w:val="00602473"/>
    <w:rPr>
      <w:rFonts w:cs="Times New Roman"/>
      <w:sz w:val="24"/>
      <w:szCs w:val="24"/>
      <w:lang w:val="en-US" w:eastAsia="en-US" w:bidi="ar-SA"/>
    </w:rPr>
  </w:style>
  <w:style w:type="paragraph" w:customStyle="1" w:styleId="B2">
    <w:name w:val="B2"/>
    <w:basedOn w:val="Heading3"/>
    <w:link w:val="B2Char"/>
    <w:uiPriority w:val="99"/>
    <w:rsid w:val="00602473"/>
    <w:pPr>
      <w:numPr>
        <w:ilvl w:val="0"/>
        <w:numId w:val="3"/>
      </w:numPr>
      <w:spacing w:before="0" w:after="0"/>
      <w:ind w:left="1440"/>
    </w:pPr>
    <w:rPr>
      <w:rFonts w:ascii="Times New Roman" w:hAnsi="Times New Roman" w:cs="Times New Roman"/>
      <w:b w:val="0"/>
      <w:bCs w:val="0"/>
      <w:sz w:val="22"/>
      <w:szCs w:val="22"/>
    </w:rPr>
  </w:style>
  <w:style w:type="character" w:customStyle="1" w:styleId="B2Char">
    <w:name w:val="B2 Char"/>
    <w:basedOn w:val="DefaultParagraphFont"/>
    <w:link w:val="B2"/>
    <w:uiPriority w:val="99"/>
    <w:locked/>
    <w:rsid w:val="00602473"/>
  </w:style>
  <w:style w:type="paragraph" w:customStyle="1" w:styleId="B3">
    <w:name w:val="B3"/>
    <w:basedOn w:val="B2"/>
    <w:link w:val="B3Char"/>
    <w:uiPriority w:val="99"/>
    <w:rsid w:val="00602473"/>
    <w:pPr>
      <w:keepNext w:val="0"/>
      <w:widowControl w:val="0"/>
      <w:numPr>
        <w:numId w:val="1"/>
      </w:numPr>
      <w:suppressLineNumbers/>
      <w:tabs>
        <w:tab w:val="left" w:pos="1800"/>
      </w:tabs>
      <w:suppressAutoHyphens/>
      <w:spacing w:before="40"/>
    </w:pPr>
  </w:style>
  <w:style w:type="character" w:customStyle="1" w:styleId="B3Char">
    <w:name w:val="B3 Char"/>
    <w:basedOn w:val="B2Char"/>
    <w:link w:val="B3"/>
    <w:uiPriority w:val="99"/>
    <w:locked/>
    <w:rsid w:val="00602473"/>
  </w:style>
  <w:style w:type="paragraph" w:customStyle="1" w:styleId="B1">
    <w:name w:val="B1"/>
    <w:basedOn w:val="Normal"/>
    <w:link w:val="B1Char"/>
    <w:uiPriority w:val="99"/>
    <w:rsid w:val="00602473"/>
    <w:pPr>
      <w:widowControl w:val="0"/>
      <w:numPr>
        <w:numId w:val="2"/>
      </w:numPr>
      <w:spacing w:after="0"/>
    </w:pPr>
    <w:rPr>
      <w:kern w:val="32"/>
    </w:rPr>
  </w:style>
  <w:style w:type="character" w:customStyle="1" w:styleId="B1Char">
    <w:name w:val="B1 Char"/>
    <w:basedOn w:val="DefaultParagraphFont"/>
    <w:link w:val="B1"/>
    <w:uiPriority w:val="99"/>
    <w:locked/>
    <w:rsid w:val="00602473"/>
    <w:rPr>
      <w:kern w:val="32"/>
      <w:szCs w:val="24"/>
    </w:rPr>
  </w:style>
  <w:style w:type="paragraph" w:customStyle="1" w:styleId="StepLevel1">
    <w:name w:val="StepLevel1"/>
    <w:basedOn w:val="B2"/>
    <w:link w:val="StepLevel1Char"/>
    <w:uiPriority w:val="99"/>
    <w:rsid w:val="00602473"/>
    <w:pPr>
      <w:keepNext w:val="0"/>
      <w:widowControl w:val="0"/>
      <w:numPr>
        <w:numId w:val="0"/>
      </w:numPr>
      <w:ind w:left="360" w:hanging="360"/>
    </w:pPr>
  </w:style>
  <w:style w:type="character" w:customStyle="1" w:styleId="StepLevel1Char">
    <w:name w:val="StepLevel1 Char"/>
    <w:basedOn w:val="B2Char"/>
    <w:link w:val="StepLevel1"/>
    <w:uiPriority w:val="99"/>
    <w:locked/>
    <w:rsid w:val="00602473"/>
    <w:rPr>
      <w:rFonts w:cs="Times New Roman"/>
      <w:sz w:val="22"/>
      <w:szCs w:val="22"/>
      <w:lang w:val="en-US" w:eastAsia="en-US" w:bidi="ar-SA"/>
    </w:rPr>
  </w:style>
  <w:style w:type="paragraph" w:styleId="TOC1">
    <w:name w:val="toc 1"/>
    <w:basedOn w:val="Normal"/>
    <w:next w:val="Normal"/>
    <w:autoRedefine/>
    <w:uiPriority w:val="99"/>
    <w:rsid w:val="002F214F"/>
    <w:pPr>
      <w:ind w:left="0"/>
    </w:pPr>
  </w:style>
  <w:style w:type="paragraph" w:styleId="TOC2">
    <w:name w:val="toc 2"/>
    <w:basedOn w:val="Normal"/>
    <w:next w:val="Normal"/>
    <w:autoRedefine/>
    <w:uiPriority w:val="99"/>
    <w:rsid w:val="002F214F"/>
    <w:pPr>
      <w:ind w:left="220"/>
    </w:pPr>
  </w:style>
  <w:style w:type="paragraph" w:styleId="TOC3">
    <w:name w:val="toc 3"/>
    <w:basedOn w:val="Normal"/>
    <w:next w:val="Normal"/>
    <w:autoRedefine/>
    <w:uiPriority w:val="99"/>
    <w:rsid w:val="002F214F"/>
    <w:pPr>
      <w:ind w:left="440"/>
    </w:pPr>
  </w:style>
  <w:style w:type="character" w:styleId="Hyperlink">
    <w:name w:val="Hyperlink"/>
    <w:basedOn w:val="DefaultParagraphFont"/>
    <w:uiPriority w:val="99"/>
    <w:rsid w:val="002F214F"/>
    <w:rPr>
      <w:rFonts w:cs="Times New Roman"/>
      <w:color w:val="0000FF"/>
      <w:u w:val="single"/>
    </w:rPr>
  </w:style>
  <w:style w:type="table" w:styleId="TableGrid">
    <w:name w:val="Table Grid"/>
    <w:basedOn w:val="TableNormal"/>
    <w:uiPriority w:val="99"/>
    <w:rsid w:val="00E779D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locked/>
    <w:rsid w:val="00E26D4D"/>
    <w:rPr>
      <w:rFonts w:cs="Times New Roman"/>
      <w:color w:val="606420"/>
      <w:u w:val="single"/>
    </w:rPr>
  </w:style>
  <w:style w:type="paragraph" w:styleId="ListParagraph">
    <w:name w:val="List Paragraph"/>
    <w:basedOn w:val="Normal"/>
    <w:uiPriority w:val="99"/>
    <w:qFormat/>
    <w:rsid w:val="00A64021"/>
    <w:pPr>
      <w:spacing w:before="0" w:after="0"/>
      <w:ind w:left="720" w:firstLine="0"/>
      <w:contextualSpacing/>
    </w:pPr>
    <w:rPr>
      <w:sz w:val="24"/>
    </w:rPr>
  </w:style>
  <w:style w:type="paragraph" w:styleId="BalloonText">
    <w:name w:val="Balloon Text"/>
    <w:basedOn w:val="Normal"/>
    <w:link w:val="BalloonTextChar"/>
    <w:uiPriority w:val="99"/>
    <w:semiHidden/>
    <w:locked/>
    <w:rsid w:val="004E03E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E03ED"/>
    <w:rPr>
      <w:rFonts w:ascii="Tahoma" w:hAnsi="Tahoma" w:cs="Tahoma"/>
      <w:sz w:val="16"/>
      <w:szCs w:val="16"/>
    </w:rPr>
  </w:style>
  <w:style w:type="character" w:styleId="CommentReference">
    <w:name w:val="annotation reference"/>
    <w:basedOn w:val="DefaultParagraphFont"/>
    <w:uiPriority w:val="99"/>
    <w:semiHidden/>
    <w:locked/>
    <w:rsid w:val="005333E6"/>
    <w:rPr>
      <w:rFonts w:cs="Times New Roman"/>
      <w:sz w:val="16"/>
      <w:szCs w:val="16"/>
    </w:rPr>
  </w:style>
  <w:style w:type="paragraph" w:styleId="CommentText">
    <w:name w:val="annotation text"/>
    <w:basedOn w:val="Normal"/>
    <w:link w:val="CommentTextChar"/>
    <w:uiPriority w:val="99"/>
    <w:semiHidden/>
    <w:locked/>
    <w:rsid w:val="005333E6"/>
    <w:rPr>
      <w:sz w:val="20"/>
      <w:szCs w:val="20"/>
    </w:rPr>
  </w:style>
  <w:style w:type="character" w:customStyle="1" w:styleId="CommentTextChar">
    <w:name w:val="Comment Text Char"/>
    <w:basedOn w:val="DefaultParagraphFont"/>
    <w:link w:val="CommentText"/>
    <w:uiPriority w:val="99"/>
    <w:semiHidden/>
    <w:locked/>
    <w:rsid w:val="005333E6"/>
    <w:rPr>
      <w:rFonts w:cs="Times New Roman"/>
    </w:rPr>
  </w:style>
  <w:style w:type="paragraph" w:styleId="CommentSubject">
    <w:name w:val="annotation subject"/>
    <w:basedOn w:val="CommentText"/>
    <w:next w:val="CommentText"/>
    <w:link w:val="CommentSubjectChar"/>
    <w:uiPriority w:val="99"/>
    <w:semiHidden/>
    <w:locked/>
    <w:rsid w:val="005333E6"/>
    <w:rPr>
      <w:b/>
      <w:bCs/>
    </w:rPr>
  </w:style>
  <w:style w:type="character" w:customStyle="1" w:styleId="CommentSubjectChar">
    <w:name w:val="Comment Subject Char"/>
    <w:basedOn w:val="CommentTextChar"/>
    <w:link w:val="CommentSubject"/>
    <w:uiPriority w:val="99"/>
    <w:semiHidden/>
    <w:locked/>
    <w:rsid w:val="005333E6"/>
    <w:rPr>
      <w:rFonts w:cs="Times New Roman"/>
      <w:b/>
      <w:bCs/>
    </w:rPr>
  </w:style>
  <w:style w:type="paragraph" w:styleId="Revision">
    <w:name w:val="Revision"/>
    <w:hidden/>
    <w:uiPriority w:val="99"/>
    <w:semiHidden/>
    <w:rsid w:val="001F7D6E"/>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02473"/>
    <w:pPr>
      <w:spacing w:before="60" w:after="60"/>
      <w:ind w:left="1080" w:hanging="360"/>
    </w:pPr>
    <w:rPr>
      <w:szCs w:val="24"/>
    </w:rPr>
  </w:style>
  <w:style w:type="paragraph" w:styleId="Heading1">
    <w:name w:val="heading 1"/>
    <w:basedOn w:val="Normal"/>
    <w:next w:val="Normal"/>
    <w:link w:val="Heading1Char1"/>
    <w:uiPriority w:val="99"/>
    <w:qFormat/>
    <w:rsid w:val="002B3A68"/>
    <w:pPr>
      <w:widowControl w:val="0"/>
      <w:numPr>
        <w:numId w:val="4"/>
      </w:numPr>
      <w:suppressLineNumbers/>
      <w:suppressAutoHyphens/>
      <w:spacing w:before="0"/>
      <w:outlineLvl w:val="0"/>
    </w:pPr>
    <w:rPr>
      <w:rFonts w:ascii="Times New Roman Bold" w:hAnsi="Times New Roman Bold" w:cs="Arial"/>
      <w:b/>
      <w:bCs/>
      <w:color w:val="0033CC"/>
      <w:kern w:val="32"/>
      <w:sz w:val="28"/>
      <w:szCs w:val="28"/>
    </w:rPr>
  </w:style>
  <w:style w:type="paragraph" w:styleId="Heading2">
    <w:name w:val="heading 2"/>
    <w:basedOn w:val="Normal"/>
    <w:next w:val="Normal"/>
    <w:link w:val="Heading2Char"/>
    <w:uiPriority w:val="99"/>
    <w:qFormat/>
    <w:rsid w:val="00DE39F7"/>
    <w:pPr>
      <w:widowControl w:val="0"/>
      <w:numPr>
        <w:ilvl w:val="1"/>
        <w:numId w:val="4"/>
      </w:numPr>
      <w:suppressLineNumbers/>
      <w:tabs>
        <w:tab w:val="left" w:pos="900"/>
      </w:tabs>
      <w:suppressAutoHyphens/>
      <w:spacing w:before="120" w:after="0"/>
      <w:outlineLvl w:val="1"/>
    </w:pPr>
    <w:rPr>
      <w:rFonts w:cs="Arial"/>
      <w:b/>
      <w:bCs/>
      <w:iCs/>
      <w:color w:val="0070C0"/>
      <w:sz w:val="28"/>
      <w:szCs w:val="28"/>
    </w:rPr>
  </w:style>
  <w:style w:type="paragraph" w:styleId="Heading3">
    <w:name w:val="heading 3"/>
    <w:basedOn w:val="Normal"/>
    <w:next w:val="Normal"/>
    <w:link w:val="Heading3Char"/>
    <w:uiPriority w:val="99"/>
    <w:qFormat/>
    <w:rsid w:val="00602473"/>
    <w:pPr>
      <w:keepNext/>
      <w:numPr>
        <w:ilvl w:val="2"/>
        <w:numId w:val="4"/>
      </w:numPr>
      <w:spacing w:before="240"/>
      <w:outlineLvl w:val="2"/>
    </w:pPr>
    <w:rPr>
      <w:rFonts w:ascii="Arial" w:hAnsi="Arial" w:cs="Arial"/>
      <w:b/>
      <w:bCs/>
      <w:sz w:val="26"/>
      <w:szCs w:val="26"/>
    </w:rPr>
  </w:style>
  <w:style w:type="paragraph" w:styleId="Heading4">
    <w:name w:val="heading 4"/>
    <w:basedOn w:val="Normal"/>
    <w:next w:val="Normal"/>
    <w:link w:val="Heading4Char"/>
    <w:uiPriority w:val="99"/>
    <w:qFormat/>
    <w:rsid w:val="00602473"/>
    <w:pPr>
      <w:keepNext/>
      <w:numPr>
        <w:ilvl w:val="3"/>
        <w:numId w:val="4"/>
      </w:numPr>
      <w:spacing w:before="240"/>
      <w:outlineLvl w:val="3"/>
    </w:pPr>
    <w:rPr>
      <w:b/>
      <w:bCs/>
      <w:color w:val="E36C0A"/>
      <w:sz w:val="24"/>
    </w:rPr>
  </w:style>
  <w:style w:type="paragraph" w:styleId="Heading5">
    <w:name w:val="heading 5"/>
    <w:basedOn w:val="Normal"/>
    <w:next w:val="Normal"/>
    <w:link w:val="Heading5Char"/>
    <w:uiPriority w:val="99"/>
    <w:qFormat/>
    <w:rsid w:val="00602473"/>
    <w:pPr>
      <w:keepNext/>
      <w:numPr>
        <w:ilvl w:val="4"/>
        <w:numId w:val="4"/>
      </w:numPr>
      <w:spacing w:before="240"/>
      <w:outlineLvl w:val="4"/>
    </w:pPr>
    <w:rPr>
      <w:b/>
      <w:bCs/>
      <w:color w:val="0070C0"/>
      <w:sz w:val="24"/>
    </w:rPr>
  </w:style>
  <w:style w:type="paragraph" w:styleId="Heading6">
    <w:name w:val="heading 6"/>
    <w:basedOn w:val="Normal"/>
    <w:next w:val="Normal"/>
    <w:link w:val="Heading6Char"/>
    <w:uiPriority w:val="99"/>
    <w:qFormat/>
    <w:rsid w:val="002B3A68"/>
    <w:pPr>
      <w:keepNext/>
      <w:numPr>
        <w:ilvl w:val="5"/>
        <w:numId w:val="4"/>
      </w:numPr>
      <w:outlineLvl w:val="5"/>
    </w:pPr>
    <w:rPr>
      <w:u w:val="single"/>
    </w:rPr>
  </w:style>
  <w:style w:type="paragraph" w:styleId="Heading7">
    <w:name w:val="heading 7"/>
    <w:basedOn w:val="Normal"/>
    <w:next w:val="Normal"/>
    <w:link w:val="Heading7Char"/>
    <w:uiPriority w:val="99"/>
    <w:qFormat/>
    <w:rsid w:val="002B3A68"/>
    <w:pPr>
      <w:keepNext/>
      <w:numPr>
        <w:ilvl w:val="6"/>
        <w:numId w:val="4"/>
      </w:numPr>
      <w:outlineLvl w:val="6"/>
    </w:pPr>
    <w:rPr>
      <w:b/>
    </w:rPr>
  </w:style>
  <w:style w:type="paragraph" w:styleId="Heading8">
    <w:name w:val="heading 8"/>
    <w:basedOn w:val="Normal"/>
    <w:next w:val="Normal"/>
    <w:link w:val="Heading8Char"/>
    <w:uiPriority w:val="99"/>
    <w:qFormat/>
    <w:rsid w:val="002B3A68"/>
    <w:pPr>
      <w:keepNext/>
      <w:numPr>
        <w:ilvl w:val="7"/>
        <w:numId w:val="4"/>
      </w:numPr>
      <w:outlineLvl w:val="7"/>
    </w:pPr>
    <w:rPr>
      <w:b/>
      <w:bCs/>
      <w:sz w:val="32"/>
    </w:rPr>
  </w:style>
  <w:style w:type="paragraph" w:styleId="Heading9">
    <w:name w:val="heading 9"/>
    <w:basedOn w:val="Normal"/>
    <w:next w:val="Normal"/>
    <w:link w:val="Heading9Char"/>
    <w:uiPriority w:val="99"/>
    <w:qFormat/>
    <w:rsid w:val="002B3A68"/>
    <w:pPr>
      <w:numPr>
        <w:ilvl w:val="8"/>
        <w:numId w:val="4"/>
      </w:numPr>
      <w:spacing w:before="24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9"/>
    <w:locked/>
    <w:rsid w:val="00C80AA5"/>
    <w:rPr>
      <w:rFonts w:ascii="Cambria" w:hAnsi="Cambria" w:cs="Times New Roman"/>
      <w:b/>
      <w:bCs/>
      <w:kern w:val="32"/>
      <w:sz w:val="32"/>
      <w:szCs w:val="32"/>
    </w:rPr>
  </w:style>
  <w:style w:type="character" w:customStyle="1" w:styleId="Heading2Char">
    <w:name w:val="Heading 2 Char"/>
    <w:basedOn w:val="DefaultParagraphFont"/>
    <w:link w:val="Heading2"/>
    <w:uiPriority w:val="99"/>
    <w:locked/>
    <w:rsid w:val="00DE39F7"/>
    <w:rPr>
      <w:rFonts w:cs="Arial"/>
      <w:b/>
      <w:bCs/>
      <w:iCs/>
      <w:color w:val="0070C0"/>
      <w:sz w:val="28"/>
      <w:szCs w:val="28"/>
    </w:rPr>
  </w:style>
  <w:style w:type="character" w:customStyle="1" w:styleId="Heading3Char">
    <w:name w:val="Heading 3 Char"/>
    <w:basedOn w:val="DefaultParagraphFont"/>
    <w:link w:val="Heading3"/>
    <w:uiPriority w:val="99"/>
    <w:locked/>
    <w:rsid w:val="00B75B5E"/>
    <w:rPr>
      <w:rFonts w:ascii="Arial" w:hAnsi="Arial" w:cs="Arial"/>
      <w:b/>
      <w:bCs/>
      <w:sz w:val="26"/>
      <w:szCs w:val="26"/>
    </w:rPr>
  </w:style>
  <w:style w:type="character" w:customStyle="1" w:styleId="Heading4Char">
    <w:name w:val="Heading 4 Char"/>
    <w:basedOn w:val="DefaultParagraphFont"/>
    <w:link w:val="Heading4"/>
    <w:uiPriority w:val="99"/>
    <w:locked/>
    <w:rsid w:val="00602473"/>
    <w:rPr>
      <w:b/>
      <w:bCs/>
      <w:color w:val="E36C0A"/>
      <w:sz w:val="24"/>
      <w:szCs w:val="24"/>
    </w:rPr>
  </w:style>
  <w:style w:type="character" w:customStyle="1" w:styleId="Heading5Char">
    <w:name w:val="Heading 5 Char"/>
    <w:basedOn w:val="DefaultParagraphFont"/>
    <w:link w:val="Heading5"/>
    <w:uiPriority w:val="99"/>
    <w:locked/>
    <w:rsid w:val="00B75B5E"/>
    <w:rPr>
      <w:b/>
      <w:bCs/>
      <w:color w:val="0070C0"/>
      <w:sz w:val="24"/>
      <w:szCs w:val="24"/>
    </w:rPr>
  </w:style>
  <w:style w:type="character" w:customStyle="1" w:styleId="Heading6Char">
    <w:name w:val="Heading 6 Char"/>
    <w:basedOn w:val="DefaultParagraphFont"/>
    <w:link w:val="Heading6"/>
    <w:uiPriority w:val="99"/>
    <w:locked/>
    <w:rsid w:val="002B3A68"/>
    <w:rPr>
      <w:szCs w:val="24"/>
      <w:u w:val="single"/>
    </w:rPr>
  </w:style>
  <w:style w:type="character" w:customStyle="1" w:styleId="Heading7Char">
    <w:name w:val="Heading 7 Char"/>
    <w:basedOn w:val="DefaultParagraphFont"/>
    <w:link w:val="Heading7"/>
    <w:uiPriority w:val="99"/>
    <w:locked/>
    <w:rsid w:val="002B3A68"/>
    <w:rPr>
      <w:b/>
      <w:szCs w:val="24"/>
    </w:rPr>
  </w:style>
  <w:style w:type="character" w:customStyle="1" w:styleId="Heading8Char">
    <w:name w:val="Heading 8 Char"/>
    <w:basedOn w:val="DefaultParagraphFont"/>
    <w:link w:val="Heading8"/>
    <w:uiPriority w:val="99"/>
    <w:locked/>
    <w:rsid w:val="002B3A68"/>
    <w:rPr>
      <w:b/>
      <w:bCs/>
      <w:sz w:val="32"/>
      <w:szCs w:val="24"/>
    </w:rPr>
  </w:style>
  <w:style w:type="character" w:customStyle="1" w:styleId="Heading9Char">
    <w:name w:val="Heading 9 Char"/>
    <w:basedOn w:val="DefaultParagraphFont"/>
    <w:link w:val="Heading9"/>
    <w:uiPriority w:val="99"/>
    <w:locked/>
    <w:rsid w:val="002B3A68"/>
    <w:rPr>
      <w:rFonts w:ascii="Arial" w:hAnsi="Arial" w:cs="Arial"/>
      <w:szCs w:val="24"/>
    </w:rPr>
  </w:style>
  <w:style w:type="character" w:customStyle="1" w:styleId="Heading1Char1">
    <w:name w:val="Heading 1 Char1"/>
    <w:basedOn w:val="DefaultParagraphFont"/>
    <w:link w:val="Heading1"/>
    <w:uiPriority w:val="99"/>
    <w:locked/>
    <w:rsid w:val="002B3A68"/>
    <w:rPr>
      <w:rFonts w:ascii="Times New Roman Bold" w:hAnsi="Times New Roman Bold" w:cs="Arial"/>
      <w:b/>
      <w:bCs/>
      <w:color w:val="0033CC"/>
      <w:kern w:val="32"/>
      <w:sz w:val="28"/>
      <w:szCs w:val="28"/>
    </w:rPr>
  </w:style>
  <w:style w:type="paragraph" w:styleId="Header">
    <w:name w:val="header"/>
    <w:basedOn w:val="Normal"/>
    <w:link w:val="HeaderChar"/>
    <w:uiPriority w:val="99"/>
    <w:rsid w:val="00602473"/>
    <w:pPr>
      <w:tabs>
        <w:tab w:val="center" w:pos="4320"/>
        <w:tab w:val="right" w:pos="8640"/>
      </w:tabs>
    </w:pPr>
  </w:style>
  <w:style w:type="character" w:customStyle="1" w:styleId="HeaderChar">
    <w:name w:val="Header Char"/>
    <w:basedOn w:val="DefaultParagraphFont"/>
    <w:link w:val="Header"/>
    <w:uiPriority w:val="99"/>
    <w:semiHidden/>
    <w:locked/>
    <w:rsid w:val="00B75B5E"/>
    <w:rPr>
      <w:rFonts w:cs="Times New Roman"/>
      <w:sz w:val="24"/>
      <w:szCs w:val="24"/>
    </w:rPr>
  </w:style>
  <w:style w:type="paragraph" w:styleId="Footer">
    <w:name w:val="footer"/>
    <w:basedOn w:val="Normal"/>
    <w:link w:val="FooterChar"/>
    <w:uiPriority w:val="99"/>
    <w:rsid w:val="00602473"/>
    <w:pPr>
      <w:tabs>
        <w:tab w:val="center" w:pos="4320"/>
        <w:tab w:val="right" w:pos="8640"/>
      </w:tabs>
    </w:pPr>
  </w:style>
  <w:style w:type="character" w:customStyle="1" w:styleId="FooterChar">
    <w:name w:val="Footer Char"/>
    <w:basedOn w:val="DefaultParagraphFont"/>
    <w:link w:val="Footer"/>
    <w:uiPriority w:val="99"/>
    <w:locked/>
    <w:rsid w:val="00602473"/>
    <w:rPr>
      <w:rFonts w:cs="Times New Roman"/>
      <w:sz w:val="24"/>
      <w:szCs w:val="24"/>
      <w:lang w:val="en-US" w:eastAsia="en-US" w:bidi="ar-SA"/>
    </w:rPr>
  </w:style>
  <w:style w:type="paragraph" w:styleId="BodyText">
    <w:name w:val="Body Text"/>
    <w:basedOn w:val="Normal"/>
    <w:link w:val="BodyTextChar"/>
    <w:uiPriority w:val="99"/>
    <w:rsid w:val="00602473"/>
    <w:pPr>
      <w:spacing w:after="120"/>
    </w:pPr>
  </w:style>
  <w:style w:type="character" w:customStyle="1" w:styleId="BodyTextChar">
    <w:name w:val="Body Text Char"/>
    <w:basedOn w:val="DefaultParagraphFont"/>
    <w:link w:val="BodyText"/>
    <w:uiPriority w:val="99"/>
    <w:semiHidden/>
    <w:locked/>
    <w:rsid w:val="00B75B5E"/>
    <w:rPr>
      <w:rFonts w:cs="Times New Roman"/>
      <w:sz w:val="24"/>
      <w:szCs w:val="24"/>
    </w:rPr>
  </w:style>
  <w:style w:type="paragraph" w:customStyle="1" w:styleId="TableTextLeft">
    <w:name w:val="Table Text Left"/>
    <w:basedOn w:val="Normal"/>
    <w:uiPriority w:val="99"/>
    <w:rsid w:val="00602473"/>
    <w:pPr>
      <w:widowControl w:val="0"/>
      <w:spacing w:before="0" w:after="0" w:line="240" w:lineRule="atLeast"/>
      <w:ind w:left="0"/>
    </w:pPr>
  </w:style>
  <w:style w:type="character" w:styleId="PageNumber">
    <w:name w:val="page number"/>
    <w:basedOn w:val="DefaultParagraphFont"/>
    <w:uiPriority w:val="99"/>
    <w:rsid w:val="00602473"/>
    <w:rPr>
      <w:rFonts w:cs="Times New Roman"/>
    </w:rPr>
  </w:style>
  <w:style w:type="paragraph" w:styleId="BodyTextIndent2">
    <w:name w:val="Body Text Indent 2"/>
    <w:basedOn w:val="Normal"/>
    <w:link w:val="BodyTextIndent2Char"/>
    <w:uiPriority w:val="99"/>
    <w:rsid w:val="00602473"/>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B75B5E"/>
    <w:rPr>
      <w:rFonts w:cs="Times New Roman"/>
      <w:sz w:val="24"/>
      <w:szCs w:val="24"/>
    </w:rPr>
  </w:style>
  <w:style w:type="paragraph" w:customStyle="1" w:styleId="Body2">
    <w:name w:val="Body2"/>
    <w:basedOn w:val="Normal"/>
    <w:link w:val="Body2Char"/>
    <w:uiPriority w:val="99"/>
    <w:rsid w:val="00602473"/>
    <w:pPr>
      <w:widowControl w:val="0"/>
      <w:spacing w:before="120" w:after="0"/>
      <w:ind w:left="720" w:firstLine="0"/>
    </w:pPr>
  </w:style>
  <w:style w:type="character" w:customStyle="1" w:styleId="Body2Char">
    <w:name w:val="Body2 Char"/>
    <w:basedOn w:val="DefaultParagraphFont"/>
    <w:link w:val="Body2"/>
    <w:uiPriority w:val="99"/>
    <w:locked/>
    <w:rsid w:val="00602473"/>
    <w:rPr>
      <w:rFonts w:cs="Times New Roman"/>
      <w:sz w:val="24"/>
      <w:szCs w:val="24"/>
      <w:lang w:val="en-US" w:eastAsia="en-US" w:bidi="ar-SA"/>
    </w:rPr>
  </w:style>
  <w:style w:type="paragraph" w:customStyle="1" w:styleId="Body">
    <w:name w:val="Body"/>
    <w:basedOn w:val="Normal"/>
    <w:link w:val="BodyChar"/>
    <w:uiPriority w:val="99"/>
    <w:rsid w:val="00602473"/>
    <w:pPr>
      <w:widowControl w:val="0"/>
      <w:spacing w:before="120" w:after="0"/>
      <w:ind w:left="0" w:firstLine="0"/>
    </w:pPr>
    <w:rPr>
      <w:noProof/>
    </w:rPr>
  </w:style>
  <w:style w:type="character" w:customStyle="1" w:styleId="BodyChar">
    <w:name w:val="Body Char"/>
    <w:basedOn w:val="DefaultParagraphFont"/>
    <w:link w:val="Body"/>
    <w:uiPriority w:val="99"/>
    <w:locked/>
    <w:rsid w:val="00602473"/>
    <w:rPr>
      <w:rFonts w:cs="Times New Roman"/>
      <w:noProof/>
      <w:sz w:val="24"/>
      <w:szCs w:val="24"/>
      <w:lang w:val="en-US" w:eastAsia="en-US" w:bidi="ar-SA"/>
    </w:rPr>
  </w:style>
  <w:style w:type="character" w:styleId="Strong">
    <w:name w:val="Strong"/>
    <w:basedOn w:val="DefaultParagraphFont"/>
    <w:uiPriority w:val="99"/>
    <w:qFormat/>
    <w:rsid w:val="00602473"/>
    <w:rPr>
      <w:rFonts w:cs="Times New Roman"/>
      <w:b/>
      <w:bCs/>
      <w:sz w:val="28"/>
      <w:szCs w:val="28"/>
    </w:rPr>
  </w:style>
  <w:style w:type="paragraph" w:customStyle="1" w:styleId="Stong2">
    <w:name w:val="Stong2"/>
    <w:basedOn w:val="Normal"/>
    <w:link w:val="Stong2Char"/>
    <w:uiPriority w:val="99"/>
    <w:rsid w:val="00602473"/>
    <w:pPr>
      <w:ind w:left="0"/>
    </w:pPr>
    <w:rPr>
      <w:sz w:val="24"/>
    </w:rPr>
  </w:style>
  <w:style w:type="character" w:customStyle="1" w:styleId="Stong2Char">
    <w:name w:val="Stong2 Char"/>
    <w:basedOn w:val="DefaultParagraphFont"/>
    <w:link w:val="Stong2"/>
    <w:uiPriority w:val="99"/>
    <w:locked/>
    <w:rsid w:val="00602473"/>
    <w:rPr>
      <w:rFonts w:cs="Times New Roman"/>
      <w:sz w:val="24"/>
      <w:szCs w:val="24"/>
      <w:lang w:val="en-US" w:eastAsia="en-US" w:bidi="ar-SA"/>
    </w:rPr>
  </w:style>
  <w:style w:type="paragraph" w:customStyle="1" w:styleId="B2">
    <w:name w:val="B2"/>
    <w:basedOn w:val="Heading3"/>
    <w:link w:val="B2Char"/>
    <w:uiPriority w:val="99"/>
    <w:rsid w:val="00602473"/>
    <w:pPr>
      <w:numPr>
        <w:ilvl w:val="0"/>
        <w:numId w:val="3"/>
      </w:numPr>
      <w:spacing w:before="0" w:after="0"/>
      <w:ind w:left="1440"/>
    </w:pPr>
    <w:rPr>
      <w:rFonts w:ascii="Times New Roman" w:hAnsi="Times New Roman" w:cs="Times New Roman"/>
      <w:b w:val="0"/>
      <w:bCs w:val="0"/>
      <w:sz w:val="22"/>
      <w:szCs w:val="22"/>
    </w:rPr>
  </w:style>
  <w:style w:type="character" w:customStyle="1" w:styleId="B2Char">
    <w:name w:val="B2 Char"/>
    <w:basedOn w:val="DefaultParagraphFont"/>
    <w:link w:val="B2"/>
    <w:uiPriority w:val="99"/>
    <w:locked/>
    <w:rsid w:val="00602473"/>
  </w:style>
  <w:style w:type="paragraph" w:customStyle="1" w:styleId="B3">
    <w:name w:val="B3"/>
    <w:basedOn w:val="B2"/>
    <w:link w:val="B3Char"/>
    <w:uiPriority w:val="99"/>
    <w:rsid w:val="00602473"/>
    <w:pPr>
      <w:keepNext w:val="0"/>
      <w:widowControl w:val="0"/>
      <w:numPr>
        <w:numId w:val="1"/>
      </w:numPr>
      <w:suppressLineNumbers/>
      <w:tabs>
        <w:tab w:val="left" w:pos="1800"/>
      </w:tabs>
      <w:suppressAutoHyphens/>
      <w:spacing w:before="40"/>
    </w:pPr>
  </w:style>
  <w:style w:type="character" w:customStyle="1" w:styleId="B3Char">
    <w:name w:val="B3 Char"/>
    <w:basedOn w:val="B2Char"/>
    <w:link w:val="B3"/>
    <w:uiPriority w:val="99"/>
    <w:locked/>
    <w:rsid w:val="00602473"/>
  </w:style>
  <w:style w:type="paragraph" w:customStyle="1" w:styleId="B1">
    <w:name w:val="B1"/>
    <w:basedOn w:val="Normal"/>
    <w:link w:val="B1Char"/>
    <w:uiPriority w:val="99"/>
    <w:rsid w:val="00602473"/>
    <w:pPr>
      <w:widowControl w:val="0"/>
      <w:numPr>
        <w:numId w:val="2"/>
      </w:numPr>
      <w:spacing w:after="0"/>
    </w:pPr>
    <w:rPr>
      <w:kern w:val="32"/>
    </w:rPr>
  </w:style>
  <w:style w:type="character" w:customStyle="1" w:styleId="B1Char">
    <w:name w:val="B1 Char"/>
    <w:basedOn w:val="DefaultParagraphFont"/>
    <w:link w:val="B1"/>
    <w:uiPriority w:val="99"/>
    <w:locked/>
    <w:rsid w:val="00602473"/>
    <w:rPr>
      <w:kern w:val="32"/>
      <w:szCs w:val="24"/>
    </w:rPr>
  </w:style>
  <w:style w:type="paragraph" w:customStyle="1" w:styleId="StepLevel1">
    <w:name w:val="StepLevel1"/>
    <w:basedOn w:val="B2"/>
    <w:link w:val="StepLevel1Char"/>
    <w:uiPriority w:val="99"/>
    <w:rsid w:val="00602473"/>
    <w:pPr>
      <w:keepNext w:val="0"/>
      <w:widowControl w:val="0"/>
      <w:numPr>
        <w:numId w:val="0"/>
      </w:numPr>
      <w:ind w:left="360" w:hanging="360"/>
    </w:pPr>
  </w:style>
  <w:style w:type="character" w:customStyle="1" w:styleId="StepLevel1Char">
    <w:name w:val="StepLevel1 Char"/>
    <w:basedOn w:val="B2Char"/>
    <w:link w:val="StepLevel1"/>
    <w:uiPriority w:val="99"/>
    <w:locked/>
    <w:rsid w:val="00602473"/>
    <w:rPr>
      <w:rFonts w:cs="Times New Roman"/>
      <w:sz w:val="22"/>
      <w:szCs w:val="22"/>
      <w:lang w:val="en-US" w:eastAsia="en-US" w:bidi="ar-SA"/>
    </w:rPr>
  </w:style>
  <w:style w:type="paragraph" w:styleId="TOC1">
    <w:name w:val="toc 1"/>
    <w:basedOn w:val="Normal"/>
    <w:next w:val="Normal"/>
    <w:autoRedefine/>
    <w:uiPriority w:val="99"/>
    <w:rsid w:val="002F214F"/>
    <w:pPr>
      <w:ind w:left="0"/>
    </w:pPr>
  </w:style>
  <w:style w:type="paragraph" w:styleId="TOC2">
    <w:name w:val="toc 2"/>
    <w:basedOn w:val="Normal"/>
    <w:next w:val="Normal"/>
    <w:autoRedefine/>
    <w:uiPriority w:val="99"/>
    <w:rsid w:val="002F214F"/>
    <w:pPr>
      <w:ind w:left="220"/>
    </w:pPr>
  </w:style>
  <w:style w:type="paragraph" w:styleId="TOC3">
    <w:name w:val="toc 3"/>
    <w:basedOn w:val="Normal"/>
    <w:next w:val="Normal"/>
    <w:autoRedefine/>
    <w:uiPriority w:val="99"/>
    <w:rsid w:val="002F214F"/>
    <w:pPr>
      <w:ind w:left="440"/>
    </w:pPr>
  </w:style>
  <w:style w:type="character" w:styleId="Hyperlink">
    <w:name w:val="Hyperlink"/>
    <w:basedOn w:val="DefaultParagraphFont"/>
    <w:uiPriority w:val="99"/>
    <w:rsid w:val="002F214F"/>
    <w:rPr>
      <w:rFonts w:cs="Times New Roman"/>
      <w:color w:val="0000FF"/>
      <w:u w:val="single"/>
    </w:rPr>
  </w:style>
  <w:style w:type="table" w:styleId="TableGrid">
    <w:name w:val="Table Grid"/>
    <w:basedOn w:val="TableNormal"/>
    <w:uiPriority w:val="99"/>
    <w:rsid w:val="00E779D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locked/>
    <w:rsid w:val="00E26D4D"/>
    <w:rPr>
      <w:rFonts w:cs="Times New Roman"/>
      <w:color w:val="606420"/>
      <w:u w:val="single"/>
    </w:rPr>
  </w:style>
  <w:style w:type="paragraph" w:styleId="ListParagraph">
    <w:name w:val="List Paragraph"/>
    <w:basedOn w:val="Normal"/>
    <w:uiPriority w:val="99"/>
    <w:qFormat/>
    <w:rsid w:val="00A64021"/>
    <w:pPr>
      <w:spacing w:before="0" w:after="0"/>
      <w:ind w:left="720" w:firstLine="0"/>
      <w:contextualSpacing/>
    </w:pPr>
    <w:rPr>
      <w:sz w:val="24"/>
    </w:rPr>
  </w:style>
  <w:style w:type="paragraph" w:styleId="BalloonText">
    <w:name w:val="Balloon Text"/>
    <w:basedOn w:val="Normal"/>
    <w:link w:val="BalloonTextChar"/>
    <w:uiPriority w:val="99"/>
    <w:semiHidden/>
    <w:locked/>
    <w:rsid w:val="004E03E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E03ED"/>
    <w:rPr>
      <w:rFonts w:ascii="Tahoma" w:hAnsi="Tahoma" w:cs="Tahoma"/>
      <w:sz w:val="16"/>
      <w:szCs w:val="16"/>
    </w:rPr>
  </w:style>
  <w:style w:type="character" w:styleId="CommentReference">
    <w:name w:val="annotation reference"/>
    <w:basedOn w:val="DefaultParagraphFont"/>
    <w:uiPriority w:val="99"/>
    <w:semiHidden/>
    <w:locked/>
    <w:rsid w:val="005333E6"/>
    <w:rPr>
      <w:rFonts w:cs="Times New Roman"/>
      <w:sz w:val="16"/>
      <w:szCs w:val="16"/>
    </w:rPr>
  </w:style>
  <w:style w:type="paragraph" w:styleId="CommentText">
    <w:name w:val="annotation text"/>
    <w:basedOn w:val="Normal"/>
    <w:link w:val="CommentTextChar"/>
    <w:uiPriority w:val="99"/>
    <w:semiHidden/>
    <w:locked/>
    <w:rsid w:val="005333E6"/>
    <w:rPr>
      <w:sz w:val="20"/>
      <w:szCs w:val="20"/>
    </w:rPr>
  </w:style>
  <w:style w:type="character" w:customStyle="1" w:styleId="CommentTextChar">
    <w:name w:val="Comment Text Char"/>
    <w:basedOn w:val="DefaultParagraphFont"/>
    <w:link w:val="CommentText"/>
    <w:uiPriority w:val="99"/>
    <w:semiHidden/>
    <w:locked/>
    <w:rsid w:val="005333E6"/>
    <w:rPr>
      <w:rFonts w:cs="Times New Roman"/>
    </w:rPr>
  </w:style>
  <w:style w:type="paragraph" w:styleId="CommentSubject">
    <w:name w:val="annotation subject"/>
    <w:basedOn w:val="CommentText"/>
    <w:next w:val="CommentText"/>
    <w:link w:val="CommentSubjectChar"/>
    <w:uiPriority w:val="99"/>
    <w:semiHidden/>
    <w:locked/>
    <w:rsid w:val="005333E6"/>
    <w:rPr>
      <w:b/>
      <w:bCs/>
    </w:rPr>
  </w:style>
  <w:style w:type="character" w:customStyle="1" w:styleId="CommentSubjectChar">
    <w:name w:val="Comment Subject Char"/>
    <w:basedOn w:val="CommentTextChar"/>
    <w:link w:val="CommentSubject"/>
    <w:uiPriority w:val="99"/>
    <w:semiHidden/>
    <w:locked/>
    <w:rsid w:val="005333E6"/>
    <w:rPr>
      <w:rFonts w:cs="Times New Roman"/>
      <w:b/>
      <w:bCs/>
    </w:rPr>
  </w:style>
  <w:style w:type="paragraph" w:styleId="Revision">
    <w:name w:val="Revision"/>
    <w:hidden/>
    <w:uiPriority w:val="99"/>
    <w:semiHidden/>
    <w:rsid w:val="001F7D6E"/>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package" Target="embeddings/Microsoft_Excel_Worksheet1.xls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21</Pages>
  <Words>4891</Words>
  <Characters>27885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American International Group</Company>
  <LinksUpToDate>false</LinksUpToDate>
  <CharactersWithSpaces>32711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creator>American International Group</dc:creator>
  <cp:lastModifiedBy>Bongiovanni, Nick</cp:lastModifiedBy>
  <cp:revision>5</cp:revision>
  <cp:lastPrinted>2014-02-20T19:07:00Z</cp:lastPrinted>
  <dcterms:created xsi:type="dcterms:W3CDTF">2017-05-08T15:05:00Z</dcterms:created>
  <dcterms:modified xsi:type="dcterms:W3CDTF">2017-07-20T17:54:00Z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-1431635875</vt:i4>
  </property>
</Properties>
</file>