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Security Control Testing and Penetration Simulation</w:t>
      </w:r>
    </w:p>
    <w:p>
      <w:pPr>
        <w:pStyle w:val="Subtitle"/>
      </w:pPr>
      <w:r>
        <w:t>Week 3 Technical Penetration Testing Report</w:t>
      </w:r>
    </w:p>
    <w:p>
      <w:r>
        <w:t>Prepared by: [Student name]    |    Student ID: [Enter ID]</w:t>
      </w:r>
    </w:p>
    <w:p>
      <w:r>
        <w:t>Course or organisation: [Enter name]    |    Report date: 16 October 2026</w:t>
      </w:r>
    </w:p>
    <w:p>
      <w:pPr>
        <w:pStyle w:val="Heading2"/>
      </w:pPr>
      <w:r>
        <w:t>Executive summary</w:t>
      </w:r>
    </w:p>
    <w:p>
      <w:r>
        <w:t>This report provides a controlled laboratory penetration testing methodology for evaluating network, application and access controls. It documents five illustrative vulnerability scenarios, bounded exploitation procedures, risk assessments and specific remediation and retesting criteria.</w:t>
      </w:r>
    </w:p>
    <w:p>
      <w:r>
        <w:t>Assessment status: This is a simulated worked example and testing report template. No target environment, scan output, HTTP traffic or screenshots were supplied, and no penetration tests were executed for this document. All findings and outcomes below are illustrative, not verified discoveries. Replace them with actual observations before claiming completion of the practical assessment.</w:t>
      </w:r>
    </w:p>
    <w:p>
      <w:r>
        <w:t>The scenario assumes an intentionally vulnerable training application containing only synthetic records. The highest priorities are preventing injection into database queries and enforcing server-side access decisions. Restricting management services, encoding untrusted output and invalidating sessions provide additional protection.</w:t>
      </w:r>
    </w:p>
    <w:p>
      <w:pPr>
        <w:pStyle w:val="Heading2"/>
      </w:pPr>
      <w:r>
        <w:t>Illustrative findings at a glance</w:t>
      </w:r>
    </w:p>
    <w:tbl>
      <w:tblPr>
        <w:tblW w:type="auto" w:w="0"/>
        <w:tblLayout w:type="fixed"/>
        <w:tblLook w:firstColumn="1" w:firstRow="1" w:lastColumn="0" w:lastRow="0" w:noHBand="0" w:noVBand="1" w:val="04A0"/>
      </w:tblPr>
      <w:tblGrid>
        <w:gridCol w:w="720"/>
        <w:gridCol w:w="6912"/>
        <w:gridCol w:w="2160"/>
      </w:tblGrid>
      <w:tr>
        <w:trPr>
          <w:cantSplit/>
          <w:tblHeader/>
        </w:trPr>
        <w:tc>
          <w:tcPr>
            <w:tcW w:type="dxa" w:w="720"/>
            <w:shd w:fill="DCE6F1"/>
            <w:tcBorders>
              <w:top w:val="single" w:sz="4" w:color="D9D9D9"/>
              <w:left w:val="single" w:sz="4" w:color="D9D9D9"/>
              <w:bottom w:val="single" w:sz="4" w:color="D9D9D9"/>
              <w:right w:val="single" w:sz="4" w:color="D9D9D9"/>
            </w:tcBorders>
          </w:tcPr>
          <w:p>
            <w:pPr>
              <w:spacing w:after="100" w:before="100"/>
            </w:pPr>
            <w:r>
              <w:rPr>
                <w:b/>
                <w:sz w:val="20"/>
              </w:rPr>
              <w:t>ID</w:t>
            </w:r>
          </w:p>
        </w:tc>
        <w:tc>
          <w:tcPr>
            <w:tcW w:type="dxa" w:w="6912"/>
            <w:shd w:fill="DCE6F1"/>
            <w:tcBorders>
              <w:top w:val="single" w:sz="4" w:color="D9D9D9"/>
              <w:left w:val="single" w:sz="4" w:color="D9D9D9"/>
              <w:bottom w:val="single" w:sz="4" w:color="D9D9D9"/>
              <w:right w:val="single" w:sz="4" w:color="D9D9D9"/>
            </w:tcBorders>
          </w:tcPr>
          <w:p>
            <w:pPr>
              <w:spacing w:after="100" w:before="100"/>
            </w:pPr>
            <w:r>
              <w:rPr>
                <w:b/>
                <w:sz w:val="20"/>
              </w:rPr>
              <w:t>Control weakness</w:t>
            </w:r>
          </w:p>
        </w:tc>
        <w:tc>
          <w:tcPr>
            <w:tcW w:type="dxa" w:w="2160"/>
            <w:shd w:fill="DCE6F1"/>
            <w:tcBorders>
              <w:top w:val="single" w:sz="4" w:color="D9D9D9"/>
              <w:left w:val="single" w:sz="4" w:color="D9D9D9"/>
              <w:bottom w:val="single" w:sz="4" w:color="D9D9D9"/>
              <w:right w:val="single" w:sz="4" w:color="D9D9D9"/>
            </w:tcBorders>
          </w:tcPr>
          <w:p>
            <w:pPr>
              <w:spacing w:after="100" w:before="100"/>
            </w:pPr>
            <w:r>
              <w:rPr>
                <w:b/>
                <w:sz w:val="20"/>
              </w:rPr>
              <w:t>Scenario risk</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100" w:before="100"/>
            </w:pPr>
            <w:r>
              <w:rPr>
                <w:b w:val="0"/>
                <w:sz w:val="20"/>
              </w:rPr>
              <w:t>F01</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Unrestricted management service exposure</w:t>
            </w:r>
          </w:p>
        </w:tc>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20"/>
              </w:rPr>
              <w:t>Medium 9</w:t>
            </w:r>
          </w:p>
        </w:tc>
      </w:tr>
      <w:tr>
        <w:trPr>
          <w:cantSplit/>
        </w:trPr>
        <w:tc>
          <w:tcPr>
            <w:tcW w:type="dxa" w:w="720"/>
            <w:shd w:fill="F5F5F5"/>
            <w:tcBorders>
              <w:top w:val="single" w:sz="4" w:color="D9D9D9"/>
              <w:left w:val="single" w:sz="4" w:color="D9D9D9"/>
              <w:bottom w:val="single" w:sz="4" w:color="D9D9D9"/>
              <w:right w:val="single" w:sz="4" w:color="D9D9D9"/>
            </w:tcBorders>
          </w:tcPr>
          <w:p>
            <w:pPr>
              <w:spacing w:after="100" w:before="100"/>
            </w:pPr>
            <w:r>
              <w:rPr>
                <w:b w:val="0"/>
                <w:sz w:val="20"/>
              </w:rPr>
              <w:t>F02</w:t>
            </w:r>
          </w:p>
        </w:tc>
        <w:tc>
          <w:tcPr>
            <w:tcW w:type="dxa" w:w="6912"/>
            <w:shd w:fill="F5F5F5"/>
            <w:tcBorders>
              <w:top w:val="single" w:sz="4" w:color="D9D9D9"/>
              <w:left w:val="single" w:sz="4" w:color="D9D9D9"/>
              <w:bottom w:val="single" w:sz="4" w:color="D9D9D9"/>
              <w:right w:val="single" w:sz="4" w:color="D9D9D9"/>
            </w:tcBorders>
          </w:tcPr>
          <w:p>
            <w:pPr>
              <w:spacing w:after="100" w:before="100"/>
            </w:pPr>
            <w:r>
              <w:rPr>
                <w:b w:val="0"/>
                <w:sz w:val="20"/>
              </w:rPr>
              <w:t>SQL injection in a search parameter</w:t>
            </w:r>
          </w:p>
        </w:tc>
        <w:tc>
          <w:tcPr>
            <w:tcW w:type="dxa" w:w="2160"/>
            <w:shd w:fill="F5F5F5"/>
            <w:tcBorders>
              <w:top w:val="single" w:sz="4" w:color="D9D9D9"/>
              <w:left w:val="single" w:sz="4" w:color="D9D9D9"/>
              <w:bottom w:val="single" w:sz="4" w:color="D9D9D9"/>
              <w:right w:val="single" w:sz="4" w:color="D9D9D9"/>
            </w:tcBorders>
          </w:tcPr>
          <w:p>
            <w:pPr>
              <w:spacing w:after="100" w:before="100"/>
            </w:pPr>
            <w:r>
              <w:rPr>
                <w:b w:val="0"/>
                <w:sz w:val="20"/>
              </w:rPr>
              <w:t>High 20</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100" w:before="100"/>
            </w:pPr>
            <w:r>
              <w:rPr>
                <w:b w:val="0"/>
                <w:sz w:val="20"/>
              </w:rPr>
              <w:t>F03</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Missing object level authorization</w:t>
            </w:r>
          </w:p>
        </w:tc>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20"/>
              </w:rPr>
              <w:t>High 16</w:t>
            </w:r>
          </w:p>
        </w:tc>
      </w:tr>
      <w:tr>
        <w:trPr>
          <w:cantSplit/>
        </w:trPr>
        <w:tc>
          <w:tcPr>
            <w:tcW w:type="dxa" w:w="720"/>
            <w:shd w:fill="F5F5F5"/>
            <w:tcBorders>
              <w:top w:val="single" w:sz="4" w:color="D9D9D9"/>
              <w:left w:val="single" w:sz="4" w:color="D9D9D9"/>
              <w:bottom w:val="single" w:sz="4" w:color="D9D9D9"/>
              <w:right w:val="single" w:sz="4" w:color="D9D9D9"/>
            </w:tcBorders>
          </w:tcPr>
          <w:p>
            <w:pPr>
              <w:spacing w:after="100" w:before="100"/>
            </w:pPr>
            <w:r>
              <w:rPr>
                <w:b w:val="0"/>
                <w:sz w:val="20"/>
              </w:rPr>
              <w:t>F04</w:t>
            </w:r>
          </w:p>
        </w:tc>
        <w:tc>
          <w:tcPr>
            <w:tcW w:type="dxa" w:w="6912"/>
            <w:shd w:fill="F5F5F5"/>
            <w:tcBorders>
              <w:top w:val="single" w:sz="4" w:color="D9D9D9"/>
              <w:left w:val="single" w:sz="4" w:color="D9D9D9"/>
              <w:bottom w:val="single" w:sz="4" w:color="D9D9D9"/>
              <w:right w:val="single" w:sz="4" w:color="D9D9D9"/>
            </w:tcBorders>
          </w:tcPr>
          <w:p>
            <w:pPr>
              <w:spacing w:after="100" w:before="100"/>
            </w:pPr>
            <w:r>
              <w:rPr>
                <w:b w:val="0"/>
                <w:sz w:val="20"/>
              </w:rPr>
              <w:t>Reflected cross site scripting</w:t>
            </w:r>
          </w:p>
        </w:tc>
        <w:tc>
          <w:tcPr>
            <w:tcW w:type="dxa" w:w="2160"/>
            <w:shd w:fill="F5F5F5"/>
            <w:tcBorders>
              <w:top w:val="single" w:sz="4" w:color="D9D9D9"/>
              <w:left w:val="single" w:sz="4" w:color="D9D9D9"/>
              <w:bottom w:val="single" w:sz="4" w:color="D9D9D9"/>
              <w:right w:val="single" w:sz="4" w:color="D9D9D9"/>
            </w:tcBorders>
          </w:tcPr>
          <w:p>
            <w:pPr>
              <w:spacing w:after="100" w:before="100"/>
            </w:pPr>
            <w:r>
              <w:rPr>
                <w:b w:val="0"/>
                <w:sz w:val="20"/>
              </w:rPr>
              <w:t>Medium 9</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100" w:before="100"/>
            </w:pPr>
            <w:r>
              <w:rPr>
                <w:b w:val="0"/>
                <w:sz w:val="20"/>
              </w:rPr>
              <w:t>F05</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Session remains valid after logout</w:t>
            </w:r>
          </w:p>
        </w:tc>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20"/>
              </w:rPr>
              <w:t>Medium 12</w:t>
            </w:r>
          </w:p>
        </w:tc>
      </w:tr>
    </w:tbl>
    <w:p/>
    <w:p>
      <w:r>
        <w:t>Ratings use the report’s qualitative likelihood × impact model, not CVSS. There are no verified findings or completed retests in this version.</w:t>
      </w:r>
    </w:p>
    <w:p>
      <w:pPr>
        <w:pStyle w:val="Heading1"/>
        <w:pageBreakBefore/>
      </w:pPr>
      <w:r>
        <w:t>1 Scope and rules of engagement</w:t>
      </w:r>
    </w:p>
    <w:p>
      <w:pPr>
        <w:pStyle w:val="Heading2"/>
      </w:pPr>
      <w:r>
        <w:t>Proposed laboratory</w:t>
      </w:r>
    </w:p>
    <w:p>
      <w:r>
        <w:t>Use an isolated host-only virtual network with a tester VM and an intentionally vulnerable web application VM. A suitable training application may be DVWA or an instructor-provided equivalent. The example API used for F03 requires a two-user training fixture; it must not be assumed to exist in every application.</w:t>
      </w:r>
    </w:p>
    <w:tbl>
      <w:tblPr>
        <w:tblW w:type="auto" w:w="0"/>
        <w:tblLayout w:type="fixed"/>
        <w:tblLook w:firstColumn="1" w:firstRow="1" w:lastColumn="0" w:lastRow="0" w:noHBand="0" w:noVBand="1" w:val="04A0"/>
      </w:tblPr>
      <w:tblGrid>
        <w:gridCol w:w="2016"/>
        <w:gridCol w:w="2304"/>
        <w:gridCol w:w="5472"/>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100" w:before="100"/>
            </w:pPr>
            <w:r>
              <w:rPr>
                <w:b/>
                <w:sz w:val="20"/>
              </w:rPr>
              <w:t>Asset</w:t>
            </w:r>
          </w:p>
        </w:tc>
        <w:tc>
          <w:tcPr>
            <w:tcW w:type="dxa" w:w="2304"/>
            <w:shd w:fill="DCE6F1"/>
            <w:tcBorders>
              <w:top w:val="single" w:sz="4" w:color="D9D9D9"/>
              <w:left w:val="single" w:sz="4" w:color="D9D9D9"/>
              <w:bottom w:val="single" w:sz="4" w:color="D9D9D9"/>
              <w:right w:val="single" w:sz="4" w:color="D9D9D9"/>
            </w:tcBorders>
          </w:tcPr>
          <w:p>
            <w:pPr>
              <w:spacing w:after="100" w:before="100"/>
            </w:pPr>
            <w:r>
              <w:rPr>
                <w:b/>
                <w:sz w:val="20"/>
              </w:rPr>
              <w:t>Example address</w:t>
            </w:r>
          </w:p>
        </w:tc>
        <w:tc>
          <w:tcPr>
            <w:tcW w:type="dxa" w:w="5472"/>
            <w:shd w:fill="DCE6F1"/>
            <w:tcBorders>
              <w:top w:val="single" w:sz="4" w:color="D9D9D9"/>
              <w:left w:val="single" w:sz="4" w:color="D9D9D9"/>
              <w:bottom w:val="single" w:sz="4" w:color="D9D9D9"/>
              <w:right w:val="single" w:sz="4" w:color="D9D9D9"/>
            </w:tcBorders>
          </w:tcPr>
          <w:p>
            <w:pPr>
              <w:spacing w:after="100" w:before="100"/>
            </w:pPr>
            <w:r>
              <w:rPr>
                <w:b/>
                <w:sz w:val="20"/>
              </w:rPr>
              <w:t>Approved purpose</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Tester VM</w:t>
            </w:r>
          </w:p>
        </w:tc>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20"/>
              </w:rPr>
              <w:t>192.168.56.10</w:t>
            </w:r>
          </w:p>
        </w:tc>
        <w:tc>
          <w:tcPr>
            <w:tcW w:type="dxa" w:w="5472"/>
            <w:shd w:fill="FFFFFF"/>
            <w:tcBorders>
              <w:top w:val="single" w:sz="4" w:color="D9D9D9"/>
              <w:left w:val="single" w:sz="4" w:color="D9D9D9"/>
              <w:bottom w:val="single" w:sz="4" w:color="D9D9D9"/>
              <w:right w:val="single" w:sz="4" w:color="D9D9D9"/>
            </w:tcBorders>
          </w:tcPr>
          <w:p>
            <w:pPr>
              <w:spacing w:after="100" w:before="100"/>
            </w:pPr>
            <w:r>
              <w:rPr>
                <w:b w:val="0"/>
                <w:sz w:val="20"/>
              </w:rPr>
              <w:t>Browser, proxy and network checks</w:t>
            </w:r>
          </w:p>
        </w:tc>
      </w:tr>
      <w:tr>
        <w:trPr>
          <w:cantSplit/>
        </w:trPr>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Training server</w:t>
            </w:r>
          </w:p>
        </w:tc>
        <w:tc>
          <w:tcPr>
            <w:tcW w:type="dxa" w:w="2304"/>
            <w:shd w:fill="F5F5F5"/>
            <w:tcBorders>
              <w:top w:val="single" w:sz="4" w:color="D9D9D9"/>
              <w:left w:val="single" w:sz="4" w:color="D9D9D9"/>
              <w:bottom w:val="single" w:sz="4" w:color="D9D9D9"/>
              <w:right w:val="single" w:sz="4" w:color="D9D9D9"/>
            </w:tcBorders>
          </w:tcPr>
          <w:p>
            <w:pPr>
              <w:spacing w:after="100" w:before="100"/>
            </w:pPr>
            <w:r>
              <w:rPr>
                <w:b w:val="0"/>
                <w:sz w:val="20"/>
              </w:rPr>
              <w:t>192.168.56.20</w:t>
            </w:r>
          </w:p>
        </w:tc>
        <w:tc>
          <w:tcPr>
            <w:tcW w:type="dxa" w:w="5472"/>
            <w:shd w:fill="F5F5F5"/>
            <w:tcBorders>
              <w:top w:val="single" w:sz="4" w:color="D9D9D9"/>
              <w:left w:val="single" w:sz="4" w:color="D9D9D9"/>
              <w:bottom w:val="single" w:sz="4" w:color="D9D9D9"/>
              <w:right w:val="single" w:sz="4" w:color="D9D9D9"/>
            </w:tcBorders>
          </w:tcPr>
          <w:p>
            <w:pPr>
              <w:spacing w:after="100" w:before="100"/>
            </w:pPr>
            <w:r>
              <w:rPr>
                <w:b w:val="0"/>
                <w:sz w:val="20"/>
              </w:rPr>
              <w:t>Web app and selected service tests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Accounts</w:t>
            </w:r>
          </w:p>
        </w:tc>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20"/>
              </w:rPr>
              <w:t>student_a and student_b</w:t>
            </w:r>
          </w:p>
        </w:tc>
        <w:tc>
          <w:tcPr>
            <w:tcW w:type="dxa" w:w="5472"/>
            <w:shd w:fill="FFFFFF"/>
            <w:tcBorders>
              <w:top w:val="single" w:sz="4" w:color="D9D9D9"/>
              <w:left w:val="single" w:sz="4" w:color="D9D9D9"/>
              <w:bottom w:val="single" w:sz="4" w:color="D9D9D9"/>
              <w:right w:val="single" w:sz="4" w:color="D9D9D9"/>
            </w:tcBorders>
          </w:tcPr>
          <w:p>
            <w:pPr>
              <w:spacing w:after="100" w:before="100"/>
            </w:pPr>
            <w:r>
              <w:rPr>
                <w:b w:val="0"/>
                <w:sz w:val="20"/>
              </w:rPr>
              <w:t>Synthetic records with separate owners</w:t>
            </w:r>
          </w:p>
        </w:tc>
      </w:tr>
    </w:tbl>
    <w:p/>
    <w:p>
      <w:r>
        <w:t>Addresses, endpoints and account names are proposed placeholders. Confirm the actual inventory and replace them before execution. Do not copy these addresses into a connected workplace or public network without confirming ownership and scope.</w:t>
      </w:r>
    </w:p>
    <w:p>
      <w:pPr>
        <w:pStyle w:val="Heading2"/>
      </w:pPr>
      <w:r>
        <w:t>Authorization and boundaries</w:t>
      </w:r>
    </w:p>
    <w:p>
      <w:r>
        <w:t>1. Record the lab owner, tester, approved target IPs, test window and emergency contact. Obtain the instructor’s authorization for the selected training environment.</w:t>
      </w:r>
    </w:p>
    <w:p>
      <w:r>
        <w:t>2. Take a clean VM snapshot and create two ordinary test accounts. Populate only synthetic data. Keep the vulnerable VM off bridged and publicly reachable networks.</w:t>
      </w:r>
    </w:p>
    <w:p>
      <w:r>
        <w:t>3. Allow only the listed network checks and non-destructive web tests. Exclude denial of service, phishing, password spraying, persistence, destructive SQL, real data extraction and other hosts.</w:t>
      </w:r>
    </w:p>
    <w:p>
      <w:r>
        <w:t>4. Pause if an unexpected host responds, real personal data appears, the service becomes unstable or the owner requests a stop. Preserve relevant evidence and notify the owner.</w:t>
      </w:r>
    </w:p>
    <w:p>
      <w:r>
        <w:t>5. Remove test records, terminate test sessions and revert or secure the vulnerable configuration after testing. Do not delete audit logs needed for review.</w:t>
      </w:r>
    </w:p>
    <w:p>
      <w:pPr>
        <w:pStyle w:val="Heading2"/>
      </w:pPr>
      <w:r>
        <w:t>Pretest record to complete</w:t>
      </w:r>
    </w:p>
    <w:p>
      <w:r>
        <w:t>Lab owner: [Name]   Tester: [Name]   Authorization reference: [Reference]</w:t>
        <w:br/>
        <w:t>Start and end time with timezone: [Times]</w:t>
        <w:br/>
        <w:t>Snapshot identifier: [ID]   Actual application and version: [Details]</w:t>
        <w:br/>
        <w:t>Emergency contact and stop procedure: [Details]</w:t>
      </w:r>
    </w:p>
    <w:p>
      <w:pPr>
        <w:pStyle w:val="Heading1"/>
        <w:pageBreakBefore/>
      </w:pPr>
      <w:r>
        <w:t>2 Methodology and execution plan</w:t>
      </w:r>
    </w:p>
    <w:p>
      <w:r>
        <w:t>The assessment uses selected OWASP Web Security Testing Guide v4.2 categories for configuration, input validation, authorization and session testing [1–4]. Coverage is deliberately limited to the approved exercises below; it is not a full OWASP assessment or certification.</w:t>
      </w:r>
    </w:p>
    <w:tbl>
      <w:tblPr>
        <w:tblW w:type="auto" w:w="0"/>
        <w:tblLayout w:type="fixed"/>
        <w:tblLook w:firstColumn="1" w:firstRow="1" w:lastColumn="0" w:lastRow="0" w:noHBand="0" w:noVBand="1" w:val="04A0"/>
      </w:tblPr>
      <w:tblGrid>
        <w:gridCol w:w="2016"/>
        <w:gridCol w:w="6480"/>
        <w:gridCol w:w="1296"/>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100" w:before="100"/>
            </w:pPr>
            <w:r>
              <w:rPr>
                <w:b/>
                <w:sz w:val="20"/>
              </w:rPr>
              <w:t>Phase</w:t>
            </w:r>
          </w:p>
        </w:tc>
        <w:tc>
          <w:tcPr>
            <w:tcW w:type="dxa" w:w="6480"/>
            <w:shd w:fill="DCE6F1"/>
            <w:tcBorders>
              <w:top w:val="single" w:sz="4" w:color="D9D9D9"/>
              <w:left w:val="single" w:sz="4" w:color="D9D9D9"/>
              <w:bottom w:val="single" w:sz="4" w:color="D9D9D9"/>
              <w:right w:val="single" w:sz="4" w:color="D9D9D9"/>
            </w:tcBorders>
          </w:tcPr>
          <w:p>
            <w:pPr>
              <w:spacing w:after="100" w:before="100"/>
            </w:pPr>
            <w:r>
              <w:rPr>
                <w:b/>
                <w:sz w:val="20"/>
              </w:rPr>
              <w:t>Procedure and output</w:t>
            </w:r>
          </w:p>
        </w:tc>
        <w:tc>
          <w:tcPr>
            <w:tcW w:type="dxa" w:w="1296"/>
            <w:shd w:fill="DCE6F1"/>
            <w:tcBorders>
              <w:top w:val="single" w:sz="4" w:color="D9D9D9"/>
              <w:left w:val="single" w:sz="4" w:color="D9D9D9"/>
              <w:bottom w:val="single" w:sz="4" w:color="D9D9D9"/>
              <w:right w:val="single" w:sz="4" w:color="D9D9D9"/>
            </w:tcBorders>
          </w:tcPr>
          <w:p>
            <w:pPr>
              <w:spacing w:after="100" w:before="100"/>
            </w:pPr>
            <w:r>
              <w:rPr>
                <w:b/>
                <w:sz w:val="20"/>
              </w:rPr>
              <w:t>Planned hours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Preparation</w:t>
            </w:r>
          </w:p>
        </w:tc>
        <w:tc>
          <w:tcPr>
            <w:tcW w:type="dxa" w:w="6480"/>
            <w:shd w:fill="FFFFFF"/>
            <w:tcBorders>
              <w:top w:val="single" w:sz="4" w:color="D9D9D9"/>
              <w:left w:val="single" w:sz="4" w:color="D9D9D9"/>
              <w:bottom w:val="single" w:sz="4" w:color="D9D9D9"/>
              <w:right w:val="single" w:sz="4" w:color="D9D9D9"/>
            </w:tcBorders>
          </w:tcPr>
          <w:p>
            <w:pPr>
              <w:spacing w:after="100" w:before="100"/>
            </w:pPr>
            <w:r>
              <w:rPr>
                <w:b w:val="0"/>
                <w:sz w:val="20"/>
              </w:rPr>
              <w:t>Confirm scope, isolate VMs, snapshot and seed records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4</w:t>
            </w:r>
          </w:p>
        </w:tc>
      </w:tr>
      <w:tr>
        <w:trPr>
          <w:cantSplit/>
        </w:trPr>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Discovery</w:t>
            </w:r>
          </w:p>
        </w:tc>
        <w:tc>
          <w:tcPr>
            <w:tcW w:type="dxa" w:w="6480"/>
            <w:shd w:fill="F5F5F5"/>
            <w:tcBorders>
              <w:top w:val="single" w:sz="4" w:color="D9D9D9"/>
              <w:left w:val="single" w:sz="4" w:color="D9D9D9"/>
              <w:bottom w:val="single" w:sz="4" w:color="D9D9D9"/>
              <w:right w:val="single" w:sz="4" w:color="D9D9D9"/>
            </w:tcBorders>
          </w:tcPr>
          <w:p>
            <w:pPr>
              <w:spacing w:after="100" w:before="100"/>
            </w:pPr>
            <w:r>
              <w:rPr>
                <w:b w:val="0"/>
                <w:sz w:val="20"/>
              </w:rPr>
              <w:t>Inventory selected ports and map application requests</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4</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Control testing</w:t>
            </w:r>
          </w:p>
        </w:tc>
        <w:tc>
          <w:tcPr>
            <w:tcW w:type="dxa" w:w="6480"/>
            <w:shd w:fill="FFFFFF"/>
            <w:tcBorders>
              <w:top w:val="single" w:sz="4" w:color="D9D9D9"/>
              <w:left w:val="single" w:sz="4" w:color="D9D9D9"/>
              <w:bottom w:val="single" w:sz="4" w:color="D9D9D9"/>
              <w:right w:val="single" w:sz="4" w:color="D9D9D9"/>
            </w:tcBorders>
          </w:tcPr>
          <w:p>
            <w:pPr>
              <w:spacing w:after="100" w:before="100"/>
            </w:pPr>
            <w:r>
              <w:rPr>
                <w:b w:val="0"/>
                <w:sz w:val="20"/>
              </w:rPr>
              <w:t>Run network, input and authorization checks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9</w:t>
            </w:r>
          </w:p>
        </w:tc>
      </w:tr>
      <w:tr>
        <w:trPr>
          <w:cantSplit/>
        </w:trPr>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Validation</w:t>
            </w:r>
          </w:p>
        </w:tc>
        <w:tc>
          <w:tcPr>
            <w:tcW w:type="dxa" w:w="6480"/>
            <w:shd w:fill="F5F5F5"/>
            <w:tcBorders>
              <w:top w:val="single" w:sz="4" w:color="D9D9D9"/>
              <w:left w:val="single" w:sz="4" w:color="D9D9D9"/>
              <w:bottom w:val="single" w:sz="4" w:color="D9D9D9"/>
              <w:right w:val="single" w:sz="4" w:color="D9D9D9"/>
            </w:tcBorders>
          </w:tcPr>
          <w:p>
            <w:pPr>
              <w:spacing w:after="100" w:before="100"/>
            </w:pPr>
            <w:r>
              <w:rPr>
                <w:b w:val="0"/>
                <w:sz w:val="20"/>
              </w:rPr>
              <w:t>Reproduce suspected weaknesses with control requests</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5</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Remediation and retest</w:t>
            </w:r>
          </w:p>
        </w:tc>
        <w:tc>
          <w:tcPr>
            <w:tcW w:type="dxa" w:w="6480"/>
            <w:shd w:fill="FFFFFF"/>
            <w:tcBorders>
              <w:top w:val="single" w:sz="4" w:color="D9D9D9"/>
              <w:left w:val="single" w:sz="4" w:color="D9D9D9"/>
              <w:bottom w:val="single" w:sz="4" w:color="D9D9D9"/>
              <w:right w:val="single" w:sz="4" w:color="D9D9D9"/>
            </w:tcBorders>
          </w:tcPr>
          <w:p>
            <w:pPr>
              <w:spacing w:after="100" w:before="100"/>
            </w:pPr>
            <w:r>
              <w:rPr>
                <w:b w:val="0"/>
                <w:sz w:val="20"/>
              </w:rPr>
              <w:t>Apply lab fixes and repeat positive and negative tests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5</w:t>
            </w:r>
          </w:p>
        </w:tc>
      </w:tr>
      <w:tr>
        <w:trPr>
          <w:cantSplit/>
        </w:trPr>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Reporting</w:t>
            </w:r>
          </w:p>
        </w:tc>
        <w:tc>
          <w:tcPr>
            <w:tcW w:type="dxa" w:w="6480"/>
            <w:shd w:fill="F5F5F5"/>
            <w:tcBorders>
              <w:top w:val="single" w:sz="4" w:color="D9D9D9"/>
              <w:left w:val="single" w:sz="4" w:color="D9D9D9"/>
              <w:bottom w:val="single" w:sz="4" w:color="D9D9D9"/>
              <w:right w:val="single" w:sz="4" w:color="D9D9D9"/>
            </w:tcBorders>
          </w:tcPr>
          <w:p>
            <w:pPr>
              <w:spacing w:after="100" w:before="100"/>
            </w:pPr>
            <w:r>
              <w:rPr>
                <w:b w:val="0"/>
                <w:sz w:val="20"/>
              </w:rPr>
              <w:t>Organize evidence, assess risk and review conclusions</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6</w:t>
            </w:r>
          </w:p>
        </w:tc>
      </w:tr>
    </w:tbl>
    <w:p/>
    <w:p>
      <w:r>
        <w:t>Total planned effort: 33 hours. This is an allocation within the task’s 30–35 hour estimate, not a record of hours worked. Enter actual effort after completing the lab.</w:t>
      </w:r>
    </w:p>
    <w:p>
      <w:pPr>
        <w:pStyle w:val="Heading2"/>
      </w:pPr>
      <w:r>
        <w:t>Step by step workflow</w:t>
      </w:r>
    </w:p>
    <w:p>
      <w:r>
        <w:t>1. Record versions of Nmap, the browser, the intercepting proxy and the training application. Configure the proxy only for the laboratory browser profile.</w:t>
      </w:r>
    </w:p>
    <w:p>
      <w:r>
        <w:t>2. Browse normal user workflows and capture a successful baseline request for each test. Identify the account, endpoint, parameter and expected permissions.</w:t>
      </w:r>
    </w:p>
    <w:p>
      <w:r>
        <w:t>3. Run the bounded network scan in F01. Compare exposed services with the intended access policy; an open port alone does not establish a vulnerability.</w:t>
      </w:r>
    </w:p>
    <w:p>
      <w:r>
        <w:t>4. For each application test, change one input or security condition at a time. Compare a baseline, a test request and a negative control. Record status codes and response bodies.</w:t>
      </w:r>
    </w:p>
    <w:p>
      <w:r>
        <w:t>5. Stop each proof of concept once the control failure is demonstrated. Avoid harvesting records or extending access beyond the approved demonstration.</w:t>
      </w:r>
    </w:p>
    <w:p>
      <w:r>
        <w:t>6. Correlate client requests with server access, application and authentication logs. Assign a finding only when the evidence supports the stated behavior.</w:t>
      </w:r>
    </w:p>
    <w:p>
      <w:r>
        <w:t>7. Apply a remediation in a cloned or snapshotted lab, retest the original condition and verify legitimate functionality. Record fixed, partially fixed, open or not retested.</w:t>
      </w:r>
    </w:p>
    <w:p>
      <w:pPr>
        <w:pStyle w:val="Heading1"/>
        <w:pageBreakBefore/>
      </w:pPr>
      <w:r>
        <w:t>3 Evidence and reporting standards</w:t>
      </w:r>
    </w:p>
    <w:p>
      <w:r>
        <w:t>No execution screenshots or logs are embedded because none were provided. The following register specifies the evidence to capture. Do not use reconstructed terminal output as proof that a test was run.</w:t>
      </w:r>
    </w:p>
    <w:tbl>
      <w:tblPr>
        <w:tblW w:type="auto" w:w="0"/>
        <w:tblLayout w:type="fixed"/>
        <w:tblLook w:firstColumn="1" w:firstRow="1" w:lastColumn="0" w:lastRow="0" w:noHBand="0" w:noVBand="1" w:val="04A0"/>
      </w:tblPr>
      <w:tblGrid>
        <w:gridCol w:w="1008"/>
        <w:gridCol w:w="7488"/>
        <w:gridCol w:w="1296"/>
      </w:tblGrid>
      <w:tr>
        <w:trPr>
          <w:cantSplit/>
          <w:tblHeader/>
        </w:trPr>
        <w:tc>
          <w:tcPr>
            <w:tcW w:type="dxa" w:w="1008"/>
            <w:shd w:fill="DCE6F1"/>
            <w:tcBorders>
              <w:top w:val="single" w:sz="4" w:color="D9D9D9"/>
              <w:left w:val="single" w:sz="4" w:color="D9D9D9"/>
              <w:bottom w:val="single" w:sz="4" w:color="D9D9D9"/>
              <w:right w:val="single" w:sz="4" w:color="D9D9D9"/>
            </w:tcBorders>
          </w:tcPr>
          <w:p>
            <w:pPr>
              <w:spacing w:after="100" w:before="100"/>
            </w:pPr>
            <w:r>
              <w:rPr>
                <w:b/>
                <w:sz w:val="20"/>
              </w:rPr>
              <w:t>Evidence</w:t>
            </w:r>
          </w:p>
        </w:tc>
        <w:tc>
          <w:tcPr>
            <w:tcW w:type="dxa" w:w="7488"/>
            <w:shd w:fill="DCE6F1"/>
            <w:tcBorders>
              <w:top w:val="single" w:sz="4" w:color="D9D9D9"/>
              <w:left w:val="single" w:sz="4" w:color="D9D9D9"/>
              <w:bottom w:val="single" w:sz="4" w:color="D9D9D9"/>
              <w:right w:val="single" w:sz="4" w:color="D9D9D9"/>
            </w:tcBorders>
          </w:tcPr>
          <w:p>
            <w:pPr>
              <w:spacing w:after="100" w:before="100"/>
            </w:pPr>
            <w:r>
              <w:rPr>
                <w:b/>
                <w:sz w:val="20"/>
              </w:rPr>
              <w:t>Required artifact</w:t>
            </w:r>
          </w:p>
        </w:tc>
        <w:tc>
          <w:tcPr>
            <w:tcW w:type="dxa" w:w="1296"/>
            <w:shd w:fill="DCE6F1"/>
            <w:tcBorders>
              <w:top w:val="single" w:sz="4" w:color="D9D9D9"/>
              <w:left w:val="single" w:sz="4" w:color="D9D9D9"/>
              <w:bottom w:val="single" w:sz="4" w:color="D9D9D9"/>
              <w:right w:val="single" w:sz="4" w:color="D9D9D9"/>
            </w:tcBorders>
          </w:tcPr>
          <w:p>
            <w:pPr>
              <w:spacing w:after="100" w:before="100"/>
            </w:pPr>
            <w:r>
              <w:rPr>
                <w:b/>
                <w:sz w:val="20"/>
              </w:rPr>
              <w:t>Status</w:t>
            </w:r>
          </w:p>
        </w:tc>
      </w:tr>
      <w:tr>
        <w:trPr>
          <w:cantSplit/>
        </w:trP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sz w:val="20"/>
              </w:rPr>
              <w:t>E01</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Lab topology, scope approval and snapshot details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5F5F5"/>
            <w:tcBorders>
              <w:top w:val="single" w:sz="4" w:color="D9D9D9"/>
              <w:left w:val="single" w:sz="4" w:color="D9D9D9"/>
              <w:bottom w:val="single" w:sz="4" w:color="D9D9D9"/>
              <w:right w:val="single" w:sz="4" w:color="D9D9D9"/>
            </w:tcBorders>
          </w:tcPr>
          <w:p>
            <w:pPr>
              <w:spacing w:after="100" w:before="100"/>
            </w:pPr>
            <w:r>
              <w:rPr>
                <w:b w:val="0"/>
                <w:sz w:val="20"/>
              </w:rPr>
              <w:t>E02</w:t>
            </w:r>
          </w:p>
        </w:tc>
        <w:tc>
          <w:tcPr>
            <w:tcW w:type="dxa" w:w="7488"/>
            <w:shd w:fill="F5F5F5"/>
            <w:tcBorders>
              <w:top w:val="single" w:sz="4" w:color="D9D9D9"/>
              <w:left w:val="single" w:sz="4" w:color="D9D9D9"/>
              <w:bottom w:val="single" w:sz="4" w:color="D9D9D9"/>
              <w:right w:val="single" w:sz="4" w:color="D9D9D9"/>
            </w:tcBorders>
          </w:tcPr>
          <w:p>
            <w:pPr>
              <w:spacing w:after="100" w:before="100"/>
            </w:pPr>
            <w:r>
              <w:rPr>
                <w:b w:val="0"/>
                <w:sz w:val="20"/>
              </w:rPr>
              <w:t>Selected port scan output and firewall policy</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sz w:val="20"/>
              </w:rPr>
              <w:t>E03</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SQL baseline, true and false request pairs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5F5F5"/>
            <w:tcBorders>
              <w:top w:val="single" w:sz="4" w:color="D9D9D9"/>
              <w:left w:val="single" w:sz="4" w:color="D9D9D9"/>
              <w:bottom w:val="single" w:sz="4" w:color="D9D9D9"/>
              <w:right w:val="single" w:sz="4" w:color="D9D9D9"/>
            </w:tcBorders>
          </w:tcPr>
          <w:p>
            <w:pPr>
              <w:spacing w:after="100" w:before="100"/>
            </w:pPr>
            <w:r>
              <w:rPr>
                <w:b w:val="0"/>
                <w:sz w:val="20"/>
              </w:rPr>
              <w:t>E04</w:t>
            </w:r>
          </w:p>
        </w:tc>
        <w:tc>
          <w:tcPr>
            <w:tcW w:type="dxa" w:w="7488"/>
            <w:shd w:fill="F5F5F5"/>
            <w:tcBorders>
              <w:top w:val="single" w:sz="4" w:color="D9D9D9"/>
              <w:left w:val="single" w:sz="4" w:color="D9D9D9"/>
              <w:bottom w:val="single" w:sz="4" w:color="D9D9D9"/>
              <w:right w:val="single" w:sz="4" w:color="D9D9D9"/>
            </w:tcBorders>
          </w:tcPr>
          <w:p>
            <w:pPr>
              <w:spacing w:after="100" w:before="100"/>
            </w:pPr>
            <w:r>
              <w:rPr>
                <w:b w:val="0"/>
                <w:sz w:val="20"/>
              </w:rPr>
              <w:t>Two-user ownership test with redacted responses</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sz w:val="20"/>
              </w:rPr>
              <w:t>E05</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XSS reflection context and harmless execution screenshot</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5F5F5"/>
            <w:tcBorders>
              <w:top w:val="single" w:sz="4" w:color="D9D9D9"/>
              <w:left w:val="single" w:sz="4" w:color="D9D9D9"/>
              <w:bottom w:val="single" w:sz="4" w:color="D9D9D9"/>
              <w:right w:val="single" w:sz="4" w:color="D9D9D9"/>
            </w:tcBorders>
          </w:tcPr>
          <w:p>
            <w:pPr>
              <w:spacing w:after="100" w:before="100"/>
            </w:pPr>
            <w:r>
              <w:rPr>
                <w:b w:val="0"/>
                <w:sz w:val="20"/>
              </w:rPr>
              <w:t>E06</w:t>
            </w:r>
          </w:p>
        </w:tc>
        <w:tc>
          <w:tcPr>
            <w:tcW w:type="dxa" w:w="7488"/>
            <w:shd w:fill="F5F5F5"/>
            <w:tcBorders>
              <w:top w:val="single" w:sz="4" w:color="D9D9D9"/>
              <w:left w:val="single" w:sz="4" w:color="D9D9D9"/>
              <w:bottom w:val="single" w:sz="4" w:color="D9D9D9"/>
              <w:right w:val="single" w:sz="4" w:color="D9D9D9"/>
            </w:tcBorders>
          </w:tcPr>
          <w:p>
            <w:pPr>
              <w:spacing w:after="100" w:before="100"/>
            </w:pPr>
            <w:r>
              <w:rPr>
                <w:b w:val="0"/>
                <w:sz w:val="20"/>
              </w:rPr>
              <w:t>Authenticated request before and after logout</w:t>
            </w:r>
          </w:p>
        </w:tc>
        <w:tc>
          <w:tcPr>
            <w:tcW w:type="dxa" w:w="1296"/>
            <w:shd w:fill="F5F5F5"/>
            <w:tcBorders>
              <w:top w:val="single" w:sz="4" w:color="D9D9D9"/>
              <w:left w:val="single" w:sz="4" w:color="D9D9D9"/>
              <w:bottom w:val="single" w:sz="4" w:color="D9D9D9"/>
              <w:right w:val="single" w:sz="4" w:color="D9D9D9"/>
            </w:tcBorders>
          </w:tcPr>
          <w:p>
            <w:pPr>
              <w:spacing w:after="100" w:before="100"/>
            </w:pPr>
            <w:r>
              <w:rPr>
                <w:b w:val="0"/>
                <w:sz w:val="20"/>
              </w:rPr>
              <w:t>Pending</w:t>
            </w:r>
          </w:p>
        </w:tc>
      </w:tr>
      <w:tr>
        <w:trPr>
          <w:cantSplit/>
        </w:trP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sz w:val="20"/>
              </w:rPr>
              <w:t>E07</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Fix records, repeated tests and server logs</w:t>
            </w:r>
          </w:p>
        </w:tc>
        <w:tc>
          <w:tcPr>
            <w:tcW w:type="dxa" w:w="1296"/>
            <w:shd w:fill="FFFFFF"/>
            <w:tcBorders>
              <w:top w:val="single" w:sz="4" w:color="D9D9D9"/>
              <w:left w:val="single" w:sz="4" w:color="D9D9D9"/>
              <w:bottom w:val="single" w:sz="4" w:color="D9D9D9"/>
              <w:right w:val="single" w:sz="4" w:color="D9D9D9"/>
            </w:tcBorders>
          </w:tcPr>
          <w:p>
            <w:pPr>
              <w:spacing w:after="100" w:before="100"/>
            </w:pPr>
            <w:r>
              <w:rPr>
                <w:b w:val="0"/>
                <w:sz w:val="20"/>
              </w:rPr>
              <w:t>Pending</w:t>
            </w:r>
          </w:p>
        </w:tc>
      </w:tr>
    </w:tbl>
    <w:p/>
    <w:p>
      <w:pPr>
        <w:pStyle w:val="Heading2"/>
      </w:pPr>
      <w:r>
        <w:t>Capture requirements</w:t>
      </w:r>
    </w:p>
    <w:p>
      <w:r>
        <w:t>For every artifact, record evidence ID, finding ID, date and time with timezone, source host, account role, command or request, expected result and actual result. Capture enough of the interface to identify the test context, while redacting cookies, passwords and personal data from the report.</w:t>
      </w:r>
    </w:p>
    <w:p>
      <w:r>
        <w:t>Preserve raw evidence separately in an access-restricted folder. Use file names such as F03_E04_ownership_test.png and record a SHA-256 digest for each original artifact. Keep an unredacted original only when necessary and authorized; explain any redaction in the caption.</w:t>
      </w:r>
    </w:p>
    <w:p>
      <w:pPr>
        <w:pStyle w:val="Heading2"/>
      </w:pPr>
      <w:r>
        <w:t>Screenshot insertion fields</w:t>
      </w:r>
    </w:p>
    <w:p>
      <w:r>
        <w:t>E02 — Insert actual network scan screenshot here. Caption: target, selected ports, scan time and policy comparison.</w:t>
      </w:r>
    </w:p>
    <w:p>
      <w:r>
        <w:t>E03 to E06 — Insert actual proof of concept screenshots beside the corresponding finding. Include baseline and changed-condition evidence, not only a success message.</w:t>
      </w:r>
    </w:p>
    <w:p>
      <w:r>
        <w:t>E07 — Insert actual retest screenshot or log excerpt here. Caption: change applied, original test repeated, result and reviewer.</w:t>
      </w:r>
    </w:p>
    <w:p>
      <w:pPr>
        <w:pStyle w:val="Heading2"/>
      </w:pPr>
      <w:r>
        <w:t>Result classification</w:t>
      </w:r>
    </w:p>
    <w:p>
      <w:r>
        <w:t>Confirmed: reproducible control failure with evidence. Not reproduced: the attempted test did not demonstrate the weakness. Inconclusive: conflicting or insufficient evidence. Not tested: the procedure was not executed. Every finding in this document currently has the status “Not tested — illustrative scenario.”</w:t>
      </w:r>
    </w:p>
    <w:p>
      <w:pPr>
        <w:pStyle w:val="Heading1"/>
        <w:pageBreakBefore/>
      </w:pPr>
      <w:r>
        <w:t>F01 Unrestricted management service exposure</w:t>
      </w:r>
    </w:p>
    <w:p>
      <w:r>
        <w:t>Status: Not tested — illustrative scenario.</w:t>
      </w:r>
    </w:p>
    <w:p>
      <w:r>
        <w:t>Layer: Network configuration    |    Risk: 3 × 3 = 9 Medium</w:t>
      </w:r>
    </w:p>
    <w:p>
      <w:pPr>
        <w:pStyle w:val="Heading2"/>
      </w:pPr>
      <w:r>
        <w:t>Scenario and affected component</w:t>
      </w:r>
    </w:p>
    <w:p>
      <w:r>
        <w:t>A management service such as SSH is reachable from the same untrusted laboratory segment as ordinary web users, although the intended policy restricts it to an administrator segment.</w:t>
      </w:r>
    </w:p>
    <w:p>
      <w:pPr>
        <w:pStyle w:val="Heading2"/>
      </w:pPr>
      <w:r>
        <w:t>Controlled testing procedure</w:t>
      </w:r>
    </w:p>
    <w:p>
      <w:r>
        <w:t>1. Confirm the documented management access policy and the approved target IP. Use a user-segment test VM; record its source address.</w:t>
      </w:r>
    </w:p>
    <w:p>
      <w:r>
        <w:t>2. Run a limited service check against only the approved VM: nmap -sT -sV -p 22,80,443,3306 --max-rate 20 -oA F01_services 192.168.56.20</w:t>
      </w:r>
    </w:p>
    <w:p>
      <w:r>
        <w:t>3. Compare the output with the approved service list. Attempt only a TCP connection to the management port; do not guess credentials or execute a remote shell.</w:t>
      </w:r>
    </w:p>
    <w:p>
      <w:r>
        <w:t>4. Repeat from the authorized management segment after remediation.</w:t>
      </w:r>
    </w:p>
    <w:p>
      <w:pPr>
        <w:pStyle w:val="Heading2"/>
      </w:pPr>
      <w:r>
        <w:t>Illustrative exploitation result</w:t>
      </w:r>
    </w:p>
    <w:p>
      <w:r>
        <w:t>Illustrative outcome: TCP port 22 accepts a connection from a segment that policy says must be denied. This demonstrates unnecessary reachability only; it does not prove a login bypass or a vulnerable SSH version.</w:t>
      </w:r>
    </w:p>
    <w:p>
      <w:pPr>
        <w:pStyle w:val="Heading2"/>
      </w:pPr>
      <w:r>
        <w:t>Impact and risk rationale</w:t>
      </w:r>
    </w:p>
    <w:p>
      <w:r>
        <w:t>Exposure increases opportunities for credential attacks and exploitation of future service weaknesses. The scenario assumes an internal network position and a still-authenticated management service, supporting a Medium rating.</w:t>
      </w:r>
    </w:p>
    <w:p>
      <w:pPr>
        <w:pStyle w:val="Heading2"/>
      </w:pPr>
      <w:r>
        <w:t>Recommended remediation</w:t>
      </w:r>
    </w:p>
    <w:p>
      <w:r>
        <w:t>Restrict management ingress to an administrator subnet or VPN using host and network firewalls. Disable unused services, require strong administrative authentication and keep the service supported and patched.</w:t>
      </w:r>
    </w:p>
    <w:p>
      <w:pPr>
        <w:pStyle w:val="Heading2"/>
      </w:pPr>
      <w:r>
        <w:t>Retest acceptance criteria</w:t>
      </w:r>
    </w:p>
    <w:p>
      <w:r>
        <w:t>An ordinary user segment cannot establish the management connection; approved administrators can still connect. Web access continues to work. Validate both firewall rules and connection logs.</w:t>
      </w:r>
    </w:p>
    <w:p>
      <w:r>
        <w:t>Evidence required: E02: original and retest scan output, source segment details and the management policy. Do not report a service as vulnerable based solely on its banner.</w:t>
      </w:r>
    </w:p>
    <w:p>
      <w:pPr>
        <w:pStyle w:val="Heading1"/>
        <w:pageBreakBefore/>
      </w:pPr>
      <w:r>
        <w:t>F02 SQL injection in a search parameter</w:t>
      </w:r>
    </w:p>
    <w:p>
      <w:r>
        <w:t>Status: Not tested — illustrative scenario.</w:t>
      </w:r>
    </w:p>
    <w:p>
      <w:r>
        <w:t>Layer: Application input validation    |    Risk: 4 × 5 = 20 High</w:t>
      </w:r>
    </w:p>
    <w:p>
      <w:pPr>
        <w:pStyle w:val="Heading2"/>
      </w:pPr>
      <w:r>
        <w:t>Scenario and affected component</w:t>
      </w:r>
    </w:p>
    <w:p>
      <w:r>
        <w:t>A deliberately vulnerable numeric lookup constructs a database query by concatenating untrusted input. The assumed lab endpoint accepts an id parameter and searches synthetic records.</w:t>
      </w:r>
    </w:p>
    <w:p>
      <w:pPr>
        <w:pStyle w:val="Heading2"/>
      </w:pPr>
      <w:r>
        <w:t>Controlled testing procedure</w:t>
      </w:r>
    </w:p>
    <w:p>
      <w:r>
        <w:t>1. Log in to the approved training app and capture a valid lookup such as id=1. Record the normal response and number of displayed synthetic rows.</w:t>
      </w:r>
    </w:p>
    <w:p>
      <w:r>
        <w:t>2. In the lab proxy, compare id=1 AND 1=1 with id=1 AND 1=2, encoded as needed. This example assumes an unquoted numeric SQL context; do not assume it works in every application.</w:t>
      </w:r>
    </w:p>
    <w:p>
      <w:r>
        <w:t>3. Repeat the paired requests under the same session. Check for a stable, meaningful difference consistent with the query logic; a generic error alone is insufficient.</w:t>
      </w:r>
    </w:p>
    <w:p>
      <w:r>
        <w:t>4. Stop after demonstrating control of the lookup condition. Do not enumerate database schemas, extract credentials, modify records or access files.</w:t>
      </w:r>
    </w:p>
    <w:p>
      <w:pPr>
        <w:pStyle w:val="Heading2"/>
      </w:pPr>
      <w:r>
        <w:t>Illustrative exploitation result</w:t>
      </w:r>
    </w:p>
    <w:p>
      <w:r>
        <w:t>Illustrative outcome: the true condition returns the expected synthetic record and the false condition returns none, while normal numeric validation should reject non-numeric input. Corroborating server-side review confirms unsafe concatenation.</w:t>
      </w:r>
    </w:p>
    <w:p>
      <w:pPr>
        <w:pStyle w:val="Heading2"/>
      </w:pPr>
      <w:r>
        <w:t>Impact and risk rationale</w:t>
      </w:r>
    </w:p>
    <w:p>
      <w:r>
        <w:t>If confirmed, an attacker could potentially access or alter data within the application database account’s permissions. The example rating assumes broad database privileges; actual impact must be revised using verified permissions.</w:t>
      </w:r>
    </w:p>
    <w:p>
      <w:pPr>
        <w:pStyle w:val="Heading2"/>
      </w:pPr>
      <w:r>
        <w:t>Recommended remediation</w:t>
      </w:r>
    </w:p>
    <w:p>
      <w:r>
        <w:t>Use parameterized queries or safely bound ORM parameters for all values. Validate numeric fields against an allowlist. Apply least privilege to the database account and return generic errors while retaining detailed protected server logs.</w:t>
      </w:r>
    </w:p>
    <w:p>
      <w:pPr>
        <w:pStyle w:val="Heading2"/>
      </w:pPr>
      <w:r>
        <w:t>Retest acceptance criteria</w:t>
      </w:r>
    </w:p>
    <w:p>
      <w:r>
        <w:t>Both test strings are rejected or treated as data, valid numeric searches still succeed and no query condition is influenced. Inspect the fix to ensure parameter binding rather than only filtering keywords.</w:t>
      </w:r>
    </w:p>
    <w:p>
      <w:r>
        <w:t>Evidence required: E03: baseline, true and false requests and responses; sanitized application logs or query construction review. OWASP reference: WSTG-INPV-05 [2].</w:t>
      </w:r>
    </w:p>
    <w:p>
      <w:pPr>
        <w:pStyle w:val="Heading1"/>
        <w:pageBreakBefore/>
      </w:pPr>
      <w:r>
        <w:t>F03 Missing object level authorization</w:t>
      </w:r>
    </w:p>
    <w:p>
      <w:r>
        <w:t>Status: Not tested — illustrative scenario.</w:t>
      </w:r>
    </w:p>
    <w:p>
      <w:r>
        <w:t>Layer: Access control    |    Risk: 4 × 4 = 16 High</w:t>
      </w:r>
    </w:p>
    <w:p>
      <w:pPr>
        <w:pStyle w:val="Heading2"/>
      </w:pPr>
      <w:r>
        <w:t>Scenario and affected component</w:t>
      </w:r>
    </w:p>
    <w:p>
      <w:r>
        <w:t>A training API returns a record based on a caller-supplied object ID without checking that the authenticated user owns that record. The fixture contains record 1001 owned by student_a and record 1002 owned by student_b.</w:t>
      </w:r>
    </w:p>
    <w:p>
      <w:pPr>
        <w:pStyle w:val="Heading2"/>
      </w:pPr>
      <w:r>
        <w:t>Controlled testing procedure</w:t>
      </w:r>
    </w:p>
    <w:p>
      <w:r>
        <w:t>1. Using separate browser sessions, verify each account can access its own synthetic record. Record the intended ownership policy.</w:t>
      </w:r>
    </w:p>
    <w:p>
      <w:r>
        <w:t>2. As student_a, capture GET /api/records/1001. Change only the object ID to 1002 and repeat using student_a’s existing session.</w:t>
      </w:r>
    </w:p>
    <w:p>
      <w:r>
        <w:t>3. Check whether the body contains student_b’s synthetic record. A 200 status alone is not proof; examine the returned resource and owner.</w:t>
      </w:r>
    </w:p>
    <w:p>
      <w:r>
        <w:t>4. Repeat in the reverse direction, then test without authentication. Limit tests to the two seeded records; do not enumerate unrelated identifiers.</w:t>
      </w:r>
    </w:p>
    <w:p>
      <w:pPr>
        <w:pStyle w:val="Heading2"/>
      </w:pPr>
      <w:r>
        <w:t>Illustrative exploitation result</w:t>
      </w:r>
    </w:p>
    <w:p>
      <w:r>
        <w:t>Illustrative outcome: student_a receives student_b’s record without authorization. This is horizontal privilege escalation. A correctly secured endpoint should deny access or conceal the object’s existence.</w:t>
      </w:r>
    </w:p>
    <w:p>
      <w:pPr>
        <w:pStyle w:val="Heading2"/>
      </w:pPr>
      <w:r>
        <w:t>Impact and risk rationale</w:t>
      </w:r>
    </w:p>
    <w:p>
      <w:r>
        <w:t>A low-privilege user could read another user’s records. Integrity impact is not established by this read-only test; write endpoints require separate authorized validation. The scenario assumes sensitive records in a real deployment.</w:t>
      </w:r>
    </w:p>
    <w:p>
      <w:pPr>
        <w:pStyle w:val="Heading2"/>
      </w:pPr>
      <w:r>
        <w:t>Recommended remediation</w:t>
      </w:r>
    </w:p>
    <w:p>
      <w:r>
        <w:t>Enforce server-side authorization for every object and action. Scope data queries to the authenticated user or permitted tenant. Deny by default and test cross-user, cross-role and cross-tenant requests. Unpredictable identifiers are not a substitute for authorization.</w:t>
      </w:r>
    </w:p>
    <w:p>
      <w:pPr>
        <w:pStyle w:val="Heading2"/>
      </w:pPr>
      <w:r>
        <w:t>Retest acceptance criteria</w:t>
      </w:r>
    </w:p>
    <w:p>
      <w:r>
        <w:t>Both cross-user requests are denied with no record content. Each user retains access to their own record, and anonymous requests are denied. Confirm equivalent controls on all relevant read and write endpoints.</w:t>
      </w:r>
    </w:p>
    <w:p>
      <w:r>
        <w:t>Evidence required: E04: ownership fixture, paired sessions and redacted response bodies. OWASP references: WSTG-ATHZ-02 and WSTG-ATHZ-04 [3].</w:t>
      </w:r>
    </w:p>
    <w:p>
      <w:pPr>
        <w:pStyle w:val="Heading1"/>
        <w:pageBreakBefore/>
      </w:pPr>
      <w:r>
        <w:t>F04 Reflected cross site scripting</w:t>
      </w:r>
    </w:p>
    <w:p>
      <w:r>
        <w:t>Status: Not tested — illustrative scenario.</w:t>
      </w:r>
    </w:p>
    <w:p>
      <w:r>
        <w:t>Layer: Application output handling    |    Risk: 3 × 3 = 9 Medium</w:t>
      </w:r>
    </w:p>
    <w:p>
      <w:pPr>
        <w:pStyle w:val="Heading2"/>
      </w:pPr>
      <w:r>
        <w:t>Scenario and affected component</w:t>
      </w:r>
    </w:p>
    <w:p>
      <w:r>
        <w:t>A deliberately vulnerable search page reflects user input into an HTML response without context-appropriate encoding. This example concerns reflected browser execution, not stored content.</w:t>
      </w:r>
    </w:p>
    <w:p>
      <w:pPr>
        <w:pStyle w:val="Heading2"/>
      </w:pPr>
      <w:r>
        <w:t>Controlled testing procedure</w:t>
      </w:r>
    </w:p>
    <w:p>
      <w:r>
        <w:t>1. Capture a search using the harmless marker WEEK3_MARKER. Inspect the response to locate whether the marker appears in HTML text, an attribute or another context.</w:t>
      </w:r>
    </w:p>
    <w:p>
      <w:r>
        <w:t>2. For an intentionally vulnerable HTML context, submit the harmless proof &lt;script&gt;alert("WEEK3_TEST")&lt;/script&gt; through the search field.</w:t>
      </w:r>
    </w:p>
    <w:p>
      <w:r>
        <w:t>3. Observe whether the lab browser executes the marker. Record the response context, browser version and Content Security Policy. Reflection alone is not proof of execution.</w:t>
      </w:r>
    </w:p>
    <w:p>
      <w:r>
        <w:t>4. Do not read cookies, transmit data, impersonate another person or store a payload. If blocked, document that outcome without claiming exploitation.</w:t>
      </w:r>
    </w:p>
    <w:p>
      <w:pPr>
        <w:pStyle w:val="Heading2"/>
      </w:pPr>
      <w:r>
        <w:t>Illustrative exploitation result</w:t>
      </w:r>
    </w:p>
    <w:p>
      <w:r>
        <w:t>Illustrative outcome: the browser displays the WEEK3_TEST alert after loading the reflected search result. This supports script execution in the application origin for that specific context.</w:t>
      </w:r>
    </w:p>
    <w:p>
      <w:pPr>
        <w:pStyle w:val="Heading2"/>
      </w:pPr>
      <w:r>
        <w:t>Impact and risk rationale</w:t>
      </w:r>
    </w:p>
    <w:p>
      <w:r>
        <w:t>If a victim follows a crafted link, script could alter page content or perform actions available to that browser session. Practical impact depends on user interaction, browser defenses and application privileges. HttpOnly cookies do not remove all XSS impact.</w:t>
      </w:r>
    </w:p>
    <w:p>
      <w:pPr>
        <w:pStyle w:val="Heading2"/>
      </w:pPr>
      <w:r>
        <w:t>Recommended remediation</w:t>
      </w:r>
    </w:p>
    <w:p>
      <w:r>
        <w:t>Apply output encoding suited to the rendering context and use templates that escape by default. Avoid unsafe DOM insertion. Where rich HTML is required, use a maintained sanitizer with a restricted policy. Add a restrictive Content Security Policy as defense in depth.</w:t>
      </w:r>
    </w:p>
    <w:p>
      <w:pPr>
        <w:pStyle w:val="Heading2"/>
      </w:pPr>
      <w:r>
        <w:t>Retest acceptance criteria</w:t>
      </w:r>
    </w:p>
    <w:p>
      <w:r>
        <w:t>The test is displayed as text or safely rejected, with no script execution. Test legitimate special characters and the same rendering context. Confirm the underlying encoding fix, not only a browser-side block.</w:t>
      </w:r>
    </w:p>
    <w:p>
      <w:r>
        <w:t>Evidence required: E05: request, reflected response context and real browser execution screenshot. OWASP reference: WSTG-INPV-01 [1].</w:t>
      </w:r>
    </w:p>
    <w:p>
      <w:pPr>
        <w:pStyle w:val="Heading1"/>
        <w:pageBreakBefore/>
      </w:pPr>
      <w:r>
        <w:t>F05 Session remains valid after logout</w:t>
      </w:r>
    </w:p>
    <w:p>
      <w:r>
        <w:t>Status: Not tested — illustrative scenario.</w:t>
      </w:r>
    </w:p>
    <w:p>
      <w:r>
        <w:t>Layer: Session and access control    |    Risk: 3 × 4 = 12 Medium</w:t>
      </w:r>
    </w:p>
    <w:p>
      <w:pPr>
        <w:pStyle w:val="Heading2"/>
      </w:pPr>
      <w:r>
        <w:t>Scenario and affected component</w:t>
      </w:r>
    </w:p>
    <w:p>
      <w:r>
        <w:t>The application clears a browser cookie during logout but fails to invalidate the server-side session. A previously captured session credential may therefore remain usable until it expires.</w:t>
      </w:r>
    </w:p>
    <w:p>
      <w:pPr>
        <w:pStyle w:val="Heading2"/>
      </w:pPr>
      <w:r>
        <w:t>Controlled testing procedure</w:t>
      </w:r>
    </w:p>
    <w:p>
      <w:r>
        <w:t>1. Authenticate with a disposable test account. Capture a request to a protected page and confirm it returns authenticated content.</w:t>
      </w:r>
    </w:p>
    <w:p>
      <w:r>
        <w:t>2. Log out through the application. Verify the browser shows a logged-out state, then replay the previously captured request once through the lab proxy using the original session credential.</w:t>
      </w:r>
    </w:p>
    <w:p>
      <w:r>
        <w:t>3. Inspect the actual response, disabling cache or requesting fresh content. Distinguish server acceptance of the old session from a browser showing cached data.</w:t>
      </w:r>
    </w:p>
    <w:p>
      <w:r>
        <w:t>4. Test a new unauthenticated request as a negative control. Keep all session values out of screenshots and invalidate the test account’s sessions when finished.</w:t>
      </w:r>
    </w:p>
    <w:p>
      <w:pPr>
        <w:pStyle w:val="Heading2"/>
      </w:pPr>
      <w:r>
        <w:t>Illustrative exploitation result</w:t>
      </w:r>
    </w:p>
    <w:p>
      <w:r>
        <w:t>Illustrative outcome: the old credential still obtains fresh authenticated content after logout. The negative control is denied. This indicates incomplete session invalidation in the assumed lab implementation.</w:t>
      </w:r>
    </w:p>
    <w:p>
      <w:pPr>
        <w:pStyle w:val="Heading2"/>
      </w:pPr>
      <w:r>
        <w:t>Impact and risk rationale</w:t>
      </w:r>
    </w:p>
    <w:p>
      <w:r>
        <w:t>A person who already possesses a valid session credential could continue accessing the account after the user logs out. Session theft itself is not demonstrated. The likelihood rating reflects this prerequisite.</w:t>
      </w:r>
    </w:p>
    <w:p>
      <w:pPr>
        <w:pStyle w:val="Heading2"/>
      </w:pPr>
      <w:r>
        <w:t>Recommended remediation</w:t>
      </w:r>
    </w:p>
    <w:p>
      <w:r>
        <w:t>Invalidate server-side sessions on logout. For token-based designs, implement an appropriate revocation and refresh-token strategy with bounded access-token lifetime. Rotate sessions after login or privilege changes; set Secure, HttpOnly and suitable SameSite cookie attributes.</w:t>
      </w:r>
    </w:p>
    <w:p>
      <w:pPr>
        <w:pStyle w:val="Heading2"/>
      </w:pPr>
      <w:r>
        <w:t>Retest acceptance criteria</w:t>
      </w:r>
    </w:p>
    <w:p>
      <w:r>
        <w:t>Replaying the original session after logout produces an authentication challenge or access denial with no protected data. A fresh login works normally. Also verify timeout behavior and logout across the intended devices or sessions.</w:t>
      </w:r>
    </w:p>
    <w:p>
      <w:r>
        <w:t>Evidence required: E06: pre-logout success, logout event, post-logout replay and unauthenticated control. OWASP reference: WSTG-SESS-06 [4].</w:t>
      </w:r>
    </w:p>
    <w:p>
      <w:pPr>
        <w:pStyle w:val="Heading1"/>
        <w:pageBreakBefore/>
      </w:pPr>
      <w:r>
        <w:t>9 Risk assessment and remediation plan</w:t>
      </w:r>
    </w:p>
    <w:p>
      <w:r>
        <w:t>Risk is likelihood × impact on a 1–5 scale. Likelihood considers access, prerequisites, reproducibility and user interaction. Impact considers the sensitivity and volume of data plus effects on integrity and service availability. Ratings are provisional because no lab results or production business context were supplied.</w:t>
      </w:r>
    </w:p>
    <w:tbl>
      <w:tblPr>
        <w:tblW w:type="auto" w:w="0"/>
        <w:tblLayout w:type="fixed"/>
        <w:tblLook w:firstColumn="1" w:firstRow="1" w:lastColumn="0" w:lastRow="0" w:noHBand="0" w:noVBand="1" w:val="04A0"/>
      </w:tblPr>
      <w:tblGrid>
        <w:gridCol w:w="2304"/>
        <w:gridCol w:w="7488"/>
      </w:tblGrid>
      <w:tr>
        <w:trPr>
          <w:cantSplit/>
          <w:tblHeader/>
        </w:trPr>
        <w:tc>
          <w:tcPr>
            <w:tcW w:type="dxa" w:w="2304"/>
            <w:shd w:fill="DCE6F1"/>
            <w:tcBorders>
              <w:top w:val="single" w:sz="4" w:color="D9D9D9"/>
              <w:left w:val="single" w:sz="4" w:color="D9D9D9"/>
              <w:bottom w:val="single" w:sz="4" w:color="D9D9D9"/>
              <w:right w:val="single" w:sz="4" w:color="D9D9D9"/>
            </w:tcBorders>
          </w:tcPr>
          <w:p>
            <w:pPr>
              <w:spacing w:after="100" w:before="100"/>
            </w:pPr>
            <w:r>
              <w:rPr>
                <w:b/>
                <w:sz w:val="20"/>
              </w:rPr>
              <w:t>Score</w:t>
            </w:r>
          </w:p>
        </w:tc>
        <w:tc>
          <w:tcPr>
            <w:tcW w:type="dxa" w:w="7488"/>
            <w:shd w:fill="DCE6F1"/>
            <w:tcBorders>
              <w:top w:val="single" w:sz="4" w:color="D9D9D9"/>
              <w:left w:val="single" w:sz="4" w:color="D9D9D9"/>
              <w:bottom w:val="single" w:sz="4" w:color="D9D9D9"/>
              <w:right w:val="single" w:sz="4" w:color="D9D9D9"/>
            </w:tcBorders>
          </w:tcPr>
          <w:p>
            <w:pPr>
              <w:spacing w:after="100" w:before="100"/>
            </w:pPr>
            <w:r>
              <w:rPr>
                <w:b/>
                <w:sz w:val="20"/>
              </w:rPr>
              <w:t>Interpretation</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20"/>
              </w:rPr>
              <w:t>Likelihood 1 to 5</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Rare, unlikely, possible, likely, almost certain</w:t>
            </w:r>
          </w:p>
        </w:tc>
      </w:tr>
      <w:tr>
        <w:trPr>
          <w:cantSplit/>
        </w:trPr>
        <w:tc>
          <w:tcPr>
            <w:tcW w:type="dxa" w:w="2304"/>
            <w:shd w:fill="F5F5F5"/>
            <w:tcBorders>
              <w:top w:val="single" w:sz="4" w:color="D9D9D9"/>
              <w:left w:val="single" w:sz="4" w:color="D9D9D9"/>
              <w:bottom w:val="single" w:sz="4" w:color="D9D9D9"/>
              <w:right w:val="single" w:sz="4" w:color="D9D9D9"/>
            </w:tcBorders>
          </w:tcPr>
          <w:p>
            <w:pPr>
              <w:spacing w:after="100" w:before="100"/>
            </w:pPr>
            <w:r>
              <w:rPr>
                <w:b w:val="0"/>
                <w:sz w:val="20"/>
              </w:rPr>
              <w:t>Impact 1 to 5</w:t>
            </w:r>
          </w:p>
        </w:tc>
        <w:tc>
          <w:tcPr>
            <w:tcW w:type="dxa" w:w="7488"/>
            <w:shd w:fill="F5F5F5"/>
            <w:tcBorders>
              <w:top w:val="single" w:sz="4" w:color="D9D9D9"/>
              <w:left w:val="single" w:sz="4" w:color="D9D9D9"/>
              <w:bottom w:val="single" w:sz="4" w:color="D9D9D9"/>
              <w:right w:val="single" w:sz="4" w:color="D9D9D9"/>
            </w:tcBorders>
          </w:tcPr>
          <w:p>
            <w:pPr>
              <w:spacing w:after="100" w:before="100"/>
            </w:pPr>
            <w:r>
              <w:rPr>
                <w:b w:val="0"/>
                <w:sz w:val="20"/>
              </w:rPr>
              <w:t>Negligible, minor, moderate, major, severe</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20"/>
              </w:rPr>
              <w:t>Risk bands</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20"/>
              </w:rPr>
              <w:t>Low 1–4; Medium 5–12; High 15–25</w:t>
            </w:r>
          </w:p>
        </w:tc>
      </w:tr>
    </w:tbl>
    <w:p/>
    <w:p>
      <w:r>
        <w:t>Products of integer scores do not produce 13 or 14. This model is an exercise-specific prioritization aid and must not be presented as a CVSS score.</w:t>
      </w:r>
    </w:p>
    <w:tbl>
      <w:tblPr>
        <w:tblW w:type="auto" w:w="0"/>
        <w:tblLayout w:type="fixed"/>
        <w:tblLook w:firstColumn="1" w:firstRow="1" w:lastColumn="0" w:lastRow="0" w:noHBand="0" w:noVBand="1" w:val="04A0"/>
      </w:tblPr>
      <w:tblGrid>
        <w:gridCol w:w="1440"/>
        <w:gridCol w:w="6336"/>
        <w:gridCol w:w="2016"/>
      </w:tblGrid>
      <w:tr>
        <w:trPr>
          <w:cantSplit/>
          <w:tblHeader/>
        </w:trPr>
        <w:tc>
          <w:tcPr>
            <w:tcW w:type="dxa" w:w="1440"/>
            <w:shd w:fill="DCE6F1"/>
            <w:tcBorders>
              <w:top w:val="single" w:sz="4" w:color="D9D9D9"/>
              <w:left w:val="single" w:sz="4" w:color="D9D9D9"/>
              <w:bottom w:val="single" w:sz="4" w:color="D9D9D9"/>
              <w:right w:val="single" w:sz="4" w:color="D9D9D9"/>
            </w:tcBorders>
          </w:tcPr>
          <w:p>
            <w:pPr>
              <w:spacing w:after="100" w:before="100"/>
            </w:pPr>
            <w:r>
              <w:rPr>
                <w:b/>
                <w:sz w:val="20"/>
              </w:rPr>
              <w:t>Priority</w:t>
            </w:r>
          </w:p>
        </w:tc>
        <w:tc>
          <w:tcPr>
            <w:tcW w:type="dxa" w:w="6336"/>
            <w:shd w:fill="DCE6F1"/>
            <w:tcBorders>
              <w:top w:val="single" w:sz="4" w:color="D9D9D9"/>
              <w:left w:val="single" w:sz="4" w:color="D9D9D9"/>
              <w:bottom w:val="single" w:sz="4" w:color="D9D9D9"/>
              <w:right w:val="single" w:sz="4" w:color="D9D9D9"/>
            </w:tcBorders>
          </w:tcPr>
          <w:p>
            <w:pPr>
              <w:spacing w:after="100" w:before="100"/>
            </w:pPr>
            <w:r>
              <w:rPr>
                <w:b/>
                <w:sz w:val="20"/>
              </w:rPr>
              <w:t>Action and owner</w:t>
            </w:r>
          </w:p>
        </w:tc>
        <w:tc>
          <w:tcPr>
            <w:tcW w:type="dxa" w:w="2016"/>
            <w:shd w:fill="DCE6F1"/>
            <w:tcBorders>
              <w:top w:val="single" w:sz="4" w:color="D9D9D9"/>
              <w:left w:val="single" w:sz="4" w:color="D9D9D9"/>
              <w:bottom w:val="single" w:sz="4" w:color="D9D9D9"/>
              <w:right w:val="single" w:sz="4" w:color="D9D9D9"/>
            </w:tcBorders>
          </w:tcPr>
          <w:p>
            <w:pPr>
              <w:spacing w:after="100" w:before="100"/>
            </w:pPr>
            <w:r>
              <w:rPr>
                <w:b/>
                <w:sz w:val="20"/>
              </w:rPr>
              <w:t>Target after validation</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100" w:before="100"/>
            </w:pPr>
            <w:r>
              <w:rPr>
                <w:b w:val="0"/>
                <w:sz w:val="20"/>
              </w:rPr>
              <w:t>P1 F02</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sz w:val="20"/>
              </w:rPr>
              <w:t>Developer and DBA: parameterize queries and reduce DB rights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Within 7 days</w:t>
            </w:r>
          </w:p>
        </w:tc>
      </w:tr>
      <w:tr>
        <w:trPr>
          <w:cantSplit/>
        </w:trPr>
        <w:tc>
          <w:tcPr>
            <w:tcW w:type="dxa" w:w="1440"/>
            <w:shd w:fill="F5F5F5"/>
            <w:tcBorders>
              <w:top w:val="single" w:sz="4" w:color="D9D9D9"/>
              <w:left w:val="single" w:sz="4" w:color="D9D9D9"/>
              <w:bottom w:val="single" w:sz="4" w:color="D9D9D9"/>
              <w:right w:val="single" w:sz="4" w:color="D9D9D9"/>
            </w:tcBorders>
          </w:tcPr>
          <w:p>
            <w:pPr>
              <w:spacing w:after="100" w:before="100"/>
            </w:pPr>
            <w:r>
              <w:rPr>
                <w:b w:val="0"/>
                <w:sz w:val="20"/>
              </w:rPr>
              <w:t>P1 F03</w:t>
            </w:r>
          </w:p>
        </w:tc>
        <w:tc>
          <w:tcPr>
            <w:tcW w:type="dxa" w:w="6336"/>
            <w:shd w:fill="F5F5F5"/>
            <w:tcBorders>
              <w:top w:val="single" w:sz="4" w:color="D9D9D9"/>
              <w:left w:val="single" w:sz="4" w:color="D9D9D9"/>
              <w:bottom w:val="single" w:sz="4" w:color="D9D9D9"/>
              <w:right w:val="single" w:sz="4" w:color="D9D9D9"/>
            </w:tcBorders>
          </w:tcPr>
          <w:p>
            <w:pPr>
              <w:spacing w:after="100" w:before="100"/>
            </w:pPr>
            <w:r>
              <w:rPr>
                <w:b w:val="0"/>
                <w:sz w:val="20"/>
              </w:rPr>
              <w:t>Backend developer: enforce ownership checks</w:t>
            </w:r>
          </w:p>
        </w:tc>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Within 7 days</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100" w:before="100"/>
            </w:pPr>
            <w:r>
              <w:rPr>
                <w:b w:val="0"/>
                <w:sz w:val="20"/>
              </w:rPr>
              <w:t>P2 F05</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sz w:val="20"/>
              </w:rPr>
              <w:t>Application team: revoke sessions correctly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Within 14 days</w:t>
            </w:r>
          </w:p>
        </w:tc>
      </w:tr>
      <w:tr>
        <w:trPr>
          <w:cantSplit/>
        </w:trPr>
        <w:tc>
          <w:tcPr>
            <w:tcW w:type="dxa" w:w="1440"/>
            <w:shd w:fill="F5F5F5"/>
            <w:tcBorders>
              <w:top w:val="single" w:sz="4" w:color="D9D9D9"/>
              <w:left w:val="single" w:sz="4" w:color="D9D9D9"/>
              <w:bottom w:val="single" w:sz="4" w:color="D9D9D9"/>
              <w:right w:val="single" w:sz="4" w:color="D9D9D9"/>
            </w:tcBorders>
          </w:tcPr>
          <w:p>
            <w:pPr>
              <w:spacing w:after="100" w:before="100"/>
            </w:pPr>
            <w:r>
              <w:rPr>
                <w:b w:val="0"/>
                <w:sz w:val="20"/>
              </w:rPr>
              <w:t>P2 F01</w:t>
            </w:r>
          </w:p>
        </w:tc>
        <w:tc>
          <w:tcPr>
            <w:tcW w:type="dxa" w:w="6336"/>
            <w:shd w:fill="F5F5F5"/>
            <w:tcBorders>
              <w:top w:val="single" w:sz="4" w:color="D9D9D9"/>
              <w:left w:val="single" w:sz="4" w:color="D9D9D9"/>
              <w:bottom w:val="single" w:sz="4" w:color="D9D9D9"/>
              <w:right w:val="single" w:sz="4" w:color="D9D9D9"/>
            </w:tcBorders>
          </w:tcPr>
          <w:p>
            <w:pPr>
              <w:spacing w:after="100" w:before="100"/>
            </w:pPr>
            <w:r>
              <w:rPr>
                <w:b w:val="0"/>
                <w:sz w:val="20"/>
              </w:rPr>
              <w:t>Network administrator: restrict management access</w:t>
            </w:r>
          </w:p>
        </w:tc>
        <w:tc>
          <w:tcPr>
            <w:tcW w:type="dxa" w:w="2016"/>
            <w:shd w:fill="F5F5F5"/>
            <w:tcBorders>
              <w:top w:val="single" w:sz="4" w:color="D9D9D9"/>
              <w:left w:val="single" w:sz="4" w:color="D9D9D9"/>
              <w:bottom w:val="single" w:sz="4" w:color="D9D9D9"/>
              <w:right w:val="single" w:sz="4" w:color="D9D9D9"/>
            </w:tcBorders>
          </w:tcPr>
          <w:p>
            <w:pPr>
              <w:spacing w:after="100" w:before="100"/>
            </w:pPr>
            <w:r>
              <w:rPr>
                <w:b w:val="0"/>
                <w:sz w:val="20"/>
              </w:rPr>
              <w:t>Within 14 days</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100" w:before="100"/>
            </w:pPr>
            <w:r>
              <w:rPr>
                <w:b w:val="0"/>
                <w:sz w:val="20"/>
              </w:rPr>
              <w:t>P2 F04</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sz w:val="20"/>
              </w:rPr>
              <w:t>Frontend team: encode output and review unsafe sinks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20"/>
              </w:rPr>
              <w:t>Within 14 days</w:t>
            </w:r>
          </w:p>
        </w:tc>
      </w:tr>
    </w:tbl>
    <w:p/>
    <w:p>
      <w:r>
        <w:t>These are suggested remediation targets, not agreed service commitments. For confirmed actively exploited exposure, apply temporary containment immediately. Raise priority where actual data sensitivity, reachability or business impact warrants it.</w:t>
      </w:r>
    </w:p>
    <w:p>
      <w:pPr>
        <w:pStyle w:val="Heading2"/>
      </w:pPr>
      <w:r>
        <w:t>Retest and residual risk</w:t>
      </w:r>
    </w:p>
    <w:p>
      <w:r>
        <w:t>For each finding, record owner, change reference, implementation date, retest date, evidence ID and final disposition. Repeat the original proof of concept, its negative control and a legitimate user workflow. A code change alone is not evidence that a finding is closed.</w:t>
      </w:r>
    </w:p>
    <w:p>
      <w:r>
        <w:t>Retest status for F01–F05: Not performed. Residual risk: Not assessed. Closure requires reproducible evidence that the control works and that normal functionality remains available. Any accepted residual risk requires a named owner and review date.</w:t>
      </w:r>
    </w:p>
    <w:p>
      <w:pPr>
        <w:pStyle w:val="Heading1"/>
        <w:pageBreakBefore/>
      </w:pPr>
      <w:r>
        <w:t>10 Conclusion and references</w:t>
      </w:r>
    </w:p>
    <w:p>
      <w:pPr>
        <w:pStyle w:val="Heading2"/>
      </w:pPr>
      <w:r>
        <w:t>Conclusion</w:t>
      </w:r>
    </w:p>
    <w:p>
      <w:r>
        <w:t>The proposed assessment connects each security control to a repeatable lab procedure, an evidence requirement and a remediation acceptance test. The illustrative scenarios show how weak service restrictions, unsafe query construction, missing ownership checks, unencoded output and incomplete logout handling could undermine a training application.</w:t>
      </w:r>
    </w:p>
    <w:p>
      <w:r>
        <w:t>No conclusion about the security of an actual system can be drawn from this document. Completion of the practical task requires running the authorized lab tests, replacing illustrative outcomes with verified observations, adding genuine evidence and recording remediation retests. Keep unsuccessful or inconclusive attempts in the final report so its coverage and limitations remain clear.</w:t>
      </w:r>
    </w:p>
    <w:p>
      <w:pPr>
        <w:pStyle w:val="Heading2"/>
      </w:pPr>
      <w:r>
        <w:t>Submission completion checklist</w:t>
      </w:r>
    </w:p>
    <w:p>
      <w:r>
        <w:t>☐ Enter student, course, assessor and actual test dates.</w:t>
      </w:r>
    </w:p>
    <w:p>
      <w:r>
        <w:t>☐ Confirm scope authorization, tool versions, VM addresses and snapshot details.</w:t>
      </w:r>
    </w:p>
    <w:p>
      <w:r>
        <w:t>☐ Replace every illustrative outcome with the observed result; remove scenarios that do not apply.</w:t>
      </w:r>
    </w:p>
    <w:p>
      <w:r>
        <w:t>☐ Insert genuine screenshots or log excerpts with evidence IDs and timestamps.</w:t>
      </w:r>
    </w:p>
    <w:p>
      <w:r>
        <w:t>☐ Review risk scores against actual access requirements and impact.</w:t>
      </w:r>
    </w:p>
    <w:p>
      <w:r>
        <w:t>☐ Record remediation and retest outcomes, including remaining open issues.</w:t>
      </w:r>
    </w:p>
    <w:p>
      <w:r>
        <w:t>☐ Redact secrets and verify that all referenced evidence is included or available to the assessor.</w:t>
      </w:r>
    </w:p>
    <w:p>
      <w:pPr>
        <w:pStyle w:val="Heading2"/>
      </w:pPr>
      <w:r>
        <w:t>References</w:t>
      </w:r>
    </w:p>
    <w:p>
      <w:r>
        <w:t>The official OWASP resources below were consulted on 16 October 2026. Procedures in this report are selected laboratory adaptations; they do not represent full coverage of the guides.</w:t>
      </w:r>
    </w:p>
    <w:p>
      <w:r>
        <w:t>[1] OWASP Web Security Testing Guide v4.2</w:t>
      </w:r>
    </w:p>
    <w:p>
      <w:pPr>
        <w:spacing w:after="160"/>
      </w:pPr>
      <w:r>
        <w:rPr>
          <w:sz w:val="18"/>
        </w:rPr>
        <w:t>https://wstg.owasp.org/v4.2/4-Web_Application_Security_Testing/</w:t>
      </w:r>
    </w:p>
    <w:p>
      <w:r>
        <w:t>[2] OWASP Testing for SQL Injection</w:t>
      </w:r>
    </w:p>
    <w:p>
      <w:pPr>
        <w:spacing w:after="160"/>
      </w:pPr>
      <w:r>
        <w:rPr>
          <w:sz w:val="18"/>
        </w:rPr>
        <w:t>https://wstg.owasp.org/v4.2/4-Web_Application_Security_Testing/07-Input_Validation_Testing/05-Testing_for_SQL_Injection/</w:t>
      </w:r>
    </w:p>
    <w:p>
      <w:r>
        <w:t>[3] OWASP Authorization Testing</w:t>
      </w:r>
    </w:p>
    <w:p>
      <w:pPr>
        <w:spacing w:after="160"/>
      </w:pPr>
      <w:r>
        <w:rPr>
          <w:sz w:val="18"/>
        </w:rPr>
        <w:t>https://wstg.owasp.org/v4.2/4-Web_Application_Security_Testing/05-Authorization_Testing/</w:t>
      </w:r>
    </w:p>
    <w:p>
      <w:r>
        <w:t>[4] OWASP Testing for Logout Functionality</w:t>
      </w:r>
    </w:p>
    <w:p>
      <w:pPr>
        <w:spacing w:after="160"/>
      </w:pPr>
      <w:r>
        <w:rPr>
          <w:sz w:val="18"/>
        </w:rPr>
        <w:t>https://owasp.org/www-project-web-security-testing-guide/v42/4-Web_Application_Security_Testing/06-Session_Management_Testing/06-Testing_for_Logout_Functionality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Simulation report   •   Evidence pending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WEEK 3   |   VIRTUAL SECURITY CONTROL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